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pStyle w:val="Heading1"/>
      </w:pPr>
      <w:r>
        <w:t>EPILOG / EPIGRAF: PENJARA HARAPAN</w:t>
      </w:r>
    </w:p>
    <w:p>
      <w:r>
        <w:t>Sebuah Lukisan Seni Lukisan Abstrak Islam (حِصَارُ الأَمَلِ)</w:t>
        <w:br/>
        <w:br/>
        <w:t>• Ringkasan Epilog / Epigraf: Mengilustrasikan hadis sahih Rasulullah SAW mengenai hakikat manusia yang terkurung dalam kepungan ajal maut, sementara angan-angannya menjangkau jauh melintasi sempadan usia.</w:t>
        <w:br/>
        <w:t>• Fiqh Haraki: Menjadi pencetus muhasabah ruhiyyah dan pemangkin tajdid niat para da'i sebelum mendalami perbahasan seterusnya.</w:t>
        <w:br/>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t xml:space="preserve">• Kita Mengiringinya dengan Persaudaraan...: </w:t>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t>📌 BAB 7: "PENJARA HARAPAN"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t xml:space="preserve">• Tarbiah Melalui Pengakuan &amp; Selepas Itu...: </w:t>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t xml:space="preserve">• Selepas Itu...: </w:t>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t xml:space="preserve">• Ulama Mazhab Hanbali Memelihara Keterampilan dan Wibawa: </w:t>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t xml:space="preserve">• Kemuliaan Tatkala Saat Kematian... !: </w:t>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