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pStyle w:val="Heading1"/>
      </w:pPr>
      <w:r>
        <w:t>EPILOG / EPIGRAF: PENJARA HARAPAN</w:t>
      </w:r>
    </w:p>
    <w:p>
      <w:r>
        <w:t>Sebuah Lukisan Seni Lukisan Abstrak Islam (حِصَارُ الأَمَلِ)</w:t>
        <w:br/>
        <w:br/>
        <w:t>• Ringkasan Epilog / Epigraf: Mengilustrasikan hadis sahih Rasulullah SAW mengenai hakikat manusia yang terkurung dalam kepungan ajal maut, sementara angan-angannya menjangkau jauh melintasi sempadan usia.</w:t>
        <w:br/>
        <w:t>• Fiqh Haraki: Menjadi pencetus muhasabah ruhiyyah dan pemangkin tajdid niat para da'i sebelum mendalami perbahasan seterusnya.</w:t>
        <w:br/>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t>⏳ BAB 7: "PENJARA HARAPAN"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"KUBUR-KUBUR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t>2. Subtopik: *Muncullah Umar bin Abdul Aziz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t>3. Subtopik: *Madrasah Basrah Menyokong &amp; Neraca Hasan al-Basri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t>3. Subtopik: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