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(*al-niyyah al-hurrah*) adalah "ruh" bagi setiap gerak kerja; tanpa keikhlasan, amal sebesar gunung akan hancur menjadi debu berterbangan.</w:t>
      </w:r>
    </w:p>
    <w:p>
      <w:pPr>
        <w:spacing w:before="40" w:after="40"/>
        <w:ind w:left="360"/>
      </w:pPr>
      <w:r>
        <w:t>Mencontohi Umar bin Abdul Aziz yang tidak melangkah melainkan dengan niat kerana Allah, sehingga amalan kecil menjadi agung.</w:t>
      </w:r>
    </w:p>
    <w:p>
      <w:pPr>
        <w:spacing w:before="40" w:after="40"/>
        <w:ind w:left="360"/>
      </w:pPr>
      <w:r>
        <w:rPr>
          <w:b/>
          <w:color w:val="1B4332"/>
        </w:rPr>
        <w:t xml:space="preserve">• Kecelaruan Niat dan Jerangkap Angan-Angan Kosong: </w:t>
      </w:r>
      <w:r/>
    </w:p>
    <w:p>
      <w:pPr>
        <w:spacing w:before="40" w:after="40"/>
        <w:ind w:left="360"/>
      </w:pPr>
      <w:r>
        <w:t>Percampuran niat mencetuskan kegelisahan batin dan kecelaruan hidup; jiwa yang tidak terurus tidak mampu memimpin perubahan di sekelilingnya.</w:t>
      </w:r>
    </w:p>
    <w:p>
      <w:pPr>
        <w:spacing w:before="40" w:after="40"/>
        <w:ind w:left="360"/>
      </w:pPr>
      <w:r>
        <w:t>Membezakan secara tegas antara niat yang benar dengan angan-angan kosong (*al-umniyyah*) yang melahirkan sikap bertangguh dan melemahkan disiplin amal.</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Hakikat Ujian Kelalaian dan Jiwa yang Diwakafkan untuk Allah: </w:t>
      </w:r>
      <w:r/>
    </w:p>
    <w:p>
      <w:pPr>
        <w:spacing w:before="40" w:after="40"/>
        <w:ind w:left="360"/>
      </w:pPr>
      <w:r>
        <w:t>Ujian terbesar pendakwah bukanlah mehnah penjara semata-mata, sebaliknya kelalaian; jiwa da'i adalah harta wakaf milik Allah Taala (*Waqfun Lillahi Ta'ala*) yang wajib sentiasa dinyalakan dengan api keprihatinan dakwah.</w:t>
      </w:r>
    </w:p>
    <w:p>
      <w:pPr>
        <w:spacing w:before="40" w:after="40"/>
        <w:ind w:left="360"/>
      </w:pPr>
      <w:r>
        <w:rPr>
          <w:b/>
          <w:color w:val="1B4332"/>
        </w:rPr>
        <w:t xml:space="preserve">• Bahaya Kerehatan dan Kewaspadaan daripada Lena Kelalaian: </w:t>
      </w:r>
      <w:r/>
    </w:p>
    <w:p>
      <w:pPr>
        <w:spacing w:before="40" w:after="40"/>
        <w:ind w:left="360"/>
      </w:pPr>
      <w:r>
        <w:t>Kerehatan bagi pejuang merupakan satu kelalaian; kerehatan fizikal dan perkara mubah hanya diambil sekadar memulihkan kesegaran jasad untuk kembali beramal dan berwaspada di benteng dakwah.</w:t>
      </w:r>
    </w:p>
    <w:p>
      <w:pPr>
        <w:spacing w:before="40" w:after="40"/>
        <w:ind w:left="360"/>
      </w:pPr>
      <w:r>
        <w:rPr>
          <w:b/>
          <w:color w:val="1B4332"/>
        </w:rPr>
        <w:t xml:space="preserve">• Fitnah Ketamadunan Moden dan Neraca Masa Imam Hasan al-Banna: </w:t>
      </w:r>
      <w:r/>
    </w:p>
    <w:p>
      <w:pPr>
        <w:spacing w:before="40" w:after="40"/>
        <w:ind w:left="360"/>
      </w:pPr>
      <w:r>
        <w:t>Ketamadunan moden memudahkan limpahan fitnah syahwat dan kelalaian; da'i wajib menghayati neraca Imam Hasan al-Banna bahawa *"Masa itu ialah Kehidupan"* dan merancang setiap detik untuk ketaatan.</w:t>
      </w:r>
    </w:p>
    <w:p>
      <w:pPr>
        <w:spacing w:before="40" w:after="40"/>
        <w:ind w:left="360"/>
      </w:pPr>
      <w:r>
        <w:rPr>
          <w:b/>
          <w:color w:val="1B4332"/>
        </w:rPr>
        <w:t xml:space="preserve">• Keteladanan Imam Ahmad Menanggalkan Kerehatan dalam Mehnah: </w:t>
      </w:r>
      <w:r/>
    </w:p>
    <w:p>
      <w:pPr>
        <w:spacing w:before="40" w:after="40"/>
        <w:ind w:left="360"/>
      </w:pPr>
      <w:r>
        <w:t>Maruah pejuang menuntut penanggalan kerehatan; mencontohi ketabahan Imam Ahmad yang mencurahkan segenap tenaga keupayaan (*badzaltu majhūdī*) sehingga keletihan fizikal bertukar menjadi kelazatan rohani.</w:t>
      </w:r>
    </w:p>
    <w:p>
      <w:pPr>
        <w:spacing w:before="40" w:after="40"/>
        <w:ind w:left="360"/>
      </w:pPr>
      <w:r>
        <w:rPr>
          <w:b/>
          <w:color w:val="1B4332"/>
        </w:rPr>
        <w:t xml:space="preserve">• Kerehatan Hakiki pada Langkah Pertama Menjejak Syurga: </w:t>
      </w:r>
      <w:r/>
    </w:p>
    <w:p>
      <w:pPr>
        <w:spacing w:before="40" w:after="40"/>
        <w:ind w:left="360"/>
      </w:pPr>
      <w:r>
        <w:t>Kerehatan sejati bagi da'i bukanlah di atas tilam dunia, melainkan tatkala kaki pertama melangkah masuk ke dalam Syurga; fajar ganjaran pahala meringankan segala beban taklif.</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Menolak Keluhan Pasif dan Menyahut Seruan Himmah: </w:t>
      </w:r>
      <w:r/>
    </w:p>
    <w:p>
      <w:pPr>
        <w:spacing w:before="40" w:after="40"/>
        <w:ind w:left="360"/>
      </w:pPr>
      <w:r>
        <w:t>Membongkar hakikat bahawa kesedihan dan rintihan pasif melihat kemunduran umat langsung tidak memberi manfaat jika tidak diiringi dengan tindakan pembetulan (*istidrāk*). Menyahut seruan Syeikh Abdul Qadir al-Kailani agar bangkit melangkah bersama para pemilik himmah yang tinggi.</w:t>
      </w:r>
    </w:p>
    <w:p>
      <w:pPr>
        <w:spacing w:before="40" w:after="40"/>
        <w:ind w:left="360"/>
      </w:pPr>
      <w:r>
        <w:rPr>
          <w:b/>
          <w:color w:val="1B4332"/>
        </w:rPr>
        <w:t xml:space="preserve">• Memecahkan Belenggu Syahwat dan Tarikan Kerehatan: </w:t>
      </w:r>
      <w:r/>
    </w:p>
    <w:p>
      <w:pPr>
        <w:spacing w:before="40" w:after="40"/>
        <w:ind w:left="360"/>
      </w:pPr>
      <w:r>
        <w:t>Mendedahkan muslihat nafsu yang memanjakan diri dengan kerehatan, tuntutan anak isteri, dan kemewahan yang mengikat jiwa. Da'i sejati membebaskan hatinya daripada belenggu syahwat dan bersedia menempuh jalan pengorbanan tanpa rasa takut.</w:t>
      </w:r>
    </w:p>
    <w:p>
      <w:pPr>
        <w:spacing w:before="40" w:after="40"/>
        <w:ind w:left="360"/>
      </w:pPr>
      <w:r>
        <w:rPr>
          <w:b/>
          <w:color w:val="1B4332"/>
        </w:rPr>
        <w:t xml:space="preserve">• Kemuliaan Darjat Melalui Ilmu, Jihad, dan Cita-Cita Helang: </w:t>
      </w:r>
      <w:r/>
    </w:p>
    <w:p>
      <w:pPr>
        <w:spacing w:before="40" w:after="40"/>
        <w:ind w:left="360"/>
      </w:pPr>
      <w:r>
        <w:t>Mengupas empat ayat al-Quran tentang pengangkatan darjat (*al-darajāt al-'ulā*) yang berpaksi kepada ilmu dan jihad. Membina cita-cita tinggi ibarat burung helang yang menolak untuk turun ke tanah tandus, serta menghayati wasiat ketenteraan Imam Hasan al-Banna.</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