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 | Halaman Asal 7 – 14</w:t>
      </w:r>
    </w:p>
    <w:p>
      <w:pPr>
        <w:spacing w:before="40" w:after="40"/>
        <w:ind w:left="360"/>
      </w:pPr>
      <w:r>
        <w:rPr>
          <w:b/>
          <w:color w:val="1B4332"/>
        </w:rPr>
        <w:t xml:space="preserve">Ringkasan Am Mukadimah: </w:t>
      </w:r>
      <w:r/>
    </w:p>
    <w:p>
      <w:pPr>
        <w:spacing w:before="40" w:after="40" w:line="276" w:lineRule="auto"/>
      </w:pPr>
      <w:r>
        <w:t>Gerakan dakwah Islamiah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Gerakan Islamiah Wajib Memiliki Firasat Meneliti Dirinya Sendiri: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keepNext/>
        <w:spacing w:before="240" w:after="80"/>
      </w:pPr>
      <w:r>
        <w:rPr>
          <w:b/>
          <w:color w:val="2D6A4F"/>
          <w:sz w:val="26"/>
        </w:rPr>
        <w:t>📌 BAB 1: TASBIH MENGUKUHKAN KEKUASAAN</w:t>
      </w:r>
    </w:p>
    <w:p>
      <w:pPr>
        <w:keepNext/>
        <w:spacing w:before="200" w:after="60"/>
      </w:pPr>
      <w:r>
        <w:rPr>
          <w:b/>
          <w:color w:val="081C15"/>
          <w:sz w:val="24"/>
        </w:rPr>
        <w:t>*(Tasbīh Yasyuddu al-Mulk - تَسْبِيحٌ يَشُدُّ المُلْكَ)* | Halaman Asal 15 – 26</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daie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*(Al-Daqā'iq al-Ghāliyah - الدَّقَائِقُ الغَالِيَةُ)* | Halaman Asal 27 – 37</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daie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*(Al-Ibtidā' - الابْتِدَاءُ)* | Halaman Asal 39 – 48</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*(Naḥwa Afrāḥ al-Ākhirah - نَحْوَ أَفْرَاحِ الآخِرَةِ)* | Halaman Asal 49 – 62</w:t>
      </w:r>
    </w:p>
    <w:p>
      <w:pPr>
        <w:spacing w:before="40" w:after="40"/>
        <w:ind w:left="360"/>
      </w:pPr>
      <w:r>
        <w:rPr>
          <w:b/>
          <w:color w:val="1B4332"/>
        </w:rPr>
        <w:t xml:space="preserve">Ringkasan Am Bab 4: </w:t>
      </w:r>
      <w:r/>
    </w:p>
    <w:p>
      <w:pPr>
        <w:spacing w:before="40" w:after="40" w:line="276" w:lineRule="auto"/>
      </w:pPr>
      <w:r>
        <w:t>Perjalanan seorang daie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Dan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Dan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Dan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Dan Engkau Pemilik Matlamat: </w:t>
      </w:r>
      <w:r/>
    </w:p>
    <w:p>
      <w:pPr>
        <w:spacing w:before="40" w:after="40"/>
        <w:ind w:left="360"/>
      </w:pPr>
      <w:r>
        <w:t>Matlamat yang jelas memandu daie agar tidak terpesong oleh godaan remeh di tepi jalan.</w:t>
      </w:r>
    </w:p>
    <w:p>
      <w:pPr>
        <w:spacing w:before="40" w:after="40"/>
        <w:ind w:left="360"/>
      </w:pPr>
      <w:r>
        <w:rPr>
          <w:b/>
          <w:color w:val="1B4332"/>
        </w:rPr>
        <w:t xml:space="preserve">• Dan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*(Al-Ukhuwwah Syi'ār Da'watinā - الأُخُوَّةُ شِعَارُ دَعْوَتِنَا)* | Halaman Asal 63 – 82</w:t>
      </w:r>
    </w:p>
    <w:p>
      <w:pPr>
        <w:spacing w:before="40" w:after="40"/>
        <w:ind w:left="360"/>
      </w:pPr>
      <w:r>
        <w:rPr>
          <w:b/>
          <w:color w:val="1B4332"/>
        </w:rPr>
        <w:t xml:space="preserve">Ringkasan Am Bab 5: </w:t>
      </w:r>
      <w:r/>
    </w:p>
    <w:p>
      <w:pPr>
        <w:spacing w:before="40" w:after="40" w:line="276" w:lineRule="auto"/>
      </w:pPr>
      <w:r>
        <w:t>Persaudaraan Islamiah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Dan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*(Asyjār al-Īmān - أَشْجَارُ الإِيمَانِ)* | Halaman Asal 83 – 96</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daie.</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KEPUNGAN ANGAN-ANGAN</w:t>
      </w:r>
    </w:p>
    <w:p>
      <w:pPr>
        <w:keepNext/>
        <w:spacing w:before="200" w:after="60"/>
      </w:pPr>
      <w:r>
        <w:rPr>
          <w:b/>
          <w:color w:val="081C15"/>
          <w:sz w:val="24"/>
        </w:rPr>
        <w:t>*(Ḥiṣār al-Amal - حِصَارُ الأَمَلِ)* | Halaman Asal 97 – 112</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daie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daie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BUKIT-BUKIT KITA YANG KAKU</w:t>
      </w:r>
    </w:p>
    <w:p>
      <w:pPr>
        <w:keepNext/>
        <w:spacing w:before="200" w:after="60"/>
      </w:pPr>
      <w:r>
        <w:rPr>
          <w:b/>
          <w:color w:val="081C15"/>
          <w:sz w:val="24"/>
        </w:rPr>
        <w:t>*(Tilālunā al-Hāmidah - تِلاَلُنَا الهَامِدَةُ)* | Halaman Asal 113 – 123</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daie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 | Halaman Asal 124 – 137</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t xml:space="preserve">• Muncullah Umar bin Abdul Aziz di Syam: </w:t>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t xml:space="preserve">• Neraca Hasan al-Basri dalam Fiqh Dakwah: </w:t>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Dan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JANGAN.. WAHAI BELENGGU-BELENGGU BUMI!</w:t>
      </w:r>
    </w:p>
    <w:p>
      <w:pPr>
        <w:keepNext/>
        <w:spacing w:before="200" w:after="60"/>
      </w:pPr>
      <w:r>
        <w:rPr>
          <w:b/>
          <w:color w:val="081C15"/>
          <w:sz w:val="24"/>
        </w:rPr>
        <w:t>*(Lā.. Yā Quyūd al-Arḍ - لاَ.. يَا قُيُودَ الأَرْضِ)* | Halaman Asal 138 – 149</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Dan Selepas Itu...: </w:t>
      </w:r>
      <w:r/>
    </w:p>
    <w:p>
      <w:pPr>
        <w:spacing w:before="40" w:after="40"/>
        <w:ind w:left="360"/>
      </w:pPr>
      <w:r>
        <w:t>Daie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 | Halaman Asal 150 – 162</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DAIE</w:t>
      </w:r>
    </w:p>
    <w:p>
      <w:pPr>
        <w:keepNext/>
        <w:spacing w:before="200" w:after="60"/>
      </w:pPr>
      <w:r>
        <w:rPr>
          <w:b/>
          <w:color w:val="081C15"/>
          <w:sz w:val="24"/>
        </w:rPr>
        <w:t>*(Qiṣaṣ min Lahw al-Du'āt - قِصَصٌ مِنْ لَهْوِ الدُّعَاةِ)* | Halaman Asal 163 – 175</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daie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Daie hidup dengan kebebasan yang mematahkan belenggu syahwat dan harapan yang membakar keyakinan kemenangan.</w:t>
      </w:r>
    </w:p>
    <w:p>
      <w:pPr>
        <w:spacing w:before="40" w:after="40"/>
        <w:ind w:left="360"/>
      </w:pPr>
      <w:r>
        <w:rPr>
          <w:b/>
          <w:color w:val="1B4332"/>
        </w:rPr>
        <w:t xml:space="preserve">• Berbicara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Berbicara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Berbicara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al-Asadiyyah: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Menggalas Uncang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Hanabilah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Dan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 | Halaman Asal 175</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