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rPr>
          <w:sz w:val="19"/>
        </w:rPr>
        <w:t xml:space="preserve">   • Gerakan Islamiah Wajib Memiliki Firasat Meneliti Dirinya Sendiri</w:t>
      </w:r>
      <w:r>
        <w:rPr>
          <w:sz w:val="19"/>
        </w:rPr>
        <w:tab/>
        <w:t>1</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Dan Engkau Pemilik Iman</w:t>
      </w:r>
      <w:r>
        <w:rPr>
          <w:sz w:val="19"/>
        </w:rPr>
        <w:tab/>
        <w:t>28</w:t>
      </w:r>
    </w:p>
    <w:p>
      <w:pPr>
        <w:tabs>
          <w:tab w:pos="9072" w:val="right" w:leader="dot"/>
        </w:tabs>
        <w:spacing w:after="40" w:before="0"/>
      </w:pPr>
      <w:r>
        <w:rPr>
          <w:sz w:val="19"/>
        </w:rPr>
        <w:t xml:space="preserve">   • Dan Manusia yang Paling Penat Ialah yang Agung Tuntutan Cita-Citanya</w:t>
      </w:r>
      <w:r>
        <w:rPr>
          <w:sz w:val="19"/>
        </w:rPr>
        <w:tab/>
        <w:t>29</w:t>
      </w:r>
    </w:p>
    <w:p>
      <w:pPr>
        <w:tabs>
          <w:tab w:pos="9072" w:val="right" w:leader="dot"/>
        </w:tabs>
        <w:spacing w:after="40" w:before="0"/>
      </w:pPr>
      <w:r>
        <w:rPr>
          <w:sz w:val="19"/>
        </w:rPr>
        <w:t xml:space="preserve">   • Dan Engkau Insan Merdeka yang Mulia</w:t>
      </w:r>
      <w:r>
        <w:rPr>
          <w:sz w:val="19"/>
        </w:rPr>
        <w:tab/>
        <w:t>29</w:t>
      </w:r>
    </w:p>
    <w:p>
      <w:pPr>
        <w:tabs>
          <w:tab w:pos="9072" w:val="right" w:leader="dot"/>
        </w:tabs>
        <w:spacing w:after="40" w:before="0"/>
      </w:pPr>
      <w:r>
        <w:rPr>
          <w:sz w:val="19"/>
        </w:rPr>
        <w:t xml:space="preserve">   • Dan Engkau Pemilik Matlamat</w:t>
      </w:r>
      <w:r>
        <w:rPr>
          <w:sz w:val="19"/>
        </w:rPr>
        <w:tab/>
        <w:t>29</w:t>
      </w:r>
    </w:p>
    <w:p>
      <w:pPr>
        <w:tabs>
          <w:tab w:pos="9072" w:val="right" w:leader="dot"/>
        </w:tabs>
        <w:spacing w:after="40" w:before="0"/>
      </w:pPr>
      <w:r>
        <w:rPr>
          <w:sz w:val="19"/>
        </w:rPr>
        <w:t xml:space="preserve">   • Dan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rPr>
          <w:sz w:val="19"/>
        </w:rPr>
        <w:t xml:space="preserve">   • Dan Kita Mengiringinya dengan Persaudaraan...</w:t>
      </w:r>
      <w:r>
        <w:rPr>
          <w:sz w:val="19"/>
        </w:rPr>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rPr>
          <w:b/>
          <w:sz w:val="20"/>
        </w:rPr>
        <w:t>BAB 7: KEPUNGAN ANGAN-ANGAN (حصار الأمل)</w:t>
      </w:r>
      <w:r>
        <w:rPr>
          <w:b/>
          <w:sz w:val="20"/>
        </w:rPr>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BUKIT-BUKIT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rPr>
          <w:sz w:val="19"/>
        </w:rPr>
        <w:t xml:space="preserve">   • Dan Selepas Itu...</w:t>
      </w:r>
      <w:r>
        <w:rPr>
          <w:sz w:val="19"/>
        </w:rPr>
        <w:tab/>
        <w:t>81</w:t>
      </w:r>
    </w:p>
    <w:p>
      <w:pPr>
        <w:tabs>
          <w:tab w:pos="9072" w:val="right" w:leader="dot"/>
        </w:tabs>
        <w:spacing w:after="100" w:before="80"/>
      </w:pPr>
      <w:r>
        <w:rPr>
          <w:b/>
          <w:sz w:val="20"/>
        </w:rPr>
        <w:t>BAB 10: JANGAN.. WAHAI BELENGGU-BELENGGU BUMI! (لا.. يا قيود الأرض)</w:t>
      </w:r>
      <w:r>
        <w:rPr>
          <w:b/>
          <w:sz w:val="20"/>
        </w:rPr>
        <w:tab/>
        <w:t>83</w:t>
      </w:r>
    </w:p>
    <w:p>
      <w:pPr>
        <w:tabs>
          <w:tab w:pos="9072" w:val="right" w:leader="dot"/>
        </w:tabs>
        <w:spacing w:after="40" w:before="0"/>
      </w:pPr>
      <w:r>
        <w:rPr>
          <w:sz w:val="19"/>
        </w:rPr>
        <w:t xml:space="preserve">   • Hakikat Belenggu Dunia dan Rayuannya</w:t>
      </w:r>
      <w:r>
        <w:rPr>
          <w:sz w:val="19"/>
        </w:rPr>
        <w:tab/>
        <w:t>83</w:t>
      </w:r>
    </w:p>
    <w:p>
      <w:pPr>
        <w:tabs>
          <w:tab w:pos="9072" w:val="right" w:leader="dot"/>
        </w:tabs>
        <w:spacing w:after="40" w:before="0"/>
      </w:pPr>
      <w:r>
        <w:rPr>
          <w:sz w:val="19"/>
        </w:rPr>
        <w:t xml:space="preserve">   • Mengutamakan Akhirat daripada Harta dan Keselesaan</w:t>
      </w:r>
      <w:r>
        <w:rPr>
          <w:sz w:val="19"/>
        </w:rPr>
        <w:tab/>
        <w:t>86</w:t>
      </w:r>
    </w:p>
    <w:p>
      <w:pPr>
        <w:tabs>
          <w:tab w:pos="9072" w:val="right" w:leader="dot"/>
        </w:tabs>
        <w:spacing w:after="40" w:before="0"/>
      </w:pPr>
      <w:r>
        <w:rPr>
          <w:sz w:val="19"/>
        </w:rPr>
        <w:t xml:space="preserve">   • Dan Selepas Itu...</w:t>
      </w:r>
      <w:r>
        <w:rPr>
          <w:sz w:val="19"/>
        </w:rPr>
        <w:tab/>
        <w:t>90</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rPr>
          <w:sz w:val="19"/>
        </w:rPr>
        <w:t xml:space="preserve">   • Pembebasan Jiwa daripada Kehambaan Hawa Nafsu</w:t>
      </w:r>
      <w:r>
        <w:rPr>
          <w:sz w:val="19"/>
        </w:rPr>
        <w:tab/>
        <w:t>92</w:t>
      </w:r>
    </w:p>
    <w:p>
      <w:pPr>
        <w:tabs>
          <w:tab w:pos="9072" w:val="right" w:leader="dot"/>
        </w:tabs>
        <w:spacing w:after="40" w:before="0"/>
      </w:pPr>
      <w:r>
        <w:rPr>
          <w:sz w:val="19"/>
        </w:rPr>
        <w:t xml:space="preserve">   • Izzah Seorang Mukmin Berdepan Penguasa Dunia</w:t>
      </w:r>
      <w:r>
        <w:rPr>
          <w:sz w:val="19"/>
        </w:rPr>
        <w:tab/>
        <w:t>95</w:t>
      </w:r>
    </w:p>
    <w:p>
      <w:pPr>
        <w:tabs>
          <w:tab w:pos="9072" w:val="right" w:leader="dot"/>
        </w:tabs>
        <w:spacing w:after="40" w:before="0"/>
      </w:pPr>
      <w:r>
        <w:rPr>
          <w:sz w:val="19"/>
        </w:rPr>
        <w:t xml:space="preserve">   • Kemanisan Ketaatan Hakiki</w:t>
      </w:r>
      <w:r>
        <w:rPr>
          <w:sz w:val="19"/>
        </w:rPr>
        <w:tab/>
        <w:t>98</w:t>
      </w:r>
    </w:p>
    <w:p>
      <w:pPr>
        <w:tabs>
          <w:tab w:pos="9072" w:val="right" w:leader="dot"/>
        </w:tabs>
        <w:spacing w:after="100" w:before="80"/>
      </w:pPr>
      <w:r>
        <w:rPr>
          <w:b/>
          <w:sz w:val="20"/>
        </w:rPr>
        <w:t>BAB 12: KISAH-KISAH "HIBURAN" PARA DAIE (قصص من لهو الدعاة)</w:t>
      </w:r>
      <w:r>
        <w:rPr>
          <w:b/>
          <w:sz w:val="20"/>
        </w:rPr>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Berbicara Siang dan Malam</w:t>
      </w:r>
      <w:r>
        <w:rPr>
          <w:sz w:val="19"/>
        </w:rPr>
        <w:tab/>
        <w:t>101</w:t>
      </w:r>
    </w:p>
    <w:p>
      <w:pPr>
        <w:tabs>
          <w:tab w:pos="9072" w:val="right" w:leader="dot"/>
        </w:tabs>
        <w:spacing w:after="40" w:before="0"/>
      </w:pPr>
      <w:r>
        <w:rPr>
          <w:sz w:val="19"/>
        </w:rPr>
        <w:t xml:space="preserve">   • Berbicara Ketika Langkah-Langkah Hijrah</w:t>
      </w:r>
      <w:r>
        <w:rPr>
          <w:sz w:val="19"/>
        </w:rPr>
        <w:tab/>
        <w:t>101</w:t>
      </w:r>
    </w:p>
    <w:p>
      <w:pPr>
        <w:tabs>
          <w:tab w:pos="9072" w:val="right" w:leader="dot"/>
        </w:tabs>
        <w:spacing w:after="40" w:before="0"/>
      </w:pPr>
      <w:r>
        <w:rPr>
          <w:sz w:val="19"/>
        </w:rPr>
        <w:t xml:space="preserve">   • Berbicara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al-Asadiyyah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Menggalas Uncang Ilmu dengan Berjalan Kaki</w:t>
      </w:r>
      <w:r>
        <w:rPr>
          <w:sz w:val="19"/>
        </w:rPr>
        <w:tab/>
        <w:t>104</w:t>
      </w:r>
    </w:p>
    <w:p>
      <w:pPr>
        <w:tabs>
          <w:tab w:pos="9072" w:val="right" w:leader="dot"/>
        </w:tabs>
        <w:spacing w:after="40" w:before="0"/>
      </w:pPr>
      <w:r>
        <w:rPr>
          <w:sz w:val="19"/>
        </w:rPr>
        <w:t xml:space="preserve">   • Ulama Hanabilah Memelihara Keterampilan dan Wibawa</w:t>
      </w:r>
      <w:r>
        <w:rPr>
          <w:sz w:val="19"/>
        </w:rPr>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rPr>
          <w:sz w:val="19"/>
        </w:rPr>
        <w:t xml:space="preserve">   • Dan Kemuliaan Tatkala Saat Kematian...!</w:t>
      </w:r>
      <w:r>
        <w:rPr>
          <w:sz w:val="19"/>
        </w:rPr>
        <w:tab/>
        <w:t>106</w:t>
      </w:r>
    </w:p>
    <w:p>
      <w:pPr>
        <w:tabs>
          <w:tab w:pos="9072" w:val="right" w:leader="dot"/>
        </w:tabs>
        <w:spacing w:after="100" w:before="80"/>
      </w:pPr>
      <w:r>
        <w:rPr>
          <w:b/>
          <w:sz w:val="20"/>
        </w:rPr>
        <w:t>• KHATIMAH: Nantikanlah Kitab «al-Bawariq»</w:t>
      </w:r>
      <w:r>
        <w:rPr>
          <w:b/>
          <w:sz w:val="20"/>
        </w:rPr>
        <w:tab/>
        <w:t>107</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Islamiah.</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rsidRPr="00554C47">
        <w:rPr>
          <w:b/>
          <w:bCs/>
        </w:rPr>
        <w:t>• Gerakan Islamiah Wajib Memiliki Firasat Meneliti Dirinya Sendiri</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Islamiah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Islamiah.</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Islamiah. Sesungguhnya hikmah Islamiah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Tasbīh Yasyuddu al-Mulk</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Islamiah pada setiap masa wajib memulakan gerak kerjanya dari masjid. Dari situlah akidah diperbaiki dan para pendakwahnya diajar adab muamalat Islamiah.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di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Islamiah,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rsidRPr="00DE22E5">
        <w:t xml:space="preserve">[1] Ibnu Qutaibah, </w:t>
      </w:r>
      <w:r w:rsidRPr="00DE22E5">
        <w:rPr>
          <w:i/>
          <w:iCs/>
        </w:rPr>
        <w:t>'Uyun al-Akhbar</w:t>
      </w:r>
      <w:r w:rsidRPr="00DE22E5">
        <w:t>, jld. 3, hlm. 3.</w:t>
      </w:r>
      <w:r w:rsidRPr="00DE22E5">
        <w:br/>
        <w:t xml:space="preserve">[2] Al-Rafi'i, </w:t>
      </w:r>
      <w:r w:rsidRPr="00DE22E5">
        <w:rPr>
          <w:i/>
          <w:iCs/>
        </w:rPr>
        <w:t>Wahy al-Qalam</w:t>
      </w:r>
      <w:r w:rsidRPr="00DE22E5">
        <w:t>, jld. 1, hlm. 357–358.</w:t>
      </w:r>
      <w:r w:rsidRPr="00DE22E5">
        <w:br/>
        <w:t xml:space="preserve">[3] </w:t>
      </w:r>
      <w:r w:rsidRPr="00DE22E5">
        <w:rPr>
          <w:i/>
          <w:iCs/>
        </w:rPr>
        <w:t>Ibid.</w:t>
      </w:r>
      <w:r w:rsidRPr="00DE22E5">
        <w:br/>
        <w:t xml:space="preserve">[4] Yasin Khalil, majalah </w:t>
      </w:r>
      <w:r w:rsidRPr="00DE22E5">
        <w:rPr>
          <w:i/>
          <w:iCs/>
        </w:rPr>
        <w:t>al-Tarbiyah al-Islamiyyah</w:t>
      </w:r>
      <w:r w:rsidRPr="00DE22E5">
        <w:t xml:space="preserve"> (Iraq), jld. 5, hlm. 600.</w:t>
      </w:r>
      <w:r w:rsidRPr="00DE22E5">
        <w:br/>
        <w:t xml:space="preserve">[5] Al-Subki, </w:t>
      </w:r>
      <w:r w:rsidRPr="00DE22E5">
        <w:rPr>
          <w:i/>
          <w:iCs/>
        </w:rPr>
        <w:t>Tabaqat al-Syafi'iyyah</w:t>
      </w:r>
      <w:r w:rsidRPr="00DE22E5">
        <w:t>, jld. 1, hlm. 286.</w:t>
      </w:r>
      <w:r w:rsidRPr="00DE22E5">
        <w:br/>
        <w:t xml:space="preserve">[6] Majalah </w:t>
      </w:r>
      <w:r w:rsidRPr="00DE22E5">
        <w:rPr>
          <w:i/>
          <w:iCs/>
        </w:rPr>
        <w:t>al-Da'wah</w:t>
      </w:r>
      <w:r w:rsidRPr="00DE22E5">
        <w:t>, keluaran pertama, bil. 8, tahun 1951.</w:t>
      </w:r>
      <w:r w:rsidRPr="00DE22E5">
        <w:br/>
        <w:t xml:space="preserve">[7] Badi'uzzaman Said al-Nursi, </w:t>
      </w:r>
      <w:r w:rsidRPr="00DE22E5">
        <w:rPr>
          <w:i/>
          <w:iCs/>
        </w:rPr>
        <w:t>al-Mathnawi al-'Arabi</w:t>
      </w:r>
      <w:r w:rsidRPr="00DE22E5">
        <w:t>, hlm. 283.</w:t>
      </w:r>
      <w:r w:rsidRPr="00DE22E5">
        <w:br/>
        <w:t xml:space="preserve">[8] Al-Maududi, </w:t>
      </w:r>
      <w:r w:rsidRPr="00DE22E5">
        <w:rPr>
          <w:i/>
          <w:iCs/>
        </w:rPr>
        <w:t>al-Usus al-Akhlaqiyyah li al-Harakah al-Islamiyyah</w:t>
      </w:r>
      <w:r w:rsidRPr="00DE22E5">
        <w:t>, hlm. 72.</w:t>
      </w:r>
      <w:r w:rsidRPr="00DE22E5">
        <w:br/>
        <w:t xml:space="preserve">[9] </w:t>
      </w:r>
      <w:r w:rsidRPr="00DE22E5">
        <w:rPr>
          <w:i/>
          <w:iCs/>
        </w:rPr>
        <w:t>Sahih Muslim</w:t>
      </w:r>
      <w:r w:rsidRPr="00DE22E5">
        <w:t>, jld. 2, hlm. 131.</w:t>
      </w:r>
      <w:r w:rsidRPr="00DE22E5">
        <w:br/>
        <w:t xml:space="preserve">[10] </w:t>
      </w:r>
      <w:r w:rsidRPr="00DE22E5">
        <w:rPr>
          <w:i/>
          <w:iCs/>
        </w:rPr>
        <w:t>Sahih al-Bukhari</w:t>
      </w:r>
      <w:r w:rsidRPr="00DE22E5">
        <w:t>, jld. 1, hlm. 157–159.</w:t>
      </w:r>
      <w:r w:rsidRPr="00DE22E5">
        <w:br/>
        <w:t xml:space="preserve">[11] </w:t>
      </w:r>
      <w:r w:rsidRPr="00DE22E5">
        <w:rPr>
          <w:i/>
          <w:iCs/>
        </w:rPr>
        <w:t>Ibid.</w:t>
      </w:r>
      <w:r w:rsidRPr="00DE22E5">
        <w:br/>
        <w:t xml:space="preserve">[12] </w:t>
      </w:r>
      <w:r w:rsidRPr="00DE22E5">
        <w:rPr>
          <w:i/>
          <w:iCs/>
        </w:rPr>
        <w:t>Sahih al-Bukhari.</w:t>
      </w:r>
      <w:r w:rsidRPr="00DE22E5">
        <w:br/>
        <w:t xml:space="preserve">[13] </w:t>
      </w:r>
      <w:r w:rsidRPr="00DE22E5">
        <w:rPr>
          <w:i/>
          <w:iCs/>
        </w:rPr>
        <w:t>Ibid.</w:t>
      </w:r>
      <w:r w:rsidRPr="00DE22E5">
        <w:br/>
        <w:t xml:space="preserve">[14] </w:t>
      </w:r>
      <w:r w:rsidRPr="00DE22E5">
        <w:rPr>
          <w:i/>
          <w:iCs/>
        </w:rPr>
        <w:t>Sahih Muslim</w:t>
      </w:r>
      <w:r w:rsidRPr="00DE22E5">
        <w:t>, jld. 1, hlm. 142.</w:t>
      </w:r>
      <w:r w:rsidRPr="00DE22E5">
        <w:br/>
      </w:r>
      <w:r w:rsidRPr="00DE22E5">
        <w:lastRenderedPageBreak/>
        <w:t xml:space="preserve">[15] </w:t>
      </w:r>
      <w:r w:rsidRPr="00DE22E5">
        <w:rPr>
          <w:i/>
          <w:iCs/>
        </w:rPr>
        <w:t>Sahih al-Bukhari</w:t>
      </w:r>
      <w:r w:rsidRPr="00DE22E5">
        <w:t>, jld. 1, hlm. 137.</w:t>
      </w:r>
      <w:r w:rsidRPr="00DE22E5">
        <w:br/>
        <w:t xml:space="preserve">[16] </w:t>
      </w:r>
      <w:r w:rsidRPr="00DE22E5">
        <w:rPr>
          <w:i/>
          <w:iCs/>
        </w:rPr>
        <w:t>Ibid.</w:t>
      </w:r>
      <w:r w:rsidRPr="00DE22E5">
        <w:br/>
        <w:t xml:space="preserve">[17] </w:t>
      </w:r>
      <w:r w:rsidRPr="00DE22E5">
        <w:rPr>
          <w:i/>
          <w:iCs/>
        </w:rPr>
        <w:t>Ibid.</w:t>
      </w:r>
      <w:r w:rsidRPr="00DE22E5">
        <w:br/>
        <w:t>[18] Surah Sad, ayat 24.</w:t>
      </w:r>
      <w:r w:rsidRPr="00DE22E5">
        <w:br/>
        <w:t xml:space="preserve">[19] Ibnu Sa'ad, </w:t>
      </w:r>
      <w:r w:rsidRPr="00DE22E5">
        <w:rPr>
          <w:i/>
          <w:iCs/>
        </w:rPr>
        <w:t>Tabaqat Ibnu Sa'ad</w:t>
      </w:r>
      <w:r w:rsidRPr="00DE22E5">
        <w:t>, jld. 7, hlm. 96.</w:t>
      </w:r>
      <w:r w:rsidRPr="00DE22E5">
        <w:br/>
        <w:t xml:space="preserve">[20] Ibnu Hajar, </w:t>
      </w:r>
      <w:r w:rsidRPr="00DE22E5">
        <w:rPr>
          <w:i/>
          <w:iCs/>
        </w:rPr>
        <w:t>Tahzib al-Tahzib</w:t>
      </w:r>
      <w:r w:rsidRPr="00DE22E5">
        <w:t>, jld. 1, hlm. 173; jld. 8, hlm. 424.</w:t>
      </w:r>
      <w:r w:rsidRPr="00DE22E5">
        <w:br/>
        <w:t xml:space="preserve">[21] </w:t>
      </w:r>
      <w:r w:rsidRPr="00DE22E5">
        <w:rPr>
          <w:i/>
          <w:iCs/>
        </w:rPr>
        <w:t>Ibid</w:t>
      </w:r>
      <w:r w:rsidRPr="00DE22E5">
        <w:t>, jld. 1, hlm. 447.</w:t>
      </w:r>
      <w:r w:rsidRPr="00DE22E5">
        <w:br/>
        <w:t xml:space="preserve">[22] </w:t>
      </w:r>
      <w:r w:rsidRPr="00DE22E5">
        <w:rPr>
          <w:i/>
          <w:iCs/>
        </w:rPr>
        <w:t>Ibid.</w:t>
      </w:r>
      <w:r w:rsidRPr="00DE22E5">
        <w:br/>
        <w:t xml:space="preserve">[23] Ibnu Rajab, </w:t>
      </w:r>
      <w:r w:rsidRPr="00DE22E5">
        <w:rPr>
          <w:i/>
          <w:iCs/>
        </w:rPr>
        <w:t>Zail Tabaqat al-Hanabilah</w:t>
      </w:r>
      <w:r w:rsidRPr="00DE22E5">
        <w:t>, jld. 2, hlm. 365.</w:t>
      </w:r>
      <w:r w:rsidRPr="00DE22E5">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Al-Daqā'iq al-Ghāliyah</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Islamiah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lastRenderedPageBreak/>
        <w:t>Kita tidak menuturkan perkara ini buat kali pertama, bahkan ia merupakan wasiat Imam Hassan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di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rsidRPr="00DE22E5">
        <w:t xml:space="preserve">[1] Walid al-A'zami, majalah </w:t>
      </w:r>
      <w:r w:rsidRPr="00DE22E5">
        <w:rPr>
          <w:i/>
          <w:iCs/>
        </w:rPr>
        <w:t>al-Tarbiyah al-Islamiyyah</w:t>
      </w:r>
      <w:r w:rsidRPr="00DE22E5">
        <w:t>, jld. 7, hlm. 637.</w:t>
      </w:r>
      <w:r w:rsidRPr="00DE22E5">
        <w:br/>
        <w:t xml:space="preserve">[2] Mustafa Sadiq al-Rafi'i, </w:t>
      </w:r>
      <w:r w:rsidRPr="00DE22E5">
        <w:rPr>
          <w:i/>
          <w:iCs/>
        </w:rPr>
        <w:t>Wahy al-Qalam</w:t>
      </w:r>
      <w:r w:rsidRPr="00DE22E5">
        <w:t>, jld. 1, hlm. 359–364.</w:t>
      </w:r>
      <w:r w:rsidRPr="00DE22E5">
        <w:br/>
        <w:t xml:space="preserve">[3] </w:t>
      </w:r>
      <w:r w:rsidRPr="00DE22E5">
        <w:rPr>
          <w:i/>
          <w:iCs/>
        </w:rPr>
        <w:t>Ibid.</w:t>
      </w:r>
      <w:r w:rsidRPr="00DE22E5">
        <w:br/>
        <w:t xml:space="preserve">[4] Muhammad Iqbal, </w:t>
      </w:r>
      <w:r w:rsidRPr="00DE22E5">
        <w:rPr>
          <w:i/>
          <w:iCs/>
        </w:rPr>
        <w:t>Diwan al-Asrar wa al-Rumuz</w:t>
      </w:r>
      <w:r w:rsidRPr="00DE22E5">
        <w:t>, hlm. 79.</w:t>
      </w:r>
      <w:r w:rsidRPr="00DE22E5">
        <w:br/>
        <w:t xml:space="preserve">[5] Majalah </w:t>
      </w:r>
      <w:r w:rsidRPr="00DE22E5">
        <w:rPr>
          <w:i/>
          <w:iCs/>
        </w:rPr>
        <w:t>al-Da'wah</w:t>
      </w:r>
      <w:r w:rsidRPr="00DE22E5">
        <w:t>, keluaran lama, bil. 63.</w:t>
      </w:r>
      <w:r w:rsidRPr="00DE22E5">
        <w:br/>
        <w:t xml:space="preserve">[6] Walid al-A'zami, </w:t>
      </w:r>
      <w:r w:rsidRPr="00DE22E5">
        <w:rPr>
          <w:i/>
          <w:iCs/>
        </w:rPr>
        <w:t>Aghani al-Ma'rakah</w:t>
      </w:r>
      <w:r w:rsidRPr="00DE22E5">
        <w:t>, hlm. 38.</w:t>
      </w:r>
      <w:r w:rsidRPr="00DE22E5">
        <w:br/>
        <w:t xml:space="preserve">[7] Al-Subki, </w:t>
      </w:r>
      <w:r w:rsidRPr="00DE22E5">
        <w:rPr>
          <w:i/>
          <w:iCs/>
        </w:rPr>
        <w:t>Tabaqat al-Syafi'iyyah</w:t>
      </w:r>
      <w:r w:rsidRPr="00DE22E5">
        <w:t>, jld. 3, hlm. 171.</w:t>
      </w:r>
      <w:r w:rsidRPr="00DE22E5">
        <w:br/>
        <w:t xml:space="preserve">[8] Ibnu al-Qayyim, </w:t>
      </w:r>
      <w:r w:rsidRPr="00DE22E5">
        <w:rPr>
          <w:i/>
          <w:iCs/>
        </w:rPr>
        <w:t>Ighathat al-Lahfan</w:t>
      </w:r>
      <w:r w:rsidRPr="00DE22E5">
        <w:t>, hlm. 255.</w:t>
      </w:r>
      <w:r w:rsidRPr="00DE22E5">
        <w:br/>
        <w:t xml:space="preserve">[9] Abdul Wahhab 'Azzam, </w:t>
      </w:r>
      <w:r w:rsidRPr="00DE22E5">
        <w:rPr>
          <w:i/>
          <w:iCs/>
        </w:rPr>
        <w:t>Diwan al-Mathani</w:t>
      </w:r>
      <w:r w:rsidRPr="00DE22E5">
        <w:t>, hlm. 35.</w:t>
      </w:r>
      <w:r w:rsidRPr="00DE22E5">
        <w:br/>
        <w:t xml:space="preserve">[10] Walid al-A'zami, majalah </w:t>
      </w:r>
      <w:r w:rsidRPr="00DE22E5">
        <w:rPr>
          <w:i/>
          <w:iCs/>
        </w:rPr>
        <w:t>al-Tarbiyah al-Islamiyyah</w:t>
      </w:r>
      <w:r w:rsidRPr="00DE22E5">
        <w:t>, jld. 7, hlm. 636.</w:t>
      </w:r>
      <w:r w:rsidRPr="00DE22E5">
        <w:br/>
        <w:t xml:space="preserve">[11] Walid al-A'zami, </w:t>
      </w:r>
      <w:r w:rsidRPr="00DE22E5">
        <w:rPr>
          <w:i/>
          <w:iCs/>
        </w:rPr>
        <w:t>Aghani al-Ma'rakah</w:t>
      </w:r>
      <w:r w:rsidRPr="00DE22E5">
        <w:t>,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Al-Ibtidā'</w:t>
      </w:r>
      <w:r w:rsidRPr="00F14E91">
        <w:rPr>
          <w:b/>
          <w:bCs/>
        </w:rPr>
        <w:t>)</w:t>
      </w:r>
    </w:p>
    <w:p w14:paraId="0E76E507" w14:textId="77777777" w:rsidR="00F14E91" w:rsidRPr="00DE22E5" w:rsidRDefault="00F14E91" w:rsidP="00F14E91">
      <w:r w:rsidRPr="00DE22E5">
        <w:t>Setiap orang yang mengamalkan gerak kerja tarbiah harakiah Islamiah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Iaitu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Iaitu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Nahwa Afrāh al-Ākhirah</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rsidRPr="00DE22E5">
        <w:rPr>
          <w:i/>
          <w:iCs/>
        </w:rP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di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Dan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Dan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Dan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Dan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Dan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Islamiah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Islamiah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(al-Ukhuwwah Syi'ār Da'watinā)</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Islamiah,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Islamiah, serta sarana bagi jemaah tersebut menunaikan peranannya yang agung dan berat. Sekiranya salah satu daripadanya runtuh, maka tidak akan wujud lagi jemaah Islamiah,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Islamiah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rsidRPr="00835D55">
        <w:rPr>
          <w:b/>
          <w:bCs/>
        </w:rPr>
        <w:t>• Dan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Islamiah yang pertama, dan ia adalah nikmat yang sentiasa dikurniakan oleh Allah kepada hamba-hamba yang dikasihi-Nya." ) [5]</w:t>
      </w:r>
    </w:p>
    <w:p w14:paraId="32B61AB6" w14:textId="77777777" w:rsidR="00F14E91" w:rsidRPr="00DE22E5" w:rsidRDefault="00F14E91" w:rsidP="00F14E91">
      <w:r w:rsidRPr="00DE22E5">
        <w:t>( "Demikianlah jemaah Islamiah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rsidRPr="00DE22E5">
        <w:t>Demikianlah persaudaraan sesama da'i menjadi rukun yang terpenting dalam tarbiah kita selepas solat dan tasbih. Tiada satu bahagian pun daripada harakah Islamiah yang melepaskan dirinya terjun ke medan amal umum sebelum menyemai dan menghidupkan makna-makna persaudaraan yang berteraskan keimanan di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w:t>
      </w:r>
      <w:r w:rsidRPr="00DE22E5">
        <w:rPr>
          <w:i/>
          <w:iCs/>
        </w:rPr>
        <w:t>al-tahallum</w:t>
      </w:r>
      <w:r w:rsidRPr="00DE22E5">
        <w:t>) — jika belum mampu bersikap santun sepenuhnya (</w:t>
      </w:r>
      <w:r w:rsidRPr="00DE22E5">
        <w:rPr>
          <w:i/>
          <w:iCs/>
        </w:rPr>
        <w:t>al-hilm</w:t>
      </w:r>
      <w:r w:rsidRPr="00DE22E5">
        <w:t>)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rsidRPr="00DE22E5">
        <w:t>Apa yang mendukacitakan ialah kebimbangan Ibnu al-Qayyim ini telah bertukar menjadi suatu realiti yang sedang dialami oleh sebahagian majlis para da'i pada masa kini: sikap berhias-hias mencari jalan untuk muncul di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Islamiah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Di 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rsidRPr="00DE22E5">
        <w:t xml:space="preserve">[1] </w:t>
      </w:r>
      <w:r w:rsidRPr="00DE22E5">
        <w:rPr>
          <w:i/>
          <w:iCs/>
        </w:rPr>
        <w:t>Fī Zhilāl al-Qur'ān</w:t>
      </w:r>
      <w:r w:rsidRPr="00DE22E5">
        <w:t>, 4/22-32.</w:t>
      </w:r>
      <w:r w:rsidRPr="00DE22E5">
        <w:br/>
        <w:t xml:space="preserve">[2] </w:t>
      </w:r>
      <w:r w:rsidRPr="00DE22E5">
        <w:rPr>
          <w:i/>
          <w:iCs/>
        </w:rPr>
        <w:t>Fī Zhilāl al-Qur'ān</w:t>
      </w:r>
      <w:r w:rsidRPr="00DE22E5">
        <w:t>, 4/22-32.</w:t>
      </w:r>
      <w:r w:rsidRPr="00DE22E5">
        <w:br/>
        <w:t xml:space="preserve">[3] </w:t>
      </w:r>
      <w:r w:rsidRPr="00DE22E5">
        <w:rPr>
          <w:i/>
          <w:iCs/>
        </w:rPr>
        <w:t>Fī Zhilāl al-Qur'ān</w:t>
      </w:r>
      <w:r w:rsidRPr="00DE22E5">
        <w:t>, 4/22-32.</w:t>
      </w:r>
      <w:r w:rsidRPr="00DE22E5">
        <w:br/>
        <w:t xml:space="preserve">[4] </w:t>
      </w:r>
      <w:r w:rsidRPr="00DE22E5">
        <w:rPr>
          <w:i/>
          <w:iCs/>
        </w:rPr>
        <w:t>Dīwān al-Asrār wa al-Rumūz</w:t>
      </w:r>
      <w:r w:rsidRPr="00DE22E5">
        <w:t>, hlm. 89.</w:t>
      </w:r>
      <w:r w:rsidRPr="00DE22E5">
        <w:br/>
        <w:t xml:space="preserve">[5] </w:t>
      </w:r>
      <w:r w:rsidRPr="00DE22E5">
        <w:rPr>
          <w:i/>
          <w:iCs/>
        </w:rPr>
        <w:t>Fī Zhilāl al-Qur'ān</w:t>
      </w:r>
      <w:r w:rsidRPr="00DE22E5">
        <w:t>, 4/23-28.</w:t>
      </w:r>
      <w:r w:rsidRPr="00DE22E5">
        <w:br/>
        <w:t xml:space="preserve">[6] </w:t>
      </w:r>
      <w:r w:rsidRPr="00DE22E5">
        <w:rPr>
          <w:i/>
          <w:iCs/>
        </w:rPr>
        <w:t>Fī Zhilāl al-Qur'ān</w:t>
      </w:r>
      <w:r w:rsidRPr="00DE22E5">
        <w:t>, 4/23-28.</w:t>
      </w:r>
      <w:r w:rsidRPr="00DE22E5">
        <w:br/>
        <w:t xml:space="preserve">[7] </w:t>
      </w:r>
      <w:r w:rsidRPr="00DE22E5">
        <w:rPr>
          <w:i/>
          <w:iCs/>
        </w:rPr>
        <w:t>Dīwān al-Asrār wa al-Rumūz</w:t>
      </w:r>
      <w:r w:rsidRPr="00DE22E5">
        <w:t>, hlm. 89.</w:t>
      </w:r>
      <w:r w:rsidRPr="00DE22E5">
        <w:br/>
        <w:t xml:space="preserve">[8] </w:t>
      </w:r>
      <w:r w:rsidRPr="00DE22E5">
        <w:rPr>
          <w:i/>
          <w:iCs/>
        </w:rPr>
        <w:t>Majmū' Fatāwā Ibnu Taimiyah</w:t>
      </w:r>
      <w:r w:rsidRPr="00DE22E5">
        <w:t>, 11/101.</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9/98.</w:t>
      </w:r>
      <w:r w:rsidRPr="00DE22E5">
        <w:br/>
        <w:t xml:space="preserve">[10] </w:t>
      </w:r>
      <w:r w:rsidRPr="00DE22E5">
        <w:rPr>
          <w:i/>
          <w:iCs/>
        </w:rPr>
        <w:t>Dīwān al-Asrār wa al-Rumūz</w:t>
      </w:r>
      <w:r w:rsidRPr="00DE22E5">
        <w:t>, hlm. 84.</w:t>
      </w:r>
      <w:r w:rsidRPr="00DE22E5">
        <w:br/>
        <w:t xml:space="preserve">[11] </w:t>
      </w:r>
      <w:r w:rsidRPr="00DE22E5">
        <w:rPr>
          <w:i/>
          <w:iCs/>
        </w:rPr>
        <w:t>Risālah al-Ta'ālīm</w:t>
      </w:r>
      <w:r w:rsidRPr="00DE22E5">
        <w:t xml:space="preserve">, Majmū'ah Rasā'il al-Imām al-Syahīd </w:t>
      </w:r>
      <w:r w:rsidRPr="00DE22E5">
        <w:rPr>
          <w:rFonts w:ascii="Calibri" w:hAnsi="Calibri" w:cs="Calibri"/>
        </w:rPr>
        <w:t>Ḥ</w:t>
      </w:r>
      <w:r w:rsidRPr="00DE22E5">
        <w:t>asan al-Bannā, hlm. 28.</w:t>
      </w:r>
      <w:r w:rsidRPr="00DE22E5">
        <w:br/>
        <w:t xml:space="preserve">[12] </w:t>
      </w:r>
      <w:r w:rsidRPr="00DE22E5">
        <w:rPr>
          <w:i/>
          <w:iCs/>
        </w:rPr>
        <w:t>Kitāb al-Zuhd</w:t>
      </w:r>
      <w:r w:rsidRPr="00DE22E5">
        <w:t>, Ibnu al-Mubārak, hlm. 232.</w:t>
      </w:r>
      <w:r w:rsidRPr="00DE22E5">
        <w:br/>
        <w:t xml:space="preserve">[13] </w:t>
      </w:r>
      <w:r w:rsidRPr="00DE22E5">
        <w:rPr>
          <w:i/>
          <w:iCs/>
        </w:rPr>
        <w:t>Naf</w:t>
      </w:r>
      <w:r w:rsidRPr="00DE22E5">
        <w:rPr>
          <w:rFonts w:ascii="Calibri" w:hAnsi="Calibri" w:cs="Calibri"/>
          <w:i/>
          <w:iCs/>
        </w:rPr>
        <w:t>ḥ</w:t>
      </w:r>
      <w:r w:rsidRPr="00DE22E5">
        <w:rPr>
          <w:i/>
          <w:iCs/>
        </w:rPr>
        <w:t xml:space="preserve"> al-</w:t>
      </w:r>
      <w:r w:rsidRPr="00DE22E5">
        <w:rPr>
          <w:rFonts w:ascii="Calibri" w:hAnsi="Calibri" w:cs="Calibri"/>
          <w:i/>
          <w:iCs/>
        </w:rPr>
        <w:t>Ṭ</w:t>
      </w:r>
      <w:r w:rsidRPr="00DE22E5">
        <w:rPr>
          <w:i/>
          <w:iCs/>
        </w:rPr>
        <w:t>īb</w:t>
      </w:r>
      <w:r w:rsidRPr="00DE22E5">
        <w:t>, al-Maqqarī, 8/67.</w:t>
      </w:r>
      <w:r w:rsidRPr="00DE22E5">
        <w:br/>
        <w:t xml:space="preserve">[14] </w:t>
      </w:r>
      <w:r w:rsidRPr="00DE22E5">
        <w:rPr>
          <w:i/>
          <w:iCs/>
        </w:rPr>
        <w:t>Dīwān Abī al-'Atāhiyah</w:t>
      </w:r>
      <w:r w:rsidRPr="00DE22E5">
        <w:t>, hlm. 25.</w:t>
      </w:r>
      <w:r w:rsidRPr="00DE22E5">
        <w:br/>
        <w:t xml:space="preserve">[15] </w:t>
      </w:r>
      <w:r w:rsidRPr="00DE22E5">
        <w:rPr>
          <w:i/>
          <w:iCs/>
        </w:rPr>
        <w:t>Kitāb al-Zuhd</w:t>
      </w:r>
      <w:r w:rsidRPr="00DE22E5">
        <w:t>, Ibnu al-Mubārak, hlm. 416.</w:t>
      </w:r>
      <w:r w:rsidRPr="00DE22E5">
        <w:br/>
        <w:t xml:space="preserve">[16] </w:t>
      </w:r>
      <w:r w:rsidRPr="00DE22E5">
        <w:rPr>
          <w:i/>
          <w:iCs/>
        </w:rPr>
        <w:t>I</w:t>
      </w:r>
      <w:r w:rsidRPr="00DE22E5">
        <w:rPr>
          <w:rFonts w:ascii="Calibri" w:hAnsi="Calibri" w:cs="Calibri"/>
          <w:i/>
          <w:iCs/>
        </w:rPr>
        <w:t>ḥ</w:t>
      </w:r>
      <w:r w:rsidRPr="00DE22E5">
        <w:rPr>
          <w:i/>
          <w:iCs/>
        </w:rPr>
        <w:t>yā' 'Ulūm al-Dīn</w:t>
      </w:r>
      <w:r w:rsidRPr="00DE22E5">
        <w:t>, 2/188.</w:t>
      </w:r>
      <w:r w:rsidRPr="00DE22E5">
        <w:br/>
        <w:t xml:space="preserve">[17] </w:t>
      </w:r>
      <w:r w:rsidRPr="00DE22E5">
        <w:rPr>
          <w:i/>
          <w:iCs/>
        </w:rPr>
        <w:t>Manāqib al-Imām A</w:t>
      </w:r>
      <w:r w:rsidRPr="00DE22E5">
        <w:rPr>
          <w:rFonts w:ascii="Calibri" w:hAnsi="Calibri" w:cs="Calibri"/>
          <w:i/>
          <w:iCs/>
        </w:rPr>
        <w:t>ḥ</w:t>
      </w:r>
      <w:r w:rsidRPr="00DE22E5">
        <w:rPr>
          <w:i/>
          <w:iCs/>
        </w:rPr>
        <w:t>mad</w:t>
      </w:r>
      <w:r w:rsidRPr="00DE22E5">
        <w:t>, Ibnu al-Jauzī, hlm. 114.</w:t>
      </w:r>
      <w:r w:rsidRPr="00DE22E5">
        <w:br/>
        <w:t xml:space="preserve">[18] </w:t>
      </w:r>
      <w:r w:rsidRPr="00DE22E5">
        <w:rPr>
          <w:i/>
          <w:iCs/>
        </w:rPr>
        <w:t>I</w:t>
      </w:r>
      <w:r w:rsidRPr="00DE22E5">
        <w:rPr>
          <w:rFonts w:ascii="Calibri" w:hAnsi="Calibri" w:cs="Calibri"/>
          <w:i/>
          <w:iCs/>
        </w:rPr>
        <w:t>ḥ</w:t>
      </w:r>
      <w:r w:rsidRPr="00DE22E5">
        <w:rPr>
          <w:i/>
          <w:iCs/>
        </w:rPr>
        <w:t>yā' 'Ulūm al-Dīn</w:t>
      </w:r>
      <w:r w:rsidRPr="00DE22E5">
        <w:t>, 2/176.</w:t>
      </w:r>
      <w:r w:rsidRPr="00DE22E5">
        <w:br/>
        <w:t xml:space="preserve">[19] </w:t>
      </w:r>
      <w:r w:rsidRPr="00DE22E5">
        <w:rPr>
          <w:i/>
          <w:iCs/>
        </w:rPr>
        <w:t>Majallah al-Tarbiyah al-Islāmiyyah</w:t>
      </w:r>
      <w:r w:rsidRPr="00DE22E5">
        <w:t>, 7/55.</w:t>
      </w:r>
      <w:r w:rsidRPr="00DE22E5">
        <w:br/>
        <w:t xml:space="preserve">[20] </w:t>
      </w:r>
      <w:r w:rsidRPr="00DE22E5">
        <w:rPr>
          <w:i/>
          <w:iCs/>
        </w:rPr>
        <w:t>Tahdhīb al-Tahdhīb</w:t>
      </w:r>
      <w:r w:rsidRPr="00DE22E5">
        <w:t>, 3/396.</w:t>
      </w:r>
      <w:r w:rsidRPr="00DE22E5">
        <w:br/>
        <w:t xml:space="preserve">[21] </w:t>
      </w:r>
      <w:r w:rsidRPr="00DE22E5">
        <w:rPr>
          <w:i/>
          <w:iCs/>
        </w:rPr>
        <w:t>Dīwān al-Asrār wa al-Rumūz</w:t>
      </w:r>
      <w:r w:rsidRPr="00DE22E5">
        <w:t>, hlm. 72.</w:t>
      </w:r>
      <w:r w:rsidRPr="00DE22E5">
        <w:br/>
        <w:t xml:space="preserve">[22] </w:t>
      </w:r>
      <w:r w:rsidRPr="00DE22E5">
        <w:rPr>
          <w:i/>
          <w:iCs/>
        </w:rPr>
        <w:t>al-Fawā'id</w:t>
      </w:r>
      <w:r w:rsidRPr="00DE22E5">
        <w:t>, Ibnu al-Qayyim, hlm. 51.</w:t>
      </w:r>
      <w:r w:rsidRPr="00DE22E5">
        <w:br/>
        <w:t xml:space="preserve">[23] </w:t>
      </w:r>
      <w:r w:rsidRPr="00DE22E5">
        <w:rPr>
          <w:i/>
          <w:iCs/>
        </w:rPr>
        <w:t>Dīwān al-Mathānī</w:t>
      </w:r>
      <w:r w:rsidRPr="00DE22E5">
        <w:t>,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(Asyjār al-Īmān)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rsidRPr="00DE22E5">
        <w:t>Tiada seorang pun di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rsidRPr="00DE22E5">
        <w:t>• Dan Apabila Manusia Memahami Perumpamaan-perumpamaan Ini: Mereka Berlumba-lumba Menanam, Lalu Muncullah Pohon Kelapan yang Dikenali di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rsidRPr="00DE22E5">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di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14:paraId="0BB324C0" w14:textId="77777777" w:rsidR="00F14E91" w:rsidRPr="00DE22E5" w:rsidRDefault="00F14E91" w:rsidP="00F14E91">
      <w:r w:rsidRPr="00DE22E5">
        <w:t>( "Jadilah kamu seperti pohon; orang melemparkannya dengan batu, tetapi ia membalas mereka dengan buah." )</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rsidRPr="00F14E91">
        <w:rPr>
          <w:b/>
          <w:bCs/>
        </w:rPr>
        <w:lastRenderedPageBreak/>
        <w:t>7. KEPUNGAN ANGAN-ANGAN</w:t>
      </w:r>
    </w:p>
    <w:p w14:paraId="7EA49F12" w14:textId="77777777" w:rsidR="00F14E91" w:rsidRPr="00F14E91" w:rsidRDefault="00F14E91" w:rsidP="00F14E91">
      <w:pPr>
        <w:rPr>
          <w:b/>
          <w:bCs/>
        </w:rPr>
      </w:pPr>
      <w:r w:rsidRPr="00F14E91">
        <w:rPr>
          <w:b/>
          <w:bCs/>
          <w:i/>
          <w:iCs/>
        </w:rPr>
        <w:t>(Hisār al-Amal)</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Islamiah,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lastRenderedPageBreak/>
        <w:t>Gerakan Islamiah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Islamiah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Islamiah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rsidRPr="00DE22E5">
        <w:lastRenderedPageBreak/>
        <w:t>Beliau menetap di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Islamiah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rsidRPr="00F14E91">
        <w:rPr>
          <w:b/>
          <w:bCs/>
        </w:rPr>
        <w:lastRenderedPageBreak/>
        <w:t xml:space="preserve">8: </w:t>
      </w:r>
      <w:r w:rsidR="00241985">
        <w:rPr>
          <w:b/>
          <w:bCs/>
        </w:rPr>
        <w:t>Bukit-bukit</w:t>
      </w:r>
      <w:r w:rsidRPr="00F14E91">
        <w:rPr>
          <w:b/>
          <w:bCs/>
        </w:rPr>
        <w:t xml:space="preserve">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rsidRPr="00F14E91">
        <w:t>Melalui patah-patah perkataan ini, beliau RA menutup lembaran sirah kehidupan yang telah meletihkan seluruh daie Islam selepasnya.</w:t>
      </w:r>
    </w:p>
    <w:p w14:paraId="5D4C9E80" w14:textId="77777777" w:rsidR="00F14E91" w:rsidRPr="00F14E91" w:rsidRDefault="00F14E91" w:rsidP="00F14E91">
      <w:r w:rsidRPr="00F14E91">
        <w:t>Sesungguhnya kehidupan ini dituntut dan dicari oleh seorang daie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rsidRPr="00F14E91">
        <w:t>Lalu konsep ini — dengan kadar timbangan seumpama ini — menjadi wajah pelengkap bagi tarbiah harakah yang mengekang ledakan angan-angan keduniaan. Seorang daie,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rsidRPr="00F14E91">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kepungan angan-angan (</w:t>
      </w:r>
      <w:r w:rsidRPr="00F14E91">
        <w:rPr>
          <w:i/>
          <w:iCs/>
        </w:rPr>
        <w:t>hisār al-amal</w:t>
      </w:r>
      <w:r w:rsidRPr="00F14E91">
        <w:t xml:space="preserve">),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w:t>
      </w:r>
      <w:r w:rsidRPr="00F14E91">
        <w:lastRenderedPageBreak/>
        <w:t>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rsidRPr="00F14E91">
        <w:t xml:space="preserve">• </w:t>
      </w:r>
      <w:r w:rsidRPr="00F14E91">
        <w:rPr>
          <w:b/>
          <w:bCs/>
        </w:rPr>
        <w:t>Dan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lastRenderedPageBreak/>
        <w:t xml:space="preserve">10: Jangan..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14:paraId="2C3F7829" w14:textId="77777777" w:rsidR="008337FE" w:rsidRPr="008337FE" w:rsidRDefault="008337FE" w:rsidP="008337FE">
      <w:r w:rsidRPr="008337FE">
        <w:t>Sekiranya para pendakwah kepada Allah telah memahami jalan untuk membuat pembetulan (</w:t>
      </w:r>
      <w:r w:rsidRPr="008337FE">
        <w:rPr>
          <w:i/>
          <w:iCs/>
        </w:rPr>
        <w:t>istidrāk</w:t>
      </w:r>
      <w:r w:rsidRPr="008337FE">
        <w:t>),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daie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rsidRPr="008337FE">
        <w:t>Inilah hakikat yang kita kenali mengenai keperibadian seorang daie.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rsidRPr="008337FE">
        <w:t>Begitulah bukti nyata yang diberikan oleh seorang Muslim sebagai tanda kejujuran imannya.</w:t>
      </w:r>
      <w:r w:rsidRPr="008337FE">
        <w:br/>
        <w:t>Dan begitulah hakikatnya tindakan gelora kerinduan apabila ia benar-benar tulus.</w:t>
      </w:r>
      <w:r w:rsidRPr="008337FE">
        <w:br/>
        <w:t>Pada saat itu, pemiliknya enggan melainkan berhijrah dan menggabungkan diri ke dalam kafilah dakwah.</w:t>
      </w:r>
      <w:r w:rsidRPr="008337FE">
        <w:br/>
        <w:t>Dia meninggalkan setiap rakan yang melemahkannya dan menghiasi sikap mengutamakan keselamatan diri, melainkan seorang daie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rsidRPr="008337FE">
        <w:lastRenderedPageBreak/>
        <w:t xml:space="preserve">• </w:t>
      </w:r>
      <w:r w:rsidRPr="008337FE">
        <w:rPr>
          <w:b/>
          <w:bCs/>
        </w:rPr>
        <w:t>Dan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rsidRPr="008337FE">
        <w:t xml:space="preserve">[1] Ibnu Taimiyah, </w:t>
      </w:r>
      <w:r w:rsidRPr="008337FE">
        <w:rPr>
          <w:i/>
          <w:iCs/>
        </w:rPr>
        <w:t>Majmū' Fatāwā</w:t>
      </w:r>
      <w:r w:rsidRPr="008337FE">
        <w:t>, jld. 10, hlm. 17.</w:t>
      </w:r>
      <w:r w:rsidRPr="008337FE">
        <w:br/>
        <w:t xml:space="preserve">[2] Mahmud Al Ja'far, </w:t>
      </w:r>
      <w:r w:rsidRPr="008337FE">
        <w:rPr>
          <w:rFonts w:ascii="Calibri" w:hAnsi="Calibri" w:cs="Calibri"/>
          <w:i/>
          <w:iCs/>
        </w:rPr>
        <w:t>Ḥ</w:t>
      </w:r>
      <w:r w:rsidRPr="008337FE">
        <w:rPr>
          <w:i/>
          <w:iCs/>
        </w:rPr>
        <w:t>anīn ilā al-Fajr</w:t>
      </w:r>
      <w:r w:rsidRPr="008337FE">
        <w:t>, hlm. 140.</w:t>
      </w:r>
      <w:r w:rsidRPr="008337FE">
        <w:br/>
        <w:t xml:space="preserve">[3] Salahuddin Majid, majalah </w:t>
      </w:r>
      <w:r w:rsidRPr="008337FE">
        <w:rPr>
          <w:i/>
          <w:iCs/>
        </w:rPr>
        <w:t>al-Tarbiyah al-Islāmiyyah</w:t>
      </w:r>
      <w:r w:rsidRPr="008337FE">
        <w:t>, jld. 5, hlm. 594.</w:t>
      </w:r>
      <w:r w:rsidRPr="008337FE">
        <w:br/>
        <w:t xml:space="preserve">[4] Abdul Qadir al-Kailani, </w:t>
      </w:r>
      <w:r w:rsidRPr="008337FE">
        <w:rPr>
          <w:i/>
          <w:iCs/>
        </w:rPr>
        <w:t>al-Fat</w:t>
      </w:r>
      <w:r w:rsidRPr="008337FE">
        <w:rPr>
          <w:rFonts w:ascii="Calibri" w:hAnsi="Calibri" w:cs="Calibri"/>
          <w:i/>
          <w:iCs/>
        </w:rPr>
        <w:t>ḥ</w:t>
      </w:r>
      <w:r w:rsidRPr="008337FE">
        <w:rPr>
          <w:i/>
          <w:iCs/>
        </w:rPr>
        <w:t xml:space="preserve"> al-Rabbānī</w:t>
      </w:r>
      <w:r w:rsidRPr="008337FE">
        <w:t>, hlm. 298.</w:t>
      </w:r>
      <w:r w:rsidRPr="008337FE">
        <w:br/>
        <w:t xml:space="preserve">[5]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35.</w:t>
      </w:r>
      <w:r w:rsidRPr="008337FE">
        <w:br/>
        <w:t xml:space="preserve">[6] Muhammad Iqbal, </w:t>
      </w:r>
      <w:r w:rsidRPr="008337FE">
        <w:rPr>
          <w:i/>
          <w:iCs/>
        </w:rPr>
        <w:t>Dīwān al-Asrār wa al-Rumūz</w:t>
      </w:r>
      <w:r w:rsidRPr="008337FE">
        <w:t>, hlm. 39.</w:t>
      </w:r>
      <w:r w:rsidRPr="008337FE">
        <w:br/>
        <w:t xml:space="preserve">[7]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46.</w:t>
      </w:r>
      <w:r w:rsidRPr="008337FE">
        <w:br/>
        <w:t xml:space="preserve">[8] Ibnu Taimiyah, </w:t>
      </w:r>
      <w:r w:rsidRPr="008337FE">
        <w:rPr>
          <w:i/>
          <w:iCs/>
        </w:rPr>
        <w:t>Majmū' Fatāwā</w:t>
      </w:r>
      <w:r w:rsidRPr="008337FE">
        <w:t>, jld. 10, hlm. 186.</w:t>
      </w:r>
      <w:r w:rsidRPr="008337FE">
        <w:br/>
        <w:t>[9] Surah al-Mujādilah, ayat 11.</w:t>
      </w:r>
      <w:r w:rsidRPr="008337FE">
        <w:br/>
        <w:t>[10] Surah al-Anfāl, ayat 2–4.</w:t>
      </w:r>
      <w:r w:rsidRPr="008337FE">
        <w:br/>
        <w:t xml:space="preserve">[11] Surah </w:t>
      </w:r>
      <w:r w:rsidRPr="008337FE">
        <w:rPr>
          <w:rFonts w:ascii="Calibri" w:hAnsi="Calibri" w:cs="Calibri"/>
        </w:rPr>
        <w:t>Ṭ</w:t>
      </w:r>
      <w:r w:rsidRPr="008337FE">
        <w:t>āhā, ayat 75.</w:t>
      </w:r>
      <w:r w:rsidRPr="008337FE">
        <w:br/>
        <w:t>[12] Surah al-Nisā', ayat 95–96.</w:t>
      </w:r>
      <w:r w:rsidRPr="008337FE">
        <w:br/>
        <w:t xml:space="preserve">[13]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50.</w:t>
      </w:r>
      <w:r w:rsidRPr="008337FE">
        <w:br/>
        <w:t xml:space="preserve">[14] Hassan al-Banna, </w:t>
      </w:r>
      <w:r w:rsidRPr="008337FE">
        <w:rPr>
          <w:i/>
          <w:iCs/>
        </w:rPr>
        <w:t>Risālah al-Ta'ālīm</w:t>
      </w:r>
      <w:r w:rsidRPr="008337FE">
        <w:t xml:space="preserve"> dlm. </w:t>
      </w:r>
      <w:r w:rsidRPr="008337FE">
        <w:rPr>
          <w:i/>
          <w:iCs/>
        </w:rPr>
        <w:t>Majmū'ah Rasā'il al-Imām</w:t>
      </w:r>
      <w:r w:rsidRPr="008337FE">
        <w:t>, hlm. 24.</w:t>
      </w:r>
      <w:r w:rsidRPr="008337FE">
        <w:br/>
        <w:t xml:space="preserve">[15] Abdul Wahhab 'Azzam, </w:t>
      </w:r>
      <w:r w:rsidRPr="008337FE">
        <w:rPr>
          <w:i/>
          <w:iCs/>
        </w:rPr>
        <w:t>Dīwān al-Mathānī</w:t>
      </w:r>
      <w:r w:rsidRPr="008337FE">
        <w:t>, hlm. 35.</w:t>
      </w:r>
      <w:r w:rsidRPr="008337FE">
        <w:br/>
        <w:t>[16] Surah al-Tawbah, ayat 38.</w:t>
      </w:r>
      <w:r w:rsidRPr="008337FE">
        <w:br/>
        <w:t>[17] Surah al-Tawbah, ayat 39.</w:t>
      </w:r>
      <w:r w:rsidRPr="008337FE">
        <w:br/>
        <w:t xml:space="preserve">[18] Sayyid Qutb, </w:t>
      </w:r>
      <w:r w:rsidRPr="008337FE">
        <w:rPr>
          <w:i/>
          <w:iCs/>
        </w:rPr>
        <w:t>Fī Zhilāl al-Qur'ān</w:t>
      </w:r>
      <w:r w:rsidRPr="008337FE">
        <w:t>, jld. 10, hlm. 223.</w:t>
      </w:r>
      <w:r w:rsidRPr="008337FE">
        <w:br/>
        <w:t xml:space="preserve">[19] Al-Maududi, </w:t>
      </w:r>
      <w:r w:rsidRPr="008337FE">
        <w:rPr>
          <w:i/>
          <w:iCs/>
        </w:rPr>
        <w:t>Tadhkirah Du'āt al-Islām</w:t>
      </w:r>
      <w:r w:rsidRPr="008337FE">
        <w:t>, hlm. 56.</w:t>
      </w:r>
      <w:r w:rsidRPr="008337FE">
        <w:br/>
        <w:t xml:space="preserve">[20] Walid al-A'zami, </w:t>
      </w:r>
      <w:r w:rsidRPr="008337FE">
        <w:rPr>
          <w:i/>
          <w:iCs/>
        </w:rPr>
        <w:t>Aghānī al-Ma'rakah</w:t>
      </w:r>
      <w:r w:rsidRPr="008337FE">
        <w:t>, hlm. 76.</w:t>
      </w:r>
      <w:r w:rsidRPr="008337FE">
        <w:br/>
        <w:t xml:space="preserve">[21] Walid al-A'zami, </w:t>
      </w:r>
      <w:r w:rsidRPr="008337FE">
        <w:rPr>
          <w:i/>
          <w:iCs/>
        </w:rPr>
        <w:t>Aghānī al-Ma'rakah</w:t>
      </w:r>
      <w:r w:rsidRPr="008337FE">
        <w:t>,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rsidRPr="007B76F7">
        <w:t>Selagi mana kesimpulan ini adalah suatu ketetapan yang pasti — bahawa orang-orang kafir tidak akan pernah reda kepada orang-orang beriman — maka hendaklah para daie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14:paraId="6B91DF23" w14:textId="77777777" w:rsidR="007B76F7" w:rsidRPr="007B76F7" w:rsidRDefault="007B76F7" w:rsidP="007B76F7">
      <w:r w:rsidRPr="007B76F7">
        <w:t>Wujud di sana suatu barisan pelopor Islam (</w:t>
      </w:r>
      <w:r w:rsidRPr="007B76F7">
        <w:rPr>
          <w:rFonts w:ascii="Calibri" w:hAnsi="Calibri" w:cs="Calibri"/>
          <w:i/>
          <w:iCs/>
        </w:rPr>
        <w:t>ṭ</w:t>
      </w:r>
      <w:r w:rsidRPr="007B76F7">
        <w:rPr>
          <w:i/>
          <w:iCs/>
        </w:rPr>
        <w:t>alī'ah islāmiyyah</w:t>
      </w:r>
      <w:r w:rsidRPr="007B76F7">
        <w:t>):</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Islamiah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di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14:paraId="44347F54" w14:textId="77777777" w:rsidR="007B76F7" w:rsidRPr="007B76F7" w:rsidRDefault="007B76F7" w:rsidP="007B76F7">
      <w:r w:rsidRPr="007B76F7">
        <w:t>Oleh yang demikian, dakwah Islamiah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daie untuk meneroka dimensi gambaran ini, mencarinya, dan menatap teladan praktikalnya.</w:t>
      </w:r>
    </w:p>
    <w:p w14:paraId="2D059933" w14:textId="77777777" w:rsidR="007B76F7" w:rsidRPr="007B76F7" w:rsidRDefault="007B76F7" w:rsidP="007B76F7">
      <w:r w:rsidRPr="007B76F7">
        <w:t xml:space="preserve">Hakikatnya, sekalipun para daie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w:t>
      </w:r>
      <w:r w:rsidRPr="007B76F7">
        <w:rPr>
          <w:i/>
          <w:iCs/>
        </w:rPr>
        <w:t>tajarrud</w:t>
      </w:r>
      <w:r w:rsidRPr="007B76F7">
        <w:t xml:space="preserve">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rsidRPr="007B76F7">
        <w:t>Sesungguhnya kewujudan teladan Islam (</w:t>
      </w:r>
      <w:r w:rsidRPr="007B76F7">
        <w:rPr>
          <w:i/>
          <w:iCs/>
        </w:rPr>
        <w:t>al-qudwah al-islāmiyyah</w:t>
      </w:r>
      <w:r w:rsidRPr="007B76F7">
        <w:t>)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rsidRPr="007B76F7">
        <w:t>Sebagaimana tugas ini adalah amanah para daie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rsidRPr="007B76F7">
        <w:t>Antara penyempurna dan keperluan utama bagi perkara ini ialah memelihara keaslian permulaan (</w:t>
      </w:r>
      <w:r w:rsidRPr="007B76F7">
        <w:rPr>
          <w:i/>
          <w:iCs/>
        </w:rPr>
        <w:t>ṣafā' al-ibtidā'</w:t>
      </w:r>
      <w:r w:rsidRPr="007B76F7">
        <w:t>) dan ketulenannya. Sebagaimana seorang daie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rsidRPr="007B76F7">
        <w:t>Maka perelokkanlah permulaan langkahmu dan sempurnakannya dengan sebaik-baiknya, wahai daie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rsidRPr="009F35B4">
        <w:rPr>
          <w:b/>
          <w:bCs/>
        </w:rPr>
        <w:t>BAB 12: KISAH-KISAH "HIBURAN" PARA DAIE</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rsidRPr="009F35B4">
        <w:t>Maka bagaimanakah seorang daie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rsidRPr="009F35B4">
        <w:t>Sesungguhnya kebebasan seorang daie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rsidRPr="009F35B4">
        <w:t xml:space="preserve">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daie terdahulu: daripada kalangan para nabi, orang-orang yang benar (al-siddiqin), para khalifah yang mendapat petunjuk, para tabi'in, serta mereka yang menyusuli </w:t>
      </w:r>
      <w:r w:rsidRPr="009F35B4">
        <w:lastRenderedPageBreak/>
        <w:t>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rsidRPr="009F35B4">
        <w:t>Segala itu telah diceritakan oleh lipatan sejarah, agar menjadi pengajaran kepada para daie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Berbicara Siang dan Malam</w:t>
      </w:r>
    </w:p>
    <w:p w14:paraId="0836AA2F" w14:textId="77777777" w:rsidR="009F35B4" w:rsidRPr="009F35B4" w:rsidRDefault="009F35B4" w:rsidP="009F35B4">
      <w:r w:rsidRPr="009F35B4">
        <w:t>Golongan pertama yang mendahului kita ialah para anbiya' 'alaihimussalam. Lidah mereka sentiasa berbicara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Berbicara Ketika Langkah-Langkah Hijrah</w:t>
      </w:r>
    </w:p>
    <w:p w14:paraId="2AB72FEE" w14:textId="77777777" w:rsidR="009F35B4" w:rsidRPr="009F35B4" w:rsidRDefault="009F35B4" w:rsidP="009F35B4">
      <w:r w:rsidRPr="009F35B4">
        <w:rPr>
          <w:i/>
          <w:iCs/>
        </w:rPr>
        <w:t xml:space="preserve">“Dan realitinya, seorang daie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w:t>
      </w:r>
      <w:r w:rsidRPr="009F35B4">
        <w:rPr>
          <w:i/>
          <w:iCs/>
        </w:rPr>
        <w:lastRenderedPageBreak/>
        <w:t>kepada Islam, lalu mereka pun memeluk Islam. Hal ini membuktikan bahawa baginda SAW tidak pernah lalai daripada berdakwah ke jalan Allah, sehinggakan ketika baginda sedang dalam perjalanan berhijrah ke Madinah sementara pihak musuh pula sedang giat memburu baginda.”</w:t>
      </w:r>
      <w:r w:rsidRPr="009F35B4">
        <w:t xml:space="preserve">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Berbicara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rsidRPr="009F35B4">
        <w:t>Daie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rsidRPr="009F35B4">
        <w:t>Tiada seorang pun daripada mereka yang hadir di al-Qadisiyyah melainkan telah berjuang habis-habisan; akan tetapi para daie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al-Asadiyyah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rsidRPr="009F35B4">
        <w:t>Beliau menzahirkan hakikat pengorbanan mutlak (tajarrud) yang sebenar, maka beliau membuahkan hasil didikan tajarrud yang diwarisi; beliau mengajarkan kepada para daie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rsidRPr="009F35B4">
        <w:t>Umar mengemukakan teladan seumpama itu kepada daie Islam yang berhasrat untuk bersikap jujur dalam dakwahnya dan menunaikan amanahnya.</w:t>
      </w:r>
    </w:p>
    <w:p w14:paraId="0628FE62" w14:textId="77777777" w:rsidR="009F35B4" w:rsidRPr="009F35B4" w:rsidRDefault="009F35B4" w:rsidP="009F35B4">
      <w:r w:rsidRPr="009F35B4">
        <w:t>Kejujuran seorang daie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Orang yang Berjaya Merentas Jalan Sambil Menggalas Uncang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rsidRPr="009F35B4">
        <w:t xml:space="preserve">Antara murid-murid beliau ialah: al-Hafiz, al-Imam, al-Faqih, al-Zahid, al-Muhaddis Ishaq bin Mansur yang dikenali sebagai al-Kausaj, guru kepada Imam al-Bukhari, Muslim dan selain </w:t>
      </w:r>
      <w:r w:rsidRPr="009F35B4">
        <w:lastRenderedPageBreak/>
        <w:t>kedua-duanya. Beliau menetap di Naisabur di Khurasan, lalu beliau bermusafir ke Baghdad dan mencatat banyak masalah fiqh daripada Ahmad bin Hanbal, kemudian beliau kembali ke Naisabur. Kemudian:</w:t>
      </w:r>
    </w:p>
    <w:p w14:paraId="3BB33197" w14:textId="77777777" w:rsidR="009F35B4" w:rsidRPr="009F35B4" w:rsidRDefault="009F35B4" w:rsidP="009F35B4">
      <w:r w:rsidRPr="009F35B4">
        <w:rPr>
          <w:i/>
          <w:iCs/>
        </w:rPr>
        <w:t>Sampai berita kepadanya bahawa Ahmad bin Hanbal telah menarik balik sebahagian daripada pandangan masalah tersebut; maka beliau terus menggalas uncang catatannya di atas bahunya dan bermusafir berjalan kaki menuju ke Baghdad menemui Imam Ahmad, lalu beliau membentangkan tulisan tangan Ahmad atas setiap masalah yang beliau fatwakan, maka Imam Ahmad memperakuinya dan berasa amat kagum dengannya.</w:t>
      </w:r>
      <w:r w:rsidRPr="009F35B4">
        <w:t xml:space="preserve">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rsidRPr="009F35B4">
        <w:t xml:space="preserve">• </w:t>
      </w:r>
      <w:r w:rsidRPr="009F35B4">
        <w:rPr>
          <w:b/>
          <w:bCs/>
        </w:rPr>
        <w:t>Ulama Hanabilah Memelihara Keterampilan dan Wibawa</w:t>
      </w:r>
    </w:p>
    <w:p w14:paraId="09F51B69" w14:textId="77777777" w:rsidR="009F35B4" w:rsidRPr="009F35B4" w:rsidRDefault="009F35B4" w:rsidP="009F35B4">
      <w:r w:rsidRPr="009F35B4">
        <w:t>Ibnu Aqil — pakar nahu dan faqih Hanbali — melakarkan potret seorang daie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rsidRPr="009F35B4">
        <w:t>Begitulah sewajarnya, tanda raut wajah para daie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rsidRPr="009F35B4">
        <w:t>Generasi abad ini daripada kalangan para daie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rsidRPr="009F35B4">
        <w:t xml:space="preserve">• </w:t>
      </w:r>
      <w:r w:rsidRPr="009F35B4">
        <w:rPr>
          <w:b/>
          <w:bCs/>
        </w:rPr>
        <w:t xml:space="preserve">Dan Kemuliaan Tatkala Saat </w:t>
      </w:r>
      <w:r w:rsidRPr="009F35B4">
        <w:rPr>
          <w:b/>
          <w:bCs/>
        </w:rPr>
        <w:t>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rsidRPr="009F35B4">
        <w:rPr>
          <w:i/>
          <w:iCs/>
        </w:rP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daie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daie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rsidRPr="009F35B4">
        <w:t xml:space="preserve">Peristiwa dan kisah-kisah yang dilalui oleh seorang daie ini wajar diambil daripadanya pengajaran dan iktibar; dan seorang yang berjiwa besar akan berdoa: </w:t>
      </w:r>
      <w:r w:rsidRPr="009F35B4">
        <w:rPr>
          <w:i/>
          <w:iCs/>
        </w:rPr>
        <w:t>Ya Allah, himpunkanlah kami bersama mereka di negeri kemuliaan-Mu!</w:t>
      </w:r>
    </w:p>
    <w:p w14:paraId="1C4BCF36" w14:textId="77777777" w:rsidR="009F35B4" w:rsidRPr="009F35B4" w:rsidRDefault="009F35B4" w:rsidP="009F35B4">
      <w:r w:rsidRPr="009F35B4">
        <w:t>Dan demikianlah Kami kisahkan kisah-kisah ini kepada para daie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