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t>• Firasat Meneliti Diri dan Neraca Tarbiah Harakiah</w:t>
        <w:tab/>
        <w:t>1</w:t>
        <w:br/>
        <w:t>• Ketenangan Jiwa dan Daya Lajakan Asal</w:t>
        <w:tab/>
        <w:t>2</w:t>
        <w:br/>
        <w:t>• Kilauan Bayang di Permukaan Tasik</w:t>
        <w:tab/>
        <w:t>3</w:t>
        <w:br/>
        <w:t>• Simpang Petunjuk dan Keperluan Amaran Pelembut Hati</w:t>
        <w:tab/>
        <w:t>4</w:t>
        <w:br/>
        <w:t>• Ketinggian Iman Mendepani Falsafah Bahimiah (Kehaiwanan)</w:t>
        <w:tab/>
        <w:t>5</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Engkau Pemilik Iman</w:t>
      </w:r>
      <w:r>
        <w:rPr>
          <w:sz w:val="19"/>
        </w:rPr>
        <w:tab/>
        <w:t>28</w:t>
      </w:r>
    </w:p>
    <w:p>
      <w:pPr>
        <w:tabs>
          <w:tab w:pos="9072" w:val="right" w:leader="dot"/>
        </w:tabs>
        <w:spacing w:after="40" w:before="0"/>
      </w:pPr>
      <w:r>
        <w:rPr>
          <w:sz w:val="19"/>
        </w:rPr>
        <w:t xml:space="preserve">   • Manusia yang Paling Penat Ialah yang Agung Tuntutan Cita-Citanya</w:t>
      </w:r>
      <w:r>
        <w:rPr>
          <w:sz w:val="19"/>
        </w:rPr>
        <w:tab/>
        <w:t>29</w:t>
      </w:r>
    </w:p>
    <w:p>
      <w:pPr>
        <w:tabs>
          <w:tab w:pos="9072" w:val="right" w:leader="dot"/>
        </w:tabs>
        <w:spacing w:after="40" w:before="0"/>
      </w:pPr>
      <w:r>
        <w:rPr>
          <w:sz w:val="19"/>
        </w:rPr>
        <w:t xml:space="preserve">   • Engkau Insan Merdeka yang Mulia</w:t>
      </w:r>
      <w:r>
        <w:rPr>
          <w:sz w:val="19"/>
        </w:rPr>
        <w:tab/>
        <w:t>29</w:t>
      </w:r>
    </w:p>
    <w:p>
      <w:pPr>
        <w:tabs>
          <w:tab w:pos="9072" w:val="right" w:leader="dot"/>
        </w:tabs>
        <w:spacing w:after="40" w:before="0"/>
      </w:pPr>
      <w:r>
        <w:rPr>
          <w:sz w:val="19"/>
        </w:rPr>
        <w:t xml:space="preserve">   • Engkau Pemilik Matlamat</w:t>
      </w:r>
      <w:r>
        <w:rPr>
          <w:sz w:val="19"/>
        </w:rPr>
        <w:tab/>
        <w:t>29</w:t>
      </w:r>
    </w:p>
    <w:p>
      <w:pPr>
        <w:tabs>
          <w:tab w:pos="9072" w:val="right" w:leader="dot"/>
        </w:tabs>
        <w:spacing w:after="40" w:before="0"/>
      </w:pPr>
      <w:r>
        <w:rPr>
          <w:sz w:val="19"/>
        </w:rPr>
        <w:t xml:space="preserve">   •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TIDAK.. WAHAI BELENGGU-BELENGGU BUMI! (لا.. يا قيود الأرض)</w:t>
      </w:r>
      <w:r>
        <w:rPr>
          <w:b/>
          <w:sz w:val="20"/>
        </w:rPr>
        <w:tab/>
        <w:t>83</w:t>
      </w:r>
    </w:p>
    <w:p>
      <w:pPr>
        <w:tabs>
          <w:tab w:pos="9072" w:val="right" w:leader="dot"/>
        </w:tabs>
        <w:spacing w:after="40" w:before="0"/>
      </w:pPr>
      <w:r>
        <w:t xml:space="preserve">   • Menolak Keluhan Pasif dan Menyahut Seruan Himmah</w:t>
        <w:tab/>
        <w:t>83</w:t>
        <w:br/>
        <w:t xml:space="preserve">   • Memecahkan Belenggu Syahwat dan Tarikan Kerehatan</w:t>
        <w:tab/>
        <w:t>85</w:t>
        <w:br/>
        <w:t xml:space="preserve">   • Kemuliaan Darjat Melalui Ilmu, Jihad, dan Cita-Cita Helang</w:t>
        <w:tab/>
        <w:t>88</w:t>
      </w:r>
    </w:p>
    <w:p>
      <w:pPr>
        <w:tabs>
          <w:tab w:pos="9072" w:val="right" w:leader="dot"/>
        </w:tabs>
        <w:spacing w:after="40" w:before="0"/>
      </w:pPr>
      <w:r>
        <w:t xml:space="preserve">   • Mengutamakan Akhirat daripada Harta dan Keselesaan</w:t>
        <w:tab/>
        <w:t>90</w:t>
      </w:r>
    </w:p>
    <w:p>
      <w:pPr>
        <w:tabs>
          <w:tab w:pos="9072" w:val="right" w:leader="dot"/>
        </w:tabs>
        <w:spacing w:after="40" w:before="0"/>
      </w:pPr>
      <w:r>
        <w:t xml:space="preserve">   • Selepas Itu...</w:t>
        <w:tab/>
        <w:t>91</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t xml:space="preserve">   • Pemisahan Prinsip dan Rukun Tasawur Islam</w:t>
        <w:tab/>
        <w:t>92</w:t>
        <w:br/>
        <w:t xml:space="preserve">   • Pemisahan Nabawi dan Tarbiah Keluhuran Iman</w:t>
        <w:tab/>
        <w:t>93</w:t>
        <w:br/>
        <w:t xml:space="preserve">   • Barisan Pelopor dan Hakikat Pembebasan Syahadah</w:t>
        <w:tab/>
        <w:t>94</w:t>
        <w:br/>
        <w:t xml:space="preserve">   • Pemisahan Kedua: Mematikan Kebatilan dengan Memulaukannya</w:t>
        <w:tab/>
        <w:t>95</w:t>
        <w:br/>
        <w:t xml:space="preserve">   • Da'i sebagai Model Teladan yang Merdeka</w:t>
        <w:tab/>
        <w:t>95</w:t>
      </w:r>
    </w:p>
    <w:p>
      <w:pPr>
        <w:tabs>
          <w:tab w:pos="9072" w:val="right" w:leader="dot"/>
        </w:tabs>
        <w:spacing w:after="40" w:before="0"/>
      </w:pPr>
      <w:r>
        <w:t xml:space="preserve">   • Izzah Seorang Mukmin Berdepan Penguasa Dunia</w:t>
        <w:tab/>
        <w:t>96</w:t>
      </w:r>
    </w:p>
    <w:p>
      <w:pPr>
        <w:tabs>
          <w:tab w:pos="9072" w:val="right" w:leader="dot"/>
        </w:tabs>
        <w:spacing w:after="40" w:before="0"/>
      </w:pPr>
      <w:r>
        <w:t xml:space="preserve">   • Kemanisan Ketaatan Hakiki</w:t>
        <w:tab/>
        <w:t>98</w:t>
      </w:r>
    </w:p>
    <w:p>
      <w:pPr>
        <w:tabs>
          <w:tab w:pos="9072" w:val="right" w:leader="dot"/>
        </w:tabs>
        <w:spacing w:after="100" w:before="80"/>
      </w:pPr>
      <w:r>
        <w:t>BAB 12: KISAH-KISAH "HIBURAN" PARA DA'I (قصص من لهو الدعاة)</w:t>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Berdakwah Siang dan Malam</w:t>
      </w:r>
      <w:r>
        <w:rPr>
          <w:sz w:val="19"/>
        </w:rPr>
        <w:tab/>
        <w:t>101</w:t>
      </w:r>
    </w:p>
    <w:p>
      <w:pPr>
        <w:tabs>
          <w:tab w:pos="9072" w:val="right" w:leader="dot"/>
        </w:tabs>
        <w:spacing w:after="40" w:before="0"/>
      </w:pPr>
      <w:r>
        <w:rPr>
          <w:sz w:val="19"/>
        </w:rPr>
        <w:t xml:space="preserve">   • Berdakwah Ketika Langkah-Langkah Hijrah</w:t>
      </w:r>
      <w:r>
        <w:rPr>
          <w:sz w:val="19"/>
        </w:rPr>
        <w:tab/>
        <w:t>101</w:t>
      </w:r>
    </w:p>
    <w:p>
      <w:pPr>
        <w:tabs>
          <w:tab w:pos="9072" w:val="right" w:leader="dot"/>
        </w:tabs>
        <w:spacing w:after="40" w:before="0"/>
      </w:pPr>
      <w:r>
        <w:rPr>
          <w:sz w:val="19"/>
        </w:rPr>
        <w:t xml:space="preserve">   • Berdakwah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Al-Kausaj Menjelajah Mencari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t>• Firasat Meneliti Diri dan Neraca Tarbiah Harakiah</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 Sesungguhnya hikmah Islam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Tasbih Yang Mengukuhkan Kerajaan</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 pada setiap masa wajib memulakan gerak kerjanya dari masjid. Dari situlah akidah diperbaiki dan para pendakwahnya diajar adab muamalat Islam.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t>[1] Ibnu Qutaibah, 'Uyun al-Akhbar, jld. 3, hlm. 3.</w:t>
        <w:br/>
        <w:t>[2] Al-Rafi'i, Wahy al-Qalam, jld. 1, hlm. 357–358.</w:t>
        <w:br/>
        <w:t>[3] Ibid.</w:t>
        <w:br/>
        <w:t>[4] Yasin Khalil, majalah al-Tarbiah al-Islamiah (Iraq), jld. 5, hlm. 600.</w:t>
        <w:br/>
        <w:t>[5] Al-Subki, Tabaqat al-Syafi'iyyah, jld. 1, hlm. 286.</w:t>
        <w:br/>
        <w:t>[6] Majalah al-Da'wah, keluaran pertama, bil. 8, tahun 1951.</w:t>
        <w:br/>
        <w:t>[7] Badi'uzzaman Said al-Nursi, al-Mathnawi al-'Arabi, hlm. 283.</w:t>
        <w:br/>
        <w:t>[8] Al-Maududi, al-Usus al-Akhlaqiyyah li al-Harakah al-Islamiah, hlm. 72.</w:t>
        <w:br/>
        <w:t>[9] Sahih Muslim, jld. 2, hlm. 131.</w:t>
        <w:br/>
        <w:t>[10] Sahih al-Bukhari, jld. 1, hlm. 157–159.</w:t>
        <w:br/>
        <w:t>[11] Ibid.</w:t>
        <w:br/>
        <w:t>[12] Sahih al-Bukhari.</w:t>
        <w:br/>
        <w:t>[13] Ibid.</w:t>
        <w:br/>
        <w:t>[14] Sahih Muslim, jld. 1, hlm. 142.</w:t>
        <w:br/>
        <w:t>[15] Sahih al-Bukhari, jld. 1, hlm. 137.</w:t>
        <w:br/>
        <w:t>[16] Ibid.</w:t>
        <w:br/>
        <w:t>[17] Ibid.</w:t>
        <w:br/>
        <w:t>[18] Surah Sad, ayat 24.</w:t>
        <w:br/>
        <w:t>[19] Ibnu Sa'ad, Tabaqat Ibnu Sa'ad, jld. 7, hlm. 96.</w:t>
        <w:br/>
        <w:t>[20] Ibnu Hajar, Tahzib al-Tahzib, jld. 1, hlm. 173; jld. 8, hlm. 424.</w:t>
        <w:br/>
        <w:t>[21] Ibid, jld. 1, hlm. 447.</w:t>
        <w:br/>
        <w:t>[22] Ibid.</w:t>
        <w:br/>
        <w:t>[23] Ibnu Rajab, Zail Tabaqat al-Hanabilah, jld. 2, hlm. 365.</w:t>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Syurga Orang yang Beriman Berada di Mihrabnya</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t>Kita tidak menuturkan perkara ini buat kali pertama, bahkan ia merupakan wasiat Imam Hasan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t>[1] Walid al-A'zami, majalah al-Tarbiah al-Islamiah, jld. 7, hlm. 637.</w:t>
        <w:br/>
        <w:t>[2] Mustafa Sadiq al-Rafi'i, Wahy al-Qalam, jld. 1, hlm. 359–364.</w:t>
        <w:br/>
        <w:t>[3] Ibid.</w:t>
        <w:br/>
        <w:t>[4] Muhammad Iqbal, Diwan al-Asrar wa al-Rumuz, hlm. 79.</w:t>
        <w:br/>
        <w:t>[5] Majalah al-Da'wah, keluaran lama, bil. 63.</w:t>
        <w:br/>
        <w:t>[6] Walid al-A'zami, Aghani al-Ma'rakah, hlm. 38.</w:t>
        <w:br/>
        <w:t>[7] Al-Subki, Tabaqat al-Syafi'iyyah, jld. 3, hlm. 171.</w:t>
        <w:br/>
        <w:t>[8] Ibnu al-Qayyim, Ighathat al-Lahfan, hlm. 255.</w:t>
        <w:br/>
        <w:t>[9] Abdul Wahhab 'Azzam, Diwan al-Mathani, hlm. 35.</w:t>
        <w:br/>
        <w:t>[10] Walid al-A'zami, majalah al-Tarbiah al-Islamiah, jld. 7, hlm. 636.</w:t>
        <w:br/>
        <w:t>[11] Walid al-A'zami, Aghani al-Ma'rakah,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Permulaan</w:t>
      </w:r>
      <w:r w:rsidRPr="00F14E91">
        <w:rPr>
          <w:b/>
          <w:bCs/>
        </w:rPr>
        <w:t>)</w:t>
      </w:r>
    </w:p>
    <w:p w14:paraId="0E76E507" w14:textId="77777777" w:rsidR="00F14E91" w:rsidRPr="00DE22E5" w:rsidRDefault="00F14E91" w:rsidP="00F14E91">
      <w:r w:rsidRPr="00DE22E5">
        <w:t>Setiap orang yang mengamalkan gerak kerja tarbiah harakiah Islam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Menuju Kegembiraan Akhirat</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(Persaudaraan Syiar Dakwah Kita)</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 serta sarana bagi jemaah tersebut menunaikan peranannya yang agung dan berat. Sekiranya salah satu daripadanya runtuh, maka tidak akan wujud lagi jemaah Islam,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 yang pertama, dan ia adalah nikmat yang sentiasa dikurniakan oleh Allah kepada hamba-hamba yang dikasihi-Nya." ) [5]</w:t>
      </w:r>
    </w:p>
    <w:p w14:paraId="32B61AB6" w14:textId="77777777" w:rsidR="00F14E91" w:rsidRPr="00DE22E5" w:rsidRDefault="00F14E91" w:rsidP="00F14E91">
      <w:r w:rsidRPr="00DE22E5">
        <w:t>( "Demikianlah jemaah Islam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t>Demikianlah persaudaraan sesama da'i menjadi rukun yang terpenting dalam tarbiah kita selepas solat dan tasbih. Tiada satu bahagian pun daripada harakah Islam yang melepaskan dirinya terjun ke medan amal umum sebelum menyemai dan menghidupkan makna-makna persaudaraan yang berteraskan keimanan dalam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(al-tahallum) — jika belum mampu bersikap santun sepenuhnya (al-hilm)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t>Apa yang mendukacitakan ialah kebimbangan Ibnu al-Qayyim ini telah bertukar menjadi suatu realiti yang sedang dialami oleh sebahagian majlis para da'i pada masa kini: sikap berhias-hias mencari jalan untuk muncul dalam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t>[1] Fī Zhilāl al-Qur'ān, 4/22-32.</w:t>
        <w:br/>
        <w:t>[2] Fī Zhilāl al-Qur'ān, 4/22-32.</w:t>
        <w:br/>
        <w:t>[3] Fī Zhilāl al-Qur'ān, 4/22-32.</w:t>
        <w:br/>
        <w:t>[4] Dīwān al-Asrār wa al-Rumūz, hlm. 89.</w:t>
        <w:br/>
        <w:t>[5] Fī Zhilāl al-Qur'ān, 4/23-28.</w:t>
        <w:br/>
        <w:t>[6] Fī Zhilāl al-Qur'ān, 4/23-28.</w:t>
        <w:br/>
        <w:t>[7] Dīwān al-Asrār wa al-Rumūz, hlm. 89.</w:t>
        <w:br/>
        <w:t>[8] Majmū' Fatāwā Ibnu Taimiyah, 11/101.</w:t>
        <w:br/>
        <w:t>[9] Ṣaḥīḥ al-Bukhārī, 9/98.</w:t>
        <w:br/>
        <w:t>[10] Dīwān al-Asrār wa al-Rumūz, hlm. 84.</w:t>
        <w:br/>
        <w:t>[11] Risālah al-Ta'ālīm, Majmū'ah Rasā'il al-Imām al-Syahīd Ḥasan al-Bannā, hlm. 28.</w:t>
        <w:br/>
        <w:t>[12] Kitāb al-Zuhd, Ibnu al-Mubārak, hlm. 232.</w:t>
        <w:br/>
        <w:t>[13] Nafḥ al-Ṭīb, al-Maqqarī, 8/67.</w:t>
        <w:br/>
        <w:t>[14] Dīwān Abī al-'Atāhiyah, hlm. 25.</w:t>
        <w:br/>
        <w:t>[15] Kitāb al-Zuhd, Ibnu al-Mubārak, hlm. 416.</w:t>
        <w:br/>
        <w:t>[16] Iḥyā' 'Ulūm al-Dīn, 2/188.</w:t>
        <w:br/>
        <w:t>[17] Manāqib al-Imām Aḥmad, Ibnu al-Jauzī, hlm. 114.</w:t>
        <w:br/>
        <w:t>[18] Iḥyā' 'Ulūm al-Dīn, 2/176.</w:t>
        <w:br/>
        <w:t>[19] Majallah al-Tarbiah al-Islāmiah, 7/55.</w:t>
        <w:br/>
        <w:t>[20] Tahdhīb al-Tahdhīb, 3/396.</w:t>
        <w:br/>
        <w:t>[21] Dīwān al-Asrār wa al-Rumūz, hlm. 72.</w:t>
        <w:br/>
        <w:t>[22] al-Fawā'id, Ibnu al-Qayyim, hlm. 51.</w:t>
        <w:br/>
        <w:t>[23] Dīwān al-Mathānī,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(Pohon-Pohon Keimanan)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t>Tiada seorang pun dalam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t>• Dan Apabila Manusia Memahami Perumpamaan-perumpamaan Ini: Mereka Berlumba-lumba Menanam, Lalu Muncullah Pohon Kelapan yang Dikenali dalam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dalam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pPr>
        <w:spacing w:before="120" w:after="80"/>
        <w:jc w:val="center"/>
      </w:pPr>
      <w:r>
        <w:rPr>
          <w:rFonts w:ascii="Traditional Arabic" w:hAnsi="Traditional Arabic"/>
          <w:b/>
          <w:color w:val="1B4332"/>
          <w:sz w:val="32"/>
        </w:rPr>
        <w:t>« كُونُوا كَالشَّجَرِ ، يَرْمِيهِ النَّاسُ بِالحَجَرِ ، وَيَرْمِيهِمْ بِالثَّمَرِ »</w:t>
      </w:r>
    </w:p>
    <w:p w14:paraId="0BB324C0" w14:textId="77777777" w:rsidR="00F14E91" w:rsidRPr="00DE22E5" w:rsidRDefault="00F14E91" w:rsidP="00F14E91">
      <w:pPr>
        <w:spacing w:before="40" w:after="120"/>
        <w:ind w:left="360" w:right="360"/>
        <w:jc w:val="both"/>
      </w:pPr>
      <w:r/>
      <w:r>
        <w:rPr>
          <w:rFonts w:ascii="Times New Roman" w:hAnsi="Times New Roman"/>
          <w:i/>
          <w:sz w:val="24"/>
        </w:rPr>
        <w:t>“(Jadilah kamu seperti pohon; orang melemparkannya dengan batu, tetapi ia membalas mereka dengan buah.)”</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t>(Penjara Harapan)</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t>Gerakan Islam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t>Beliau menetap dalam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t>Melalui patah-patah perkataan ini, beliau RA menutup lembaran sirah kehidupan yang telah meletihkan seluruh da'i Islam selepasnya.</w:t>
      </w:r>
    </w:p>
    <w:p w14:paraId="5D4C9E80" w14:textId="77777777" w:rsidR="00F14E91" w:rsidRPr="00F14E91" w:rsidRDefault="00F14E91" w:rsidP="00F14E91">
      <w:r>
        <w:t>Sesungguhnya kehidupan ini dituntut dan dicari oleh seorang da'i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t>Lalu konsep ini — dengan kadar timbangan seumpama ini — menjadi wajah pelengkap bagi tarbiah harakah yang mengekang ledakan angan-angan keduniaan. Seorang da'i,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t xml:space="preserve">10: Tidak..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r>
        <w:rPr>
          <w:b/>
        </w:rPr>
        <w:t>• Menolak Keluhan Pasif dan Menyahut Seruan Himmah</w:t>
      </w:r>
    </w:p>
    <w:p w14:paraId="2C3F7829" w14:textId="77777777" w:rsidR="008337FE" w:rsidRPr="008337FE" w:rsidRDefault="008337FE" w:rsidP="008337FE">
      <w:r>
        <w:t>Sekiranya para pendakwah kepada Allah telah memahami jalan untuk membuat pembetulan (istidrāk),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r>
        <w:rPr>
          <w:b/>
        </w:rPr>
        <w:t>• Memecahkan Belenggu Syahwat dan Tarikan Kerehatan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t>Inilah hakikat yang kita kenali mengenai keperibadian seorang da'i.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t>Begitulah bukti nyata yang diberikan oleh seorang Muslim sebagai tanda kejujuran imannya.</w:t>
        <w:br/>
        <w:t>Dan begitulah hakikatnya tindakan gelora kerinduan apabila ia benar-benar tulus.</w:t>
        <w:br/>
        <w:t>Pada saat itu, pemiliknya enggan melainkan berhijrah dan menggabungkan diri ke dalam kafilah dakwah.</w:t>
        <w:br/>
        <w:t>Dia meninggalkan setiap rakan yang melemahkannya dan menghiasi sikap mengutamakan keselamatan diri, melainkan seorang da'i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r>
        <w:rPr>
          <w:b/>
        </w:rPr>
        <w:t>• Kemuliaan Darjat Melalui Ilmu, Jihad, dan Cita-Cita Helang</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r>
        <w:rPr>
          <w:b/>
        </w:rPr>
        <w:t>• Mengutamakan Akhirat daripada Harta dan Keselesaan</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t>[1] Ibnu Taimiyah, Majmū' Fatāwā, jld. 10, hlm. 17.</w:t>
        <w:br/>
        <w:t>[2] Mahmud Al Ja'far, Ḥanīn ilā al-Fajr, hlm. 140.</w:t>
        <w:br/>
        <w:t>[3] Salahuddin Majid, majalah al-Tarbiah al-Islāmiah, jld. 5, hlm. 594.</w:t>
        <w:br/>
        <w:t>[4] Abdul Qadir al-Kailani, al-Fatḥ al-Rabbānī, hlm. 298.</w:t>
        <w:br/>
        <w:t>[5] Ibnu al-Qayyim, Miftāḥ Dār al-Sa'ādah, jld. 1, hlm. 35.</w:t>
        <w:br/>
        <w:t>[6] Muhammad Iqbal, Dīwān al-Asrār wa al-Rumūz, hlm. 39.</w:t>
        <w:br/>
        <w:t>[7] Ibnu al-Qayyim, Miftāḥ Dār al-Sa'ādah, jld. 1, hlm. 46.</w:t>
        <w:br/>
        <w:t>[8] Ibnu Taimiyah, Majmū' Fatāwā, jld. 10, hlm. 186.</w:t>
        <w:br/>
        <w:t>[9] Surah al-Mujādilah, ayat 11.</w:t>
        <w:br/>
        <w:t>[10] Surah al-Anfāl, ayat 2–4.</w:t>
        <w:br/>
        <w:t>[11] Surah Ṭāhā, ayat 75.</w:t>
        <w:br/>
        <w:t>[12] Surah al-Nisā', ayat 95–96.</w:t>
        <w:br/>
        <w:t>[13] Ibnu al-Qayyim, Miftāḥ Dār al-Sa'ādah, jld. 1, hlm. 50.</w:t>
        <w:br/>
        <w:t>[14] Hasan al-Banna, Risālah al-Ta'ālīm dlm. Majmū'ah Rasā'il al-Imām, hlm. 24.</w:t>
        <w:br/>
        <w:t>[15] Abdul Wahhab 'Azzam, Dīwān al-Mathānī, hlm. 35.</w:t>
        <w:br/>
        <w:t>[16] Surah al-Tawbah, ayat 38.</w:t>
        <w:br/>
        <w:t>[17] Surah al-Tawbah, ayat 39.</w:t>
        <w:br/>
        <w:t>[18] Sayyid Qutb, Fī Zhilāl al-Qur'ān, jld. 10, hlm. 223.</w:t>
        <w:br/>
        <w:t>[19] Al-Maududi, Tadhkirah Du'āt al-Islām, hlm. 56.</w:t>
        <w:br/>
        <w:t>[20] Walid al-A'zami, Aghānī al-Ma'rakah, hlm. 76.</w:t>
        <w:br/>
        <w:t>[21] Walid al-A'zami, Aghānī al-Ma'rakah,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pPr/>
      <w:r>
        <w:rPr>
          <w:b/>
        </w:rPr>
        <w:t>• Pemisahan Prinsip dan Rukun Tasawur Islam</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t>Selagi mana kesimpulan ini adalah suatu ketetapan yang pasti — bahawa orang-orang kafir tidak akan pernah reda kepada orang-orang beriman — maka hendaklah para da'i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pPr/>
      <w:r>
        <w:rPr>
          <w:b/>
        </w:rPr>
        <w:t>• Pemisahan Nabawi dan Tarbiah Keluhuran Iman</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pPr/>
      <w:r>
        <w:rPr>
          <w:b/>
        </w:rPr>
        <w:t>• Barisan Pelopor dan Hakikat Pembebasan Syahadah</w:t>
      </w:r>
    </w:p>
    <w:p w14:paraId="6B91DF23" w14:textId="77777777" w:rsidR="007B76F7" w:rsidRPr="007B76F7" w:rsidRDefault="007B76F7" w:rsidP="007B76F7">
      <w:r>
        <w:t>Wujud di sana suatu barisan pelopor Islam (ṭalī'ah islāmiah):</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pPr/>
      <w:r>
        <w:rPr>
          <w:b/>
        </w:rPr>
        <w:t>• Pemisahan Kedua: Mematikan Kebatilan dengan Memulaukannya</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pPr/>
      <w:r>
        <w:rPr>
          <w:b/>
        </w:rPr>
        <w:t>• Da'i sebagai Model Teladan yang Merdeka</w:t>
      </w:r>
    </w:p>
    <w:p w14:paraId="44347F54" w14:textId="77777777" w:rsidR="007B76F7" w:rsidRPr="007B76F7" w:rsidRDefault="007B76F7" w:rsidP="007B76F7">
      <w:r>
        <w:t>Oleh yang demikian, dakwah Islam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 untuk meneroka dimensi gambaran ini, mencarinya, dan menatap teladan praktikalnya.</w:t>
      </w:r>
    </w:p>
    <w:p w14:paraId="2D059933" w14:textId="77777777" w:rsidR="007B76F7" w:rsidRPr="007B76F7" w:rsidRDefault="007B76F7" w:rsidP="007B76F7">
      <w:r>
        <w:t>Hakikatnya, sekalipun para da'i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tajarrud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t>Sesungguhnya kewujudan teladan Islam (al-qudwah al-islāmiah)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pPr/>
      <w:r>
        <w:rPr>
          <w:b/>
        </w:rPr>
        <w:t>• Izzah Seorang Mukmin Berdepan Penguasa Dunia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pPr/>
      <w:r>
        <w:rPr>
          <w:b/>
        </w:rPr>
        <w:t>• Kemanisan Ketaatan Hakiki</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t>Sebagaimana tugas ini adalah amanah para da'i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t>Antara penyempurna dan keperluan utama bagi perkara ini ialah memelihara keaslian permulaan (ṣafā' al-ibtidā') dan ketulenannya. Sebagaimana seorang da'i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t>Maka perelokkanlah permulaan langkahmu dan sempurnakannya dengan sebaik-baiknya, wahai da'i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t>BAB 12: KISAH-KISAH "HIBURAN" PARA DA'I</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t>Maka bagaimanakah seorang da'i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t>Sesungguhnya kebebasan seorang da'i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t>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 terdahulu: daripada kalangan para nabi, orang-orang yang benar (al-siddiqin), para khalifah yang mendapat petunjuk, para tabi'in, serta mereka yang menyusuli 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t>Segala itu telah diceritakan oleh lipatan sejarah, agar menjadi pengajaran kepada para da'i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Berdakwah Siang dan Malam</w:t>
      </w:r>
    </w:p>
    <w:p w14:paraId="0836AA2F" w14:textId="77777777" w:rsidR="009F35B4" w:rsidRPr="009F35B4" w:rsidRDefault="009F35B4" w:rsidP="009F35B4">
      <w:r w:rsidRPr="009F35B4">
        <w:t>Golongan pertama yang mendahului kita ialah para anbiya' 'alaihimussalam. Lidah mereka sentiasa berdakwah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Berdakwah Ketika Langkah-Langkah Hijrah</w:t>
      </w:r>
    </w:p>
    <w:p w14:paraId="2AB72FEE" w14:textId="77777777" w:rsidR="009F35B4" w:rsidRPr="009F35B4" w:rsidRDefault="009F35B4" w:rsidP="009F35B4">
      <w:r>
        <w:t>“Dan realitinya, seorang da'i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kepada Islam, lalu mereka pun memeluk Islam. Hal ini membuktikan bahawa baginda SAW tidak pernah lalai daripada berdakwah ke jalan Allah, sehinggakan ketika baginda sedang dalam perjalanan berhijrah ke Madinah sementara pihak musuh pula sedang giat memburu baginda.”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Berdakwah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t>Da'i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t>Tiada seorang pun daripada mereka yang hadir di al-Qadisiyyah melainkan telah berjuang habis-habisan; akan tetapi para da'i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t>Beliau menzahirkan hakikat pengorbanan mutlak (tajarrud) yang sebenar, maka beliau membuahkan hasil didikan tajarrud yang diwarisi; beliau mengajarkan kepada para da'i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t>Umar mengemukakan teladan seumpama itu kepada da'i Islam yang berhasrat untuk bersikap jujur dalam dakwahnya dan menunaikan amanahnya.</w:t>
      </w:r>
    </w:p>
    <w:p w14:paraId="0628FE62" w14:textId="77777777" w:rsidR="009F35B4" w:rsidRPr="009F35B4" w:rsidRDefault="009F35B4" w:rsidP="009F35B4">
      <w:r>
        <w:t>Kejujuran seorang da'i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Al-Kausaj Menjelajah Mencari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t>Antara murid-murid beliau ialah: al-Hafiz, al-Imam, al-Faqih, al-Zahid, al-Muhaddis Ishaq bin Mansur yang dikenali sebagai al-Kausaj, guru kepada Imam al-Bukhari, Muslim dan selain kedua-duanya. Beliau menetap di Naisabur di Khurasan, lalu beliau bermusafir ke Baghdad dan mencatat banyak masalah fiqh daripada Ahmad bin Hanbal, kemudian beliau kembali ke Naisabur.</w:t>
      </w:r>
    </w:p>
    <w:p w14:paraId="3BB33197" w14:textId="77777777" w:rsidR="009F35B4" w:rsidRPr="009F35B4" w:rsidRDefault="009F35B4" w:rsidP="009F35B4">
      <w:r>
        <w:rPr>
          <w:b w:val="0"/>
          <w:i w:val="0"/>
        </w:rPr>
        <w:t>Sampai berita kepadanya bahawa Imam Ahmad bin Hanbal telah menarik balik sebahagian daripada pandangan masalah tersebut; maka beliau terus menggalas uncang catatannya di atas bahunya dan bermusafir dengan berjalan kaki menuju ke Baghdad menemui Imam Ahmad, lalu beliau membentangkan tulisan tangan Imam Ahmad bagi setiap masalah yang beliau fatwakan, lantas Imam Ahmad memperakuinya dan berasa amat kagum dengannya.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t>Ibnu Aqil — pakar nahu dan faqih Hanbali — melakarkan potret seorang da'i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t>Begitulah sewajarnya, tanda raut wajah para da'i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t>Generasi abad ini daripada kalangan para da'i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t>Peristiwa dan kisah-kisah yang dilalui oleh seorang da'i ini wajar diambil daripadanya pengajaran dan iktibar; dan seorang yang berjiwa besar akan berdoa: Ya Allah, himpunkanlah kami bersama mereka di negeri kemuliaan-Mu!</w:t>
      </w:r>
    </w:p>
    <w:p w14:paraId="1C4BCF36" w14:textId="77777777" w:rsidR="009F35B4" w:rsidRPr="009F35B4" w:rsidRDefault="009F35B4" w:rsidP="009F35B4">
      <w:r>
        <w:t>Dan demikianlah Kami kisahkan kisah-kisah ini kepada para da'i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