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5307" w14:textId="77777777" w:rsidR="007C39DA" w:rsidRPr="007C39DA" w:rsidRDefault="007C39DA" w:rsidP="007C39DA">
      <w:pPr>
        <w:rPr>
          <w:b/>
          <w:bCs/>
        </w:rPr>
      </w:pPr>
      <w:r w:rsidRPr="007C39DA">
        <w:rPr>
          <w:b/>
          <w:bCs/>
        </w:rPr>
        <w:t>Executive Summary: SEC MD&amp;A RAG Pipeline</w:t>
      </w:r>
    </w:p>
    <w:p w14:paraId="5A05FB83" w14:textId="77777777" w:rsidR="007C39DA" w:rsidRPr="007C39DA" w:rsidRDefault="007C39DA" w:rsidP="007C39DA">
      <w:r w:rsidRPr="007C39DA">
        <w:t xml:space="preserve">The SEC MD&amp;A work is building a retrieval-augmented generation application for 2024–2025 public-company filings that can query both structured financial tables and unstructured MD&amp;A narrative, footnotes, and related filing text. The core business value is to help users identify emergent issues across entities and industries by combining table extraction with semantic search over dense financial narrative. </w:t>
      </w:r>
    </w:p>
    <w:p w14:paraId="328EA928" w14:textId="77777777" w:rsidR="007C39DA" w:rsidRPr="007C39DA" w:rsidRDefault="007C39DA" w:rsidP="007C39DA">
      <w:r w:rsidRPr="007C39DA">
        <w:t xml:space="preserve">The current dataset includes cleaned 2024–2025 submissions cross-walked with NAICS, representing roughly 2,000 entities in the cleaned working set and approximately 5,500 entities in the full data. The source material is complex because SEC submissions include embedded financial tables, Excel files, PDF attachments, and HTML/XML structures, which makes preprocessing and reliable extraction challenging. </w:t>
      </w:r>
    </w:p>
    <w:p w14:paraId="25FC31D5" w14:textId="77777777" w:rsidR="007C39DA" w:rsidRPr="007C39DA" w:rsidRDefault="007C39DA" w:rsidP="007C39DA">
      <w:r w:rsidRPr="007C39DA">
        <w:t xml:space="preserve">Significant pipeline progress has been completed. The current workflow loads SEC MD&amp;A data from Parquet, extracts HTML and whitespace-aligned tables into SQLite, performs MD&amp;A section-aware chunking with fixed-size fallback, generates sentence-transformer embeddings, and stores embeddings for vector search, with Redis Vector Search as the target backend and SQLite as a fallback. </w:t>
      </w:r>
    </w:p>
    <w:p w14:paraId="57108B19" w14:textId="77777777" w:rsidR="007C39DA" w:rsidRPr="007C39DA" w:rsidRDefault="007C39DA" w:rsidP="007C39DA">
      <w:r w:rsidRPr="007C39DA">
        <w:t xml:space="preserve">At scale, the pipeline extracted 70,100 tables from 4,043 documents. Tables are currently stored in long format in SQLite, while the cleaned MD&amp;A text replaces extracted tables with a placeholder before chunking and embedding. The document notes that the table storage layer should transition to MariaDB or another full-featured database as the data is cleaned and productized. </w:t>
      </w:r>
    </w:p>
    <w:p w14:paraId="30B52C4E" w14:textId="77777777" w:rsidR="007C39DA" w:rsidRPr="007C39DA" w:rsidRDefault="007C39DA" w:rsidP="007C39DA">
      <w:r w:rsidRPr="007C39DA">
        <w:t xml:space="preserve">The text-processing design is structure-aware because company MD&amp;A submissions vary substantially even though SEC guidance suggests common sections. The pipeline uses section detection when possible and falls back to fixed-size chunking when sections are not detected. In the broader cross-walked MD&amp;A data, 159 submissions defaulted to fixed-size chunking. </w:t>
      </w:r>
    </w:p>
    <w:p w14:paraId="3171673B" w14:textId="77777777" w:rsidR="007C39DA" w:rsidRPr="007C39DA" w:rsidRDefault="007C39DA" w:rsidP="007C39DA">
      <w:r w:rsidRPr="007C39DA">
        <w:t xml:space="preserve">Embedding generation has moved from smaller 368/384-dimension models toward stronger 768-dimension models, including e5-base-v2 and gte-base-en-v1.5. In the demonstrated run, e5-base-v2 was loaded on GPU and produced 768-dimension embeddings. </w:t>
      </w:r>
    </w:p>
    <w:p w14:paraId="6692136E" w14:textId="77777777" w:rsidR="007C39DA" w:rsidRPr="007C39DA" w:rsidRDefault="007C39DA" w:rsidP="007C39DA">
      <w:r w:rsidRPr="007C39DA">
        <w:t xml:space="preserve">A 50-document sample run demonstrates the end-to-end pipeline. It extracted 1,115 tables, generated 2,061 text chunks, embedded all 2,061 chunks at 768 dimensions using e5-base-v2, and stored the results in SQLite fallback mode with KNN search using NumPy cosine similarity. </w:t>
      </w:r>
    </w:p>
    <w:p w14:paraId="0D004A5E" w14:textId="77777777" w:rsidR="007C39DA" w:rsidRPr="007C39DA" w:rsidRDefault="007C39DA" w:rsidP="007C39DA">
      <w:r w:rsidRPr="007C39DA">
        <w:t xml:space="preserve">The search layer is already functional. The sample KNN query for “liquidity and capital resources cash flow” returned top results from the “Liquidity </w:t>
      </w:r>
      <w:proofErr w:type="gramStart"/>
      <w:r w:rsidRPr="007C39DA">
        <w:t>And</w:t>
      </w:r>
      <w:proofErr w:type="gramEnd"/>
      <w:r w:rsidRPr="007C39DA">
        <w:t xml:space="preserve"> Capital Resources” section across 2024 and 2025 filings, demonstrating that the pipeline can retrieve targeted MD&amp;A passages by semantic meaning rather than keyword matching alone. </w:t>
      </w:r>
    </w:p>
    <w:p w14:paraId="5F319EBC" w14:textId="77777777" w:rsidR="007C39DA" w:rsidRPr="007C39DA" w:rsidRDefault="007C39DA" w:rsidP="007C39DA">
      <w:r w:rsidRPr="007C39DA">
        <w:t xml:space="preserve">Next steps are to transition from SQLite to a production vector store, build a user interface, improve structured table cleanup, and use LDA topic models to suggest sample queries for NAICS three-digit industries. A Redis 1G vector store has been requested </w:t>
      </w:r>
      <w:proofErr w:type="gramStart"/>
      <w:r w:rsidRPr="007C39DA">
        <w:t>from</w:t>
      </w:r>
      <w:proofErr w:type="gramEnd"/>
      <w:r w:rsidRPr="007C39DA">
        <w:t xml:space="preserve"> IT’s API Layer and Platform Engineering team, which also has resources to support developer training and curated-data publishing patterns for downstream applications. </w:t>
      </w:r>
    </w:p>
    <w:p w14:paraId="0DA3810B" w14:textId="77777777" w:rsidR="007C39DA" w:rsidRPr="007C39DA" w:rsidRDefault="007C39DA" w:rsidP="007C39DA">
      <w:r w:rsidRPr="007C39DA">
        <w:lastRenderedPageBreak/>
        <w:t>Overall, the work has moved from concept to a functioning prototype: SEC MD&amp;A filings are being cleaned, tables extracted, narrative sections chunked, embeddings generated, and semantic search demonstrated. The remaining effort is primarily production hardening: database modernization, vector-store deployment, table cleanup, UI development, and operationalizing the curated data for broader application use.</w:t>
      </w:r>
    </w:p>
    <w:p w14:paraId="549A484E" w14:textId="77777777" w:rsidR="007C39DA" w:rsidRPr="007C39DA" w:rsidRDefault="007C39DA" w:rsidP="007C39DA">
      <w:r w:rsidRPr="007C39DA">
        <w:t>Fri, Sep 11 at 12:36 PM</w:t>
      </w:r>
    </w:p>
    <w:p w14:paraId="3DD4B2DA" w14:textId="77777777" w:rsidR="007C39DA" w:rsidRPr="007C39DA" w:rsidRDefault="007C39DA" w:rsidP="007C39DA">
      <w:r w:rsidRPr="007C39DA">
        <w:t>give me one paragraph summary of the above</w:t>
      </w:r>
    </w:p>
    <w:p w14:paraId="23DE18DC" w14:textId="77777777" w:rsidR="007C39DA" w:rsidRPr="007C39DA" w:rsidRDefault="007C39DA" w:rsidP="007C39DA">
      <w:r w:rsidRPr="007C39DA">
        <w:t xml:space="preserve">The SEC MD&amp;A RAG pipeline is a working prototype that processes 2024–2025 public-company filings to support semantic search across both structured financial tables and unstructured MD&amp;A narrative and footnotes, helping identify emergent issues across entities and industries. The dataset includes cleaned submissions cross-walked with NAICS, with about 2,000 entities in the cleaned set and about 5,500 in the full data. The pipeline loads SEC MD&amp;A data from Parquet, extracts HTML and whitespace-aligned tables into SQLite, chunks cleaned text using MD&amp;A section-aware logic with fixed-size fallback, generates sentence-transformer embeddings, and stores embeddings in Redis Vector Search or SQLite fallback. A 50-document sample run extracted 1,115 tables, created 2,061 text chunks, embedded them with the 768-dimension e5-base-v2 model, and demonstrated KNN search through SQLite fallback; next steps are to move toward a production vector store, improve table cleanup, build the user interface, and use LDA topic models to suggest industry-level sample queries. </w:t>
      </w:r>
    </w:p>
    <w:p w14:paraId="18190DD3" w14:textId="77777777" w:rsidR="004E096D" w:rsidRDefault="004E096D">
      <w:r>
        <w:br w:type="page"/>
      </w:r>
    </w:p>
    <w:p w14:paraId="1C60C00E" w14:textId="76F7B649" w:rsidR="005569BC" w:rsidRDefault="004E096D">
      <w:r>
        <w:lastRenderedPageBreak/>
        <w:t>SEC2026 ADT</w:t>
      </w:r>
    </w:p>
    <w:p w14:paraId="6FBC9A3E" w14:textId="77777777" w:rsidR="004E096D" w:rsidRPr="004E096D" w:rsidRDefault="004E096D" w:rsidP="004E096D">
      <w:r w:rsidRPr="004E096D">
        <w:t xml:space="preserve">Origin AI develops patented AI-enabled presence-detection and ambient-sensing technology that analyzes radio-frequency signals to identify human presence and activity without cameras, microphones, or wearable devices. ADT’s second-quarter filing states that the acquisition closed on </w:t>
      </w:r>
      <w:r w:rsidRPr="004E096D">
        <w:rPr>
          <w:b/>
          <w:bCs/>
        </w:rPr>
        <w:t>February 20, 2026</w:t>
      </w:r>
      <w:r w:rsidRPr="004E096D">
        <w:t xml:space="preserve">. </w:t>
      </w:r>
    </w:p>
    <w:p w14:paraId="31763BFA" w14:textId="77777777" w:rsidR="004E096D" w:rsidRPr="004E096D" w:rsidRDefault="004E096D" w:rsidP="004E096D">
      <w:pPr>
        <w:rPr>
          <w:b/>
          <w:bCs/>
        </w:rPr>
      </w:pPr>
      <w:r w:rsidRPr="004E096D">
        <w:rPr>
          <w:b/>
          <w:bCs/>
        </w:rPr>
        <w:t>ADT 2026 Q2 SEC submission</w:t>
      </w:r>
    </w:p>
    <w:p w14:paraId="1FE7BE9D" w14:textId="77777777" w:rsidR="004E096D" w:rsidRPr="004E096D" w:rsidRDefault="004E096D" w:rsidP="004E096D">
      <w:r w:rsidRPr="004E096D">
        <w:rPr>
          <w:b/>
          <w:bCs/>
        </w:rPr>
        <w:t>SEC filing-detail page — Form 10-Q:</w:t>
      </w:r>
      <w:r w:rsidRPr="004E096D">
        <w:br/>
      </w:r>
      <w:hyperlink r:id="rId5" w:tgtFrame="_new" w:history="1">
        <w:r w:rsidRPr="004E096D">
          <w:rPr>
            <w:rStyle w:val="Hyperlink"/>
          </w:rPr>
          <w:t>https://www.sec.gov/Archives/edgar/data/1703056/000170305626000100/0001703056-26-000100-index.htm</w:t>
        </w:r>
      </w:hyperlink>
    </w:p>
    <w:p w14:paraId="188849E1" w14:textId="77777777" w:rsidR="004E096D" w:rsidRPr="004E096D" w:rsidRDefault="004E096D" w:rsidP="004E096D">
      <w:r w:rsidRPr="004E096D">
        <w:rPr>
          <w:b/>
          <w:bCs/>
        </w:rPr>
        <w:t>Direct Form 10-Q document:</w:t>
      </w:r>
      <w:r w:rsidRPr="004E096D">
        <w:br/>
      </w:r>
      <w:hyperlink r:id="rId6" w:tgtFrame="_new" w:history="1">
        <w:r w:rsidRPr="004E096D">
          <w:rPr>
            <w:rStyle w:val="Hyperlink"/>
          </w:rPr>
          <w:t>https://www.sec.gov/Archives/edgar/data/1703056/000170305626000100/adt-20260630.htm</w:t>
        </w:r>
      </w:hyperlink>
    </w:p>
    <w:p w14:paraId="3F870319" w14:textId="77777777" w:rsidR="004E096D" w:rsidRPr="004E096D" w:rsidRDefault="004E096D" w:rsidP="004E096D">
      <w:r w:rsidRPr="004E096D">
        <w:rPr>
          <w:b/>
          <w:bCs/>
        </w:rPr>
        <w:t>Complete SEC submission text:</w:t>
      </w:r>
      <w:r w:rsidRPr="004E096D">
        <w:br/>
      </w:r>
      <w:hyperlink r:id="rId7" w:tgtFrame="_new" w:history="1">
        <w:r w:rsidRPr="004E096D">
          <w:rPr>
            <w:rStyle w:val="Hyperlink"/>
          </w:rPr>
          <w:t>https://www.sec.gov/Archives/edgar/data/1703056/000170305626000100/0001703056-26-000100.txt</w:t>
        </w:r>
      </w:hyperlink>
    </w:p>
    <w:p w14:paraId="13CAB654" w14:textId="77777777" w:rsidR="004E096D" w:rsidRPr="004E096D" w:rsidRDefault="004E096D" w:rsidP="004E096D">
      <w:pPr>
        <w:rPr>
          <w:b/>
          <w:bCs/>
        </w:rPr>
      </w:pPr>
      <w:r w:rsidRPr="004E096D">
        <w:rPr>
          <w:b/>
          <w:bCs/>
        </w:rPr>
        <w:t>Analytics discussed in ADT’s 2026 SEC submissions</w:t>
      </w:r>
    </w:p>
    <w:p w14:paraId="62C16105" w14:textId="77777777" w:rsidR="004E096D" w:rsidRPr="004E096D" w:rsidRDefault="004E096D" w:rsidP="004E096D">
      <w:r w:rsidRPr="004E096D">
        <w:t xml:space="preserve">I reviewed ADT’s </w:t>
      </w:r>
      <w:r w:rsidRPr="004E096D">
        <w:rPr>
          <w:b/>
          <w:bCs/>
        </w:rPr>
        <w:t>2026-filed Form 10-K</w:t>
      </w:r>
      <w:r w:rsidRPr="004E096D">
        <w:t xml:space="preserve">, </w:t>
      </w:r>
      <w:r w:rsidRPr="004E096D">
        <w:rPr>
          <w:b/>
          <w:bCs/>
        </w:rPr>
        <w:t>Q1 and Q2 Forms 10-Q</w:t>
      </w:r>
      <w:r w:rsidRPr="004E096D">
        <w:t>, and the related acquisition and earnings-release exhibits. The filings describe the following analytics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8134"/>
      </w:tblGrid>
      <w:tr w:rsidR="004E096D" w:rsidRPr="004E096D" w14:paraId="48D390B4" w14:textId="77777777">
        <w:trPr>
          <w:tblHeader/>
          <w:tblCellSpacing w:w="15" w:type="dxa"/>
        </w:trPr>
        <w:tc>
          <w:tcPr>
            <w:tcW w:w="0" w:type="auto"/>
            <w:vAlign w:val="center"/>
            <w:hideMark/>
          </w:tcPr>
          <w:p w14:paraId="2FB3F8F9" w14:textId="77777777" w:rsidR="004E096D" w:rsidRPr="004E096D" w:rsidRDefault="004E096D" w:rsidP="004E096D">
            <w:pPr>
              <w:rPr>
                <w:b/>
                <w:bCs/>
              </w:rPr>
            </w:pPr>
            <w:r w:rsidRPr="004E096D">
              <w:rPr>
                <w:b/>
                <w:bCs/>
              </w:rPr>
              <w:t>Analytics area</w:t>
            </w:r>
          </w:p>
        </w:tc>
        <w:tc>
          <w:tcPr>
            <w:tcW w:w="0" w:type="auto"/>
            <w:vAlign w:val="center"/>
            <w:hideMark/>
          </w:tcPr>
          <w:p w14:paraId="26634179" w14:textId="77777777" w:rsidR="004E096D" w:rsidRPr="004E096D" w:rsidRDefault="004E096D" w:rsidP="004E096D">
            <w:pPr>
              <w:rPr>
                <w:b/>
                <w:bCs/>
              </w:rPr>
            </w:pPr>
            <w:r w:rsidRPr="004E096D">
              <w:rPr>
                <w:b/>
                <w:bCs/>
              </w:rPr>
              <w:t>What ADT discloses</w:t>
            </w:r>
          </w:p>
        </w:tc>
      </w:tr>
      <w:tr w:rsidR="004E096D" w:rsidRPr="004E096D" w14:paraId="2DA0C1C3" w14:textId="77777777">
        <w:trPr>
          <w:tblCellSpacing w:w="15" w:type="dxa"/>
        </w:trPr>
        <w:tc>
          <w:tcPr>
            <w:tcW w:w="0" w:type="auto"/>
            <w:vAlign w:val="center"/>
            <w:hideMark/>
          </w:tcPr>
          <w:p w14:paraId="776329BF" w14:textId="77777777" w:rsidR="004E096D" w:rsidRPr="004E096D" w:rsidRDefault="004E096D" w:rsidP="004E096D">
            <w:r w:rsidRPr="004E096D">
              <w:rPr>
                <w:b/>
                <w:bCs/>
              </w:rPr>
              <w:t>AI home-presence and activity analytics</w:t>
            </w:r>
          </w:p>
        </w:tc>
        <w:tc>
          <w:tcPr>
            <w:tcW w:w="0" w:type="auto"/>
            <w:vAlign w:val="center"/>
            <w:hideMark/>
          </w:tcPr>
          <w:p w14:paraId="324574DB" w14:textId="77777777" w:rsidR="004E096D" w:rsidRPr="004E096D" w:rsidRDefault="004E096D" w:rsidP="004E096D">
            <w:r w:rsidRPr="004E096D">
              <w:t xml:space="preserve">Origin AI’s technology uses AI and proprietary algorithms to analyze radio-frequency signals and classify human presence and activity without cameras, microphones, or wearables. ADT expects this to support alarm verification, false-alarm reduction, occupancy awareness, motion and anomaly analysis, smart-home automation, personalization, and aging-in-place applications. </w:t>
            </w:r>
          </w:p>
        </w:tc>
      </w:tr>
      <w:tr w:rsidR="004E096D" w:rsidRPr="004E096D" w14:paraId="3D29F3B0" w14:textId="77777777">
        <w:trPr>
          <w:tblCellSpacing w:w="15" w:type="dxa"/>
        </w:trPr>
        <w:tc>
          <w:tcPr>
            <w:tcW w:w="0" w:type="auto"/>
            <w:vAlign w:val="center"/>
            <w:hideMark/>
          </w:tcPr>
          <w:p w14:paraId="0B362544" w14:textId="77777777" w:rsidR="004E096D" w:rsidRPr="004E096D" w:rsidRDefault="004E096D" w:rsidP="004E096D">
            <w:r w:rsidRPr="004E096D">
              <w:rPr>
                <w:b/>
                <w:bCs/>
              </w:rPr>
              <w:t>ADT+ product analytics</w:t>
            </w:r>
          </w:p>
        </w:tc>
        <w:tc>
          <w:tcPr>
            <w:tcW w:w="0" w:type="auto"/>
            <w:vAlign w:val="center"/>
            <w:hideMark/>
          </w:tcPr>
          <w:p w14:paraId="374069DC" w14:textId="77777777" w:rsidR="004E096D" w:rsidRPr="004E096D" w:rsidRDefault="004E096D" w:rsidP="004E096D">
            <w:r w:rsidRPr="004E096D">
              <w:t xml:space="preserve">ADT describes the ADT+ application as a common platform spanning security, life safety, automation, and analytics. The 10-K also refers more broadly to “advanced analytics, artificial intelligence, and sensing-based technologies” in current and planned offerings. </w:t>
            </w:r>
          </w:p>
        </w:tc>
      </w:tr>
      <w:tr w:rsidR="004E096D" w:rsidRPr="004E096D" w14:paraId="50478D18" w14:textId="77777777">
        <w:trPr>
          <w:tblCellSpacing w:w="15" w:type="dxa"/>
        </w:trPr>
        <w:tc>
          <w:tcPr>
            <w:tcW w:w="0" w:type="auto"/>
            <w:vAlign w:val="center"/>
            <w:hideMark/>
          </w:tcPr>
          <w:p w14:paraId="0D768DD1" w14:textId="77777777" w:rsidR="004E096D" w:rsidRPr="004E096D" w:rsidRDefault="004E096D" w:rsidP="004E096D">
            <w:r w:rsidRPr="004E096D">
              <w:rPr>
                <w:b/>
                <w:bCs/>
              </w:rPr>
              <w:t>Customer-retention and attrition analytics</w:t>
            </w:r>
          </w:p>
        </w:tc>
        <w:tc>
          <w:tcPr>
            <w:tcW w:w="0" w:type="auto"/>
            <w:vAlign w:val="center"/>
            <w:hideMark/>
          </w:tcPr>
          <w:p w14:paraId="182B4D77" w14:textId="77777777" w:rsidR="004E096D" w:rsidRPr="004E096D" w:rsidRDefault="004E096D" w:rsidP="004E096D">
            <w:r w:rsidRPr="004E096D">
              <w:t xml:space="preserve">ADT uses </w:t>
            </w:r>
            <w:r w:rsidRPr="004E096D">
              <w:rPr>
                <w:b/>
                <w:bCs/>
              </w:rPr>
              <w:t>gross customer revenue attrition</w:t>
            </w:r>
            <w:r w:rsidRPr="004E096D">
              <w:t xml:space="preserve"> to evaluate retention, customer satisfaction, subscriber trends by acquisition or “vintage” year, the causes of attrition, and the effectiveness of retention initiatives. The Q2 filing states that a 100-basis-point change in attrition generally affects annualized recurring revenue by approximately </w:t>
            </w:r>
            <w:r w:rsidRPr="004E096D">
              <w:rPr>
                <w:b/>
                <w:bCs/>
              </w:rPr>
              <w:t>$40 million</w:t>
            </w:r>
            <w:r w:rsidRPr="004E096D">
              <w:t xml:space="preserve">. </w:t>
            </w:r>
          </w:p>
        </w:tc>
      </w:tr>
      <w:tr w:rsidR="004E096D" w:rsidRPr="004E096D" w14:paraId="1E66CAF5" w14:textId="77777777">
        <w:trPr>
          <w:tblCellSpacing w:w="15" w:type="dxa"/>
        </w:trPr>
        <w:tc>
          <w:tcPr>
            <w:tcW w:w="0" w:type="auto"/>
            <w:vAlign w:val="center"/>
            <w:hideMark/>
          </w:tcPr>
          <w:p w14:paraId="63FCBAC4" w14:textId="77777777" w:rsidR="004E096D" w:rsidRPr="004E096D" w:rsidRDefault="004E096D" w:rsidP="004E096D">
            <w:proofErr w:type="gramStart"/>
            <w:r w:rsidRPr="004E096D">
              <w:rPr>
                <w:b/>
                <w:bCs/>
              </w:rPr>
              <w:t>Recurring-revenue</w:t>
            </w:r>
            <w:proofErr w:type="gramEnd"/>
            <w:r w:rsidRPr="004E096D">
              <w:rPr>
                <w:b/>
                <w:bCs/>
              </w:rPr>
              <w:t xml:space="preserve"> and customer-economics analytics</w:t>
            </w:r>
          </w:p>
        </w:tc>
        <w:tc>
          <w:tcPr>
            <w:tcW w:w="0" w:type="auto"/>
            <w:vAlign w:val="center"/>
            <w:hideMark/>
          </w:tcPr>
          <w:p w14:paraId="7195E45D" w14:textId="77777777" w:rsidR="004E096D" w:rsidRPr="004E096D" w:rsidRDefault="004E096D" w:rsidP="004E096D">
            <w:r w:rsidRPr="004E096D">
              <w:t xml:space="preserve">Key measures include recurring monthly revenue, or </w:t>
            </w:r>
            <w:r w:rsidRPr="004E096D">
              <w:rPr>
                <w:b/>
                <w:bCs/>
              </w:rPr>
              <w:t>RMR</w:t>
            </w:r>
            <w:r w:rsidRPr="004E096D">
              <w:t xml:space="preserve">, unit count, gross RMR additions, subscriber additions, customer attrition, and revenue payback. ADT uses RMR to assess sales, installation, and retention performance and to forecast recurring revenue. For Q2 2026, ADT reported </w:t>
            </w:r>
            <w:r w:rsidRPr="004E096D">
              <w:lastRenderedPageBreak/>
              <w:t xml:space="preserve">RMR of </w:t>
            </w:r>
            <w:r w:rsidRPr="004E096D">
              <w:rPr>
                <w:b/>
                <w:bCs/>
              </w:rPr>
              <w:t>$360 million</w:t>
            </w:r>
            <w:r w:rsidRPr="004E096D">
              <w:t xml:space="preserve">, gross customer revenue attrition of </w:t>
            </w:r>
            <w:r w:rsidRPr="004E096D">
              <w:rPr>
                <w:b/>
                <w:bCs/>
              </w:rPr>
              <w:t>13.1%</w:t>
            </w:r>
            <w:r w:rsidRPr="004E096D">
              <w:t xml:space="preserve">, and revenue payback of </w:t>
            </w:r>
            <w:r w:rsidRPr="004E096D">
              <w:rPr>
                <w:b/>
                <w:bCs/>
              </w:rPr>
              <w:t>2.3 years</w:t>
            </w:r>
            <w:r w:rsidRPr="004E096D">
              <w:t xml:space="preserve">. </w:t>
            </w:r>
          </w:p>
        </w:tc>
      </w:tr>
      <w:tr w:rsidR="004E096D" w:rsidRPr="004E096D" w14:paraId="4F8CDA66" w14:textId="77777777">
        <w:trPr>
          <w:tblCellSpacing w:w="15" w:type="dxa"/>
        </w:trPr>
        <w:tc>
          <w:tcPr>
            <w:tcW w:w="0" w:type="auto"/>
            <w:vAlign w:val="center"/>
            <w:hideMark/>
          </w:tcPr>
          <w:p w14:paraId="6884E68D" w14:textId="77777777" w:rsidR="004E096D" w:rsidRPr="004E096D" w:rsidRDefault="004E096D" w:rsidP="004E096D">
            <w:r w:rsidRPr="004E096D">
              <w:rPr>
                <w:b/>
                <w:bCs/>
              </w:rPr>
              <w:lastRenderedPageBreak/>
              <w:t>Marketing-channel and lead analytics</w:t>
            </w:r>
          </w:p>
        </w:tc>
        <w:tc>
          <w:tcPr>
            <w:tcW w:w="0" w:type="auto"/>
            <w:vAlign w:val="center"/>
            <w:hideMark/>
          </w:tcPr>
          <w:p w14:paraId="4D8DAF59" w14:textId="77777777" w:rsidR="004E096D" w:rsidRPr="004E096D" w:rsidRDefault="004E096D" w:rsidP="004E096D">
            <w:r w:rsidRPr="004E096D">
              <w:t xml:space="preserve">ADT describes a lead-modeling process that dynamically allocates marketing spending according to lead flow and measured channel effectiveness. It also monitors daily sales activity and effectiveness metrics. </w:t>
            </w:r>
          </w:p>
        </w:tc>
      </w:tr>
      <w:tr w:rsidR="004E096D" w:rsidRPr="004E096D" w14:paraId="48148A51" w14:textId="77777777">
        <w:trPr>
          <w:tblCellSpacing w:w="15" w:type="dxa"/>
        </w:trPr>
        <w:tc>
          <w:tcPr>
            <w:tcW w:w="0" w:type="auto"/>
            <w:vAlign w:val="center"/>
            <w:hideMark/>
          </w:tcPr>
          <w:p w14:paraId="69A35890" w14:textId="77777777" w:rsidR="004E096D" w:rsidRPr="004E096D" w:rsidRDefault="004E096D" w:rsidP="004E096D">
            <w:r w:rsidRPr="004E096D">
              <w:rPr>
                <w:b/>
                <w:bCs/>
              </w:rPr>
              <w:t>AI marketing and personalization</w:t>
            </w:r>
          </w:p>
        </w:tc>
        <w:tc>
          <w:tcPr>
            <w:tcW w:w="0" w:type="auto"/>
            <w:vAlign w:val="center"/>
            <w:hideMark/>
          </w:tcPr>
          <w:p w14:paraId="3A898087" w14:textId="77777777" w:rsidR="004E096D" w:rsidRPr="004E096D" w:rsidRDefault="004E096D" w:rsidP="004E096D">
            <w:r w:rsidRPr="004E096D">
              <w:t xml:space="preserve">The company says it uses AI-powered sales agents, AI-assisted content creation, and advertising-platform optimization to improve efficiency, personalization, and marketing performance. It also identifies maximizing customer lifetime value through pricing, product selection, upgrades, service strategy, and longer customer tenure as a business objective. </w:t>
            </w:r>
          </w:p>
        </w:tc>
      </w:tr>
      <w:tr w:rsidR="004E096D" w:rsidRPr="004E096D" w14:paraId="5022876C" w14:textId="77777777">
        <w:trPr>
          <w:tblCellSpacing w:w="15" w:type="dxa"/>
        </w:trPr>
        <w:tc>
          <w:tcPr>
            <w:tcW w:w="0" w:type="auto"/>
            <w:vAlign w:val="center"/>
            <w:hideMark/>
          </w:tcPr>
          <w:p w14:paraId="570B2602" w14:textId="77777777" w:rsidR="004E096D" w:rsidRPr="004E096D" w:rsidRDefault="004E096D" w:rsidP="004E096D">
            <w:r w:rsidRPr="004E096D">
              <w:rPr>
                <w:b/>
                <w:bCs/>
              </w:rPr>
              <w:t>Customer-service analytics and automation</w:t>
            </w:r>
          </w:p>
        </w:tc>
        <w:tc>
          <w:tcPr>
            <w:tcW w:w="0" w:type="auto"/>
            <w:vAlign w:val="center"/>
            <w:hideMark/>
          </w:tcPr>
          <w:p w14:paraId="61BDF9BC" w14:textId="77777777" w:rsidR="004E096D" w:rsidRPr="004E096D" w:rsidRDefault="004E096D" w:rsidP="004E096D">
            <w:r w:rsidRPr="004E096D">
              <w:t xml:space="preserve">ADT uses AI virtual agents for customer interactions. Its 2026 earnings exhibits mention voice and chat agents, AI-driven call routing, integrated troubleshooting, issue-resolution performance, containment rates, digital sales engagement, and service-efficiency improvement. </w:t>
            </w:r>
          </w:p>
        </w:tc>
      </w:tr>
      <w:tr w:rsidR="004E096D" w:rsidRPr="004E096D" w14:paraId="15C95C8A" w14:textId="77777777">
        <w:trPr>
          <w:tblCellSpacing w:w="15" w:type="dxa"/>
        </w:trPr>
        <w:tc>
          <w:tcPr>
            <w:tcW w:w="0" w:type="auto"/>
            <w:vAlign w:val="center"/>
            <w:hideMark/>
          </w:tcPr>
          <w:p w14:paraId="57B22A2D" w14:textId="77777777" w:rsidR="004E096D" w:rsidRPr="004E096D" w:rsidRDefault="004E096D" w:rsidP="004E096D">
            <w:r w:rsidRPr="004E096D">
              <w:rPr>
                <w:b/>
                <w:bCs/>
              </w:rPr>
              <w:t>Credit-risk and collections analytics</w:t>
            </w:r>
          </w:p>
        </w:tc>
        <w:tc>
          <w:tcPr>
            <w:tcW w:w="0" w:type="auto"/>
            <w:vAlign w:val="center"/>
            <w:hideMark/>
          </w:tcPr>
          <w:p w14:paraId="6908E86C" w14:textId="77777777" w:rsidR="004E096D" w:rsidRPr="004E096D" w:rsidRDefault="004E096D" w:rsidP="004E096D">
            <w:r w:rsidRPr="004E096D">
              <w:t xml:space="preserve">ADT uses external credit scores and internally derived credit grades to assess customer credit quality and financing eligibility. It subsequently analyzes delinquency status and historical loss experience by customer pool when estimating expected credit losses. </w:t>
            </w:r>
          </w:p>
        </w:tc>
      </w:tr>
      <w:tr w:rsidR="004E096D" w:rsidRPr="004E096D" w14:paraId="39B797FF" w14:textId="77777777">
        <w:trPr>
          <w:tblCellSpacing w:w="15" w:type="dxa"/>
        </w:trPr>
        <w:tc>
          <w:tcPr>
            <w:tcW w:w="0" w:type="auto"/>
            <w:vAlign w:val="center"/>
            <w:hideMark/>
          </w:tcPr>
          <w:p w14:paraId="68EFE3C9" w14:textId="77777777" w:rsidR="004E096D" w:rsidRPr="004E096D" w:rsidRDefault="004E096D" w:rsidP="004E096D">
            <w:r w:rsidRPr="004E096D">
              <w:rPr>
                <w:b/>
                <w:bCs/>
              </w:rPr>
              <w:t>Fleet-safety analytics</w:t>
            </w:r>
          </w:p>
        </w:tc>
        <w:tc>
          <w:tcPr>
            <w:tcW w:w="0" w:type="auto"/>
            <w:vAlign w:val="center"/>
            <w:hideMark/>
          </w:tcPr>
          <w:p w14:paraId="56028510" w14:textId="77777777" w:rsidR="004E096D" w:rsidRPr="004E096D" w:rsidRDefault="004E096D" w:rsidP="004E096D">
            <w:r w:rsidRPr="004E096D">
              <w:t xml:space="preserve">A Q1 earnings exhibit states that ADT deployed AI dash cameras in approximately 300 technician vehicles to monitor driver behavior and issue real-time safety alerts, with early reductions reported in distracted driving and cellphone use. </w:t>
            </w:r>
          </w:p>
        </w:tc>
      </w:tr>
      <w:tr w:rsidR="004E096D" w:rsidRPr="004E096D" w14:paraId="30A13ABC" w14:textId="77777777">
        <w:trPr>
          <w:tblCellSpacing w:w="15" w:type="dxa"/>
        </w:trPr>
        <w:tc>
          <w:tcPr>
            <w:tcW w:w="0" w:type="auto"/>
            <w:vAlign w:val="center"/>
            <w:hideMark/>
          </w:tcPr>
          <w:p w14:paraId="534EDBAA" w14:textId="77777777" w:rsidR="004E096D" w:rsidRPr="004E096D" w:rsidRDefault="004E096D" w:rsidP="004E096D">
            <w:r w:rsidRPr="004E096D">
              <w:rPr>
                <w:b/>
                <w:bCs/>
              </w:rPr>
              <w:t>Customer-data and experience analytics</w:t>
            </w:r>
          </w:p>
        </w:tc>
        <w:tc>
          <w:tcPr>
            <w:tcW w:w="0" w:type="auto"/>
            <w:vAlign w:val="center"/>
            <w:hideMark/>
          </w:tcPr>
          <w:p w14:paraId="134DF448" w14:textId="77777777" w:rsidR="004E096D" w:rsidRPr="004E096D" w:rsidRDefault="004E096D" w:rsidP="004E096D">
            <w:r w:rsidRPr="004E096D">
              <w:t xml:space="preserve">ADT says its ability to analyze customer and third-party data to improve the user experience is a valuable element of its services. Its Google agreement also designates funding for “data and insights,” product innovation, customer acquisition, and marketing. </w:t>
            </w:r>
          </w:p>
        </w:tc>
      </w:tr>
      <w:tr w:rsidR="004E096D" w:rsidRPr="004E096D" w14:paraId="4CFC67B1" w14:textId="77777777">
        <w:trPr>
          <w:tblCellSpacing w:w="15" w:type="dxa"/>
        </w:trPr>
        <w:tc>
          <w:tcPr>
            <w:tcW w:w="0" w:type="auto"/>
            <w:vAlign w:val="center"/>
            <w:hideMark/>
          </w:tcPr>
          <w:p w14:paraId="34570A33" w14:textId="77777777" w:rsidR="004E096D" w:rsidRPr="004E096D" w:rsidRDefault="004E096D" w:rsidP="004E096D">
            <w:r w:rsidRPr="004E096D">
              <w:rPr>
                <w:b/>
                <w:bCs/>
              </w:rPr>
              <w:t>Financial-performance analytics</w:t>
            </w:r>
          </w:p>
        </w:tc>
        <w:tc>
          <w:tcPr>
            <w:tcW w:w="0" w:type="auto"/>
            <w:vAlign w:val="center"/>
            <w:hideMark/>
          </w:tcPr>
          <w:p w14:paraId="0A2F2072" w14:textId="77777777" w:rsidR="004E096D" w:rsidRPr="004E096D" w:rsidRDefault="004E096D" w:rsidP="004E096D">
            <w:r w:rsidRPr="004E096D">
              <w:t xml:space="preserve">Management evaluates total revenue, Adjusted EPS, Adjusted EBITDA, adjusted free cash flow, net leverage, and other operating measures for company performance, forecasting, capital allocation, and resource allocation. </w:t>
            </w:r>
          </w:p>
        </w:tc>
      </w:tr>
    </w:tbl>
    <w:p w14:paraId="0A22C693" w14:textId="77777777" w:rsidR="004E096D" w:rsidRPr="004E096D" w:rsidRDefault="004E096D" w:rsidP="004E096D">
      <w:pPr>
        <w:rPr>
          <w:b/>
          <w:bCs/>
        </w:rPr>
      </w:pPr>
      <w:r w:rsidRPr="004E096D">
        <w:rPr>
          <w:b/>
          <w:bCs/>
        </w:rPr>
        <w:t>Main takeaway</w:t>
      </w:r>
    </w:p>
    <w:p w14:paraId="73289DA3" w14:textId="77777777" w:rsidR="004E096D" w:rsidRPr="004E096D" w:rsidRDefault="004E096D" w:rsidP="004E096D">
      <w:r w:rsidRPr="004E096D">
        <w:t>ADT’s disclosed analytics work clusters around four major priorities:</w:t>
      </w:r>
    </w:p>
    <w:p w14:paraId="783464CE" w14:textId="77777777" w:rsidR="004E096D" w:rsidRPr="004E096D" w:rsidRDefault="004E096D" w:rsidP="004E096D">
      <w:pPr>
        <w:numPr>
          <w:ilvl w:val="0"/>
          <w:numId w:val="1"/>
        </w:numPr>
      </w:pPr>
      <w:r w:rsidRPr="004E096D">
        <w:rPr>
          <w:b/>
          <w:bCs/>
        </w:rPr>
        <w:t>Reducing attrition and increasing customer lifetime value</w:t>
      </w:r>
      <w:r w:rsidRPr="004E096D">
        <w:t xml:space="preserve"> </w:t>
      </w:r>
    </w:p>
    <w:p w14:paraId="0D0C36F0" w14:textId="77777777" w:rsidR="004E096D" w:rsidRPr="004E096D" w:rsidRDefault="004E096D" w:rsidP="004E096D">
      <w:pPr>
        <w:numPr>
          <w:ilvl w:val="0"/>
          <w:numId w:val="1"/>
        </w:numPr>
      </w:pPr>
      <w:r w:rsidRPr="004E096D">
        <w:rPr>
          <w:b/>
          <w:bCs/>
        </w:rPr>
        <w:t>Optimizing leads, marketing spending, and sales performance</w:t>
      </w:r>
      <w:r w:rsidRPr="004E096D">
        <w:t xml:space="preserve"> </w:t>
      </w:r>
    </w:p>
    <w:p w14:paraId="28A451A8" w14:textId="77777777" w:rsidR="004E096D" w:rsidRPr="004E096D" w:rsidRDefault="004E096D" w:rsidP="004E096D">
      <w:pPr>
        <w:numPr>
          <w:ilvl w:val="0"/>
          <w:numId w:val="1"/>
        </w:numPr>
      </w:pPr>
      <w:r w:rsidRPr="004E096D">
        <w:rPr>
          <w:b/>
          <w:bCs/>
        </w:rPr>
        <w:lastRenderedPageBreak/>
        <w:t>Automating and measuring customer-service interactions</w:t>
      </w:r>
      <w:r w:rsidRPr="004E096D">
        <w:t xml:space="preserve"> </w:t>
      </w:r>
    </w:p>
    <w:p w14:paraId="42DD63E9" w14:textId="77777777" w:rsidR="004E096D" w:rsidRPr="004E096D" w:rsidRDefault="004E096D" w:rsidP="004E096D">
      <w:pPr>
        <w:numPr>
          <w:ilvl w:val="0"/>
          <w:numId w:val="1"/>
        </w:numPr>
      </w:pPr>
      <w:r w:rsidRPr="004E096D">
        <w:rPr>
          <w:b/>
          <w:bCs/>
        </w:rPr>
        <w:t>Developing AI-based home-awareness, alarm-verification, and personalization products</w:t>
      </w:r>
      <w:r w:rsidRPr="004E096D">
        <w:t xml:space="preserve"> </w:t>
      </w:r>
    </w:p>
    <w:p w14:paraId="424EBF3B" w14:textId="77777777" w:rsidR="004E096D" w:rsidRPr="004E096D" w:rsidRDefault="004E096D" w:rsidP="004E096D">
      <w:r w:rsidRPr="004E096D">
        <w:t xml:space="preserve">The filings describe </w:t>
      </w:r>
      <w:proofErr w:type="gramStart"/>
      <w:r w:rsidRPr="004E096D">
        <w:t>the business</w:t>
      </w:r>
      <w:proofErr w:type="gramEnd"/>
      <w:r w:rsidRPr="004E096D">
        <w:t xml:space="preserve"> problems, metrics, and AI use cases, but they </w:t>
      </w:r>
      <w:r w:rsidRPr="004E096D">
        <w:rPr>
          <w:b/>
          <w:bCs/>
        </w:rPr>
        <w:t>do not identify a detailed analytics technology stack</w:t>
      </w:r>
      <w:r w:rsidRPr="004E096D">
        <w:t xml:space="preserve"> such as a specific BI platform, statistical language, data warehouse, or experimentation system. They mention a customer-relationship-management transformation, an enterprise-resource-planning transformation, migration to cloud platforms, and a Google Cloud purchasing commitment, but not the specific analytics tools operating on top of those systems. </w:t>
      </w:r>
    </w:p>
    <w:p w14:paraId="08039CB7" w14:textId="77777777" w:rsidR="004E096D" w:rsidRDefault="004E096D"/>
    <w:sectPr w:rsidR="004E096D" w:rsidSect="007C39D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D4EF8"/>
    <w:multiLevelType w:val="multilevel"/>
    <w:tmpl w:val="66D2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260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9DA"/>
    <w:rsid w:val="000143A4"/>
    <w:rsid w:val="004E096D"/>
    <w:rsid w:val="00506347"/>
    <w:rsid w:val="005569BC"/>
    <w:rsid w:val="00794892"/>
    <w:rsid w:val="007C39DA"/>
    <w:rsid w:val="00B55C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1927A"/>
  <w15:chartTrackingRefBased/>
  <w15:docId w15:val="{AFDEE39A-5D36-4373-8FF5-A699CEEF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9DA"/>
    <w:rPr>
      <w:rFonts w:eastAsiaTheme="majorEastAsia" w:cstheme="majorBidi"/>
      <w:color w:val="272727" w:themeColor="text1" w:themeTint="D8"/>
    </w:rPr>
  </w:style>
  <w:style w:type="paragraph" w:styleId="Title">
    <w:name w:val="Title"/>
    <w:basedOn w:val="Normal"/>
    <w:next w:val="Normal"/>
    <w:link w:val="TitleChar"/>
    <w:uiPriority w:val="10"/>
    <w:qFormat/>
    <w:rsid w:val="007C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9DA"/>
    <w:pPr>
      <w:spacing w:before="160"/>
      <w:jc w:val="center"/>
    </w:pPr>
    <w:rPr>
      <w:i/>
      <w:iCs/>
      <w:color w:val="404040" w:themeColor="text1" w:themeTint="BF"/>
    </w:rPr>
  </w:style>
  <w:style w:type="character" w:customStyle="1" w:styleId="QuoteChar">
    <w:name w:val="Quote Char"/>
    <w:basedOn w:val="DefaultParagraphFont"/>
    <w:link w:val="Quote"/>
    <w:uiPriority w:val="29"/>
    <w:rsid w:val="007C39DA"/>
    <w:rPr>
      <w:i/>
      <w:iCs/>
      <w:color w:val="404040" w:themeColor="text1" w:themeTint="BF"/>
    </w:rPr>
  </w:style>
  <w:style w:type="paragraph" w:styleId="ListParagraph">
    <w:name w:val="List Paragraph"/>
    <w:basedOn w:val="Normal"/>
    <w:uiPriority w:val="34"/>
    <w:qFormat/>
    <w:rsid w:val="007C39DA"/>
    <w:pPr>
      <w:ind w:left="720"/>
      <w:contextualSpacing/>
    </w:pPr>
  </w:style>
  <w:style w:type="character" w:styleId="IntenseEmphasis">
    <w:name w:val="Intense Emphasis"/>
    <w:basedOn w:val="DefaultParagraphFont"/>
    <w:uiPriority w:val="21"/>
    <w:qFormat/>
    <w:rsid w:val="007C39DA"/>
    <w:rPr>
      <w:i/>
      <w:iCs/>
      <w:color w:val="0F4761" w:themeColor="accent1" w:themeShade="BF"/>
    </w:rPr>
  </w:style>
  <w:style w:type="paragraph" w:styleId="IntenseQuote">
    <w:name w:val="Intense Quote"/>
    <w:basedOn w:val="Normal"/>
    <w:next w:val="Normal"/>
    <w:link w:val="IntenseQuoteChar"/>
    <w:uiPriority w:val="30"/>
    <w:qFormat/>
    <w:rsid w:val="007C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9DA"/>
    <w:rPr>
      <w:i/>
      <w:iCs/>
      <w:color w:val="0F4761" w:themeColor="accent1" w:themeShade="BF"/>
    </w:rPr>
  </w:style>
  <w:style w:type="character" w:styleId="IntenseReference">
    <w:name w:val="Intense Reference"/>
    <w:basedOn w:val="DefaultParagraphFont"/>
    <w:uiPriority w:val="32"/>
    <w:qFormat/>
    <w:rsid w:val="007C39DA"/>
    <w:rPr>
      <w:b/>
      <w:bCs/>
      <w:smallCaps/>
      <w:color w:val="0F4761" w:themeColor="accent1" w:themeShade="BF"/>
      <w:spacing w:val="5"/>
    </w:rPr>
  </w:style>
  <w:style w:type="character" w:styleId="Hyperlink">
    <w:name w:val="Hyperlink"/>
    <w:basedOn w:val="DefaultParagraphFont"/>
    <w:uiPriority w:val="99"/>
    <w:unhideWhenUsed/>
    <w:rsid w:val="004E096D"/>
    <w:rPr>
      <w:color w:val="467886" w:themeColor="hyperlink"/>
      <w:u w:val="single"/>
    </w:rPr>
  </w:style>
  <w:style w:type="character" w:styleId="UnresolvedMention">
    <w:name w:val="Unresolved Mention"/>
    <w:basedOn w:val="DefaultParagraphFont"/>
    <w:uiPriority w:val="99"/>
    <w:semiHidden/>
    <w:unhideWhenUsed/>
    <w:rsid w:val="004E0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ec.gov/Archives/edgar/data/1703056/000170305626000100/0001703056-26-000100.tx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c.gov/Archives/edgar/data/1703056/000170305626000100/adt-20260630.htm?utm_source=chatgpt.com" TargetMode="External"/><Relationship Id="rId5" Type="http://schemas.openxmlformats.org/officeDocument/2006/relationships/hyperlink" Target="https://www.sec.gov/Archives/edgar/data/1703056/000170305626000100/0001703056-26-000100-index.ht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1588</Words>
  <Characters>9053</Characters>
  <Application>Microsoft Office Word</Application>
  <DocSecurity>0</DocSecurity>
  <Lines>75</Lines>
  <Paragraphs>21</Paragraphs>
  <ScaleCrop>false</ScaleCrop>
  <Company>Internal Revenue Service</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Krishnamurthy Narayanan</dc:creator>
  <cp:keywords/>
  <dc:description/>
  <cp:lastModifiedBy>Krishnamurthy Narayanan</cp:lastModifiedBy>
  <cp:revision>2</cp:revision>
  <cp:lastPrinted>2026-09-22T12:38:00Z</cp:lastPrinted>
  <dcterms:created xsi:type="dcterms:W3CDTF">2026-09-22T12:27:00Z</dcterms:created>
  <dcterms:modified xsi:type="dcterms:W3CDTF">2026-09-22T12:38:00Z</dcterms:modified>
</cp:coreProperties>
</file>