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C99D" w14:textId="77777777" w:rsidR="009659DB" w:rsidRDefault="00000000">
      <w:pPr>
        <w:keepNext/>
        <w:spacing w:line="400" w:lineRule="exact"/>
        <w:jc w:val="center"/>
      </w:pPr>
      <w:r>
        <w:rPr>
          <w:b/>
          <w:color w:val="1F4E79"/>
          <w:sz w:val="37"/>
        </w:rPr>
        <w:t>NARAYANAN KRISHNAMURTHY</w:t>
      </w:r>
    </w:p>
    <w:p w14:paraId="72B676CE" w14:textId="77777777" w:rsidR="009659DB" w:rsidRDefault="00000000">
      <w:pPr>
        <w:keepNext/>
        <w:spacing w:after="26" w:line="240" w:lineRule="exact"/>
        <w:jc w:val="center"/>
      </w:pPr>
      <w:r>
        <w:rPr>
          <w:b/>
          <w:color w:val="373737"/>
          <w:sz w:val="22"/>
        </w:rPr>
        <w:t>DATA SCIENCE &amp; ANALYTICS LEADER</w:t>
      </w:r>
    </w:p>
    <w:p w14:paraId="5CF8B6D1" w14:textId="77777777" w:rsidR="009659DB" w:rsidRDefault="00000000">
      <w:pPr>
        <w:keepNext/>
        <w:spacing w:after="40" w:line="208" w:lineRule="exact"/>
        <w:jc w:val="center"/>
      </w:pPr>
      <w:r>
        <w:rPr>
          <w:color w:val="4B4B4B"/>
          <w:sz w:val="18"/>
        </w:rPr>
        <w:t xml:space="preserve">Sunrise, FL 33313 | 412-589-9579 | </w:t>
      </w:r>
      <w:hyperlink r:id="rId8">
        <w:r w:rsidR="009659DB">
          <w:rPr>
            <w:color w:val="1F4E79"/>
            <w:sz w:val="18"/>
            <w:szCs w:val="18"/>
            <w:u w:val="single"/>
          </w:rPr>
          <w:t>knar74@gmail.com</w:t>
        </w:r>
      </w:hyperlink>
      <w:r>
        <w:rPr>
          <w:color w:val="4B4B4B"/>
          <w:sz w:val="18"/>
        </w:rPr>
        <w:t xml:space="preserve"> | </w:t>
      </w:r>
      <w:hyperlink r:id="rId9">
        <w:r w:rsidR="009659DB">
          <w:rPr>
            <w:color w:val="1F4E79"/>
            <w:sz w:val="18"/>
            <w:szCs w:val="18"/>
            <w:u w:val="single"/>
          </w:rPr>
          <w:t>LinkedIn</w:t>
        </w:r>
      </w:hyperlink>
      <w:r>
        <w:rPr>
          <w:color w:val="4B4B4B"/>
          <w:sz w:val="18"/>
        </w:rPr>
        <w:t xml:space="preserve"> | </w:t>
      </w:r>
      <w:hyperlink r:id="rId10">
        <w:r w:rsidR="009659DB">
          <w:rPr>
            <w:color w:val="1F4E79"/>
            <w:sz w:val="18"/>
            <w:szCs w:val="18"/>
            <w:u w:val="single"/>
          </w:rPr>
          <w:t>Portfolio</w:t>
        </w:r>
      </w:hyperlink>
    </w:p>
    <w:p w14:paraId="4C8A650A" w14:textId="77777777" w:rsidR="009659DB" w:rsidRDefault="00000000">
      <w:pPr>
        <w:pStyle w:val="SectionHeading"/>
        <w:keepNext/>
        <w:pBdr>
          <w:bottom w:val="single" w:sz="10" w:space="2" w:color="1F4E79"/>
        </w:pBdr>
      </w:pPr>
      <w:r>
        <w:t>PROFESSIONAL SUMMARY</w:t>
      </w:r>
    </w:p>
    <w:p w14:paraId="745306CC" w14:textId="77777777" w:rsidR="009659DB" w:rsidRDefault="00000000">
      <w:pPr>
        <w:keepLines/>
        <w:spacing w:after="22" w:line="225" w:lineRule="exact"/>
      </w:pPr>
      <w:r>
        <w:t>Data science and analytics leader with 10+ years of experience using SQL, Python, R, machine learning, and business intelligence to improve customer, revenue, and operational decisions. Builds customer-level analytics, segmentation, forecasting, anomaly detection, trusted data assets, and automated decision workflows across high-volume environments, including approximately 2 million customer accounts and 11 million enterprise records. Partners with leaders and technical teams to shape analytics priorities, deliver executive-ready insights, strengthen data and model governance, and expand adoption through peer coaching and enterprise communities of practice.</w:t>
      </w:r>
    </w:p>
    <w:p w14:paraId="645FB2CD" w14:textId="77777777" w:rsidR="005951B5" w:rsidRDefault="005951B5">
      <w:pPr>
        <w:pStyle w:val="SectionHeading"/>
        <w:keepNext/>
        <w:pBdr>
          <w:bottom w:val="single" w:sz="10" w:space="2" w:color="1F4E79"/>
        </w:pBdr>
      </w:pPr>
    </w:p>
    <w:p w14:paraId="3038BBF8" w14:textId="7BED9450" w:rsidR="009659DB" w:rsidRDefault="00000000">
      <w:pPr>
        <w:pStyle w:val="SectionHeading"/>
        <w:keepNext/>
        <w:pBdr>
          <w:bottom w:val="single" w:sz="10" w:space="2" w:color="1F4E79"/>
        </w:pBdr>
      </w:pPr>
      <w:r>
        <w:t>LEADERSHIP &amp; BUSINESS IMPACT</w:t>
      </w:r>
    </w:p>
    <w:p w14:paraId="0B8FD650" w14:textId="77777777" w:rsidR="009659DB" w:rsidRDefault="00000000">
      <w:pPr>
        <w:keepLines/>
        <w:spacing w:after="9" w:line="221" w:lineRule="exact"/>
        <w:ind w:left="259" w:hanging="202"/>
      </w:pPr>
      <w:r>
        <w:t>• Customer and revenue analytics: Improved telecommunications customer-to-call linkage by approximately 2%, segmented caller behavior, and developed revenue-protection analytics across approximately 2 million utility accounts.</w:t>
      </w:r>
    </w:p>
    <w:p w14:paraId="281D7DE6" w14:textId="77777777" w:rsidR="009659DB" w:rsidRDefault="00000000">
      <w:pPr>
        <w:keepLines/>
        <w:spacing w:after="9" w:line="221" w:lineRule="exact"/>
        <w:ind w:left="259" w:hanging="202"/>
      </w:pPr>
      <w:r>
        <w:t>• Enterprise decision support: Built reproducible pipelines and self-service analytics across approximately 11 million corporate and partnership returns; expanded TY2024 analytical assets covering approximately 8.5 million records.</w:t>
      </w:r>
    </w:p>
    <w:p w14:paraId="0E73BB4C" w14:textId="77777777" w:rsidR="009659DB" w:rsidRDefault="00000000">
      <w:pPr>
        <w:keepLines/>
        <w:spacing w:after="9" w:line="221" w:lineRule="exact"/>
        <w:ind w:left="259" w:hanging="202"/>
      </w:pPr>
      <w:r>
        <w:t>• Automation and scalable delivery: Automated recurring forecast reporting, added checkpoint-and-restart capability to long-running geocoding, and improved selected analytical computations by approximately 4x to 27x.</w:t>
      </w:r>
    </w:p>
    <w:p w14:paraId="08E504D1" w14:textId="77777777" w:rsidR="009659DB" w:rsidRDefault="00000000">
      <w:pPr>
        <w:keepLines/>
        <w:spacing w:after="10" w:line="221" w:lineRule="exact"/>
        <w:ind w:left="259" w:hanging="202"/>
      </w:pPr>
      <w:r>
        <w:t>• Analytics governance and enablement: Validated R/Python solution parity, reviewed KPI logic, identified source-data limitations, and shared modern analytics and AI methods across 3 communities of practice serving 50-150 analysts weekly.</w:t>
      </w:r>
    </w:p>
    <w:p w14:paraId="54F66DDD" w14:textId="6B39BFEC" w:rsidR="009659DB" w:rsidRDefault="00000000">
      <w:pPr>
        <w:pStyle w:val="SectionHeading"/>
        <w:keepNext/>
        <w:pBdr>
          <w:bottom w:val="single" w:sz="10" w:space="2" w:color="1F4E79"/>
        </w:pBdr>
      </w:pPr>
      <w:r>
        <w:t>CORE COMPETENCIES</w:t>
      </w:r>
    </w:p>
    <w:p w14:paraId="0CE18A02" w14:textId="77777777" w:rsidR="009659DB" w:rsidRDefault="00000000">
      <w:pPr>
        <w:keepLines/>
        <w:spacing w:after="20" w:line="219" w:lineRule="exact"/>
      </w:pPr>
      <w:r>
        <w:rPr>
          <w:sz w:val="18"/>
        </w:rPr>
        <w:t>Customer &amp; Revenue Analytics | Customer Segmentation | Call-Center Analytics | Forecasting &amp; Time-Series | Predictive Modeling | Experimentation &amp; Hypothesis Testing | Data &amp; Model Governance | Analytics Automation | Executive Briefings &amp; Storytelling | Cross-Functional Leadership | Analyst Coaching &amp; Enablement | Self-Service BI</w:t>
      </w:r>
    </w:p>
    <w:p w14:paraId="43783695" w14:textId="14452317" w:rsidR="009659DB" w:rsidRDefault="00000000">
      <w:pPr>
        <w:pStyle w:val="SectionHeading"/>
        <w:keepNext/>
        <w:pBdr>
          <w:bottom w:val="single" w:sz="10" w:space="2" w:color="1F4E79"/>
        </w:pBdr>
      </w:pPr>
      <w:r>
        <w:t>PROFESSIONAL EXPERIENCE</w:t>
      </w:r>
    </w:p>
    <w:p w14:paraId="0E6D5AE8" w14:textId="77777777" w:rsidR="005951B5" w:rsidRDefault="005951B5">
      <w:pPr>
        <w:keepNext/>
        <w:tabs>
          <w:tab w:val="right" w:pos="10584"/>
        </w:tabs>
        <w:spacing w:before="46" w:line="212" w:lineRule="exact"/>
        <w:rPr>
          <w:b/>
          <w:sz w:val="20"/>
        </w:rPr>
      </w:pPr>
    </w:p>
    <w:p w14:paraId="75D2D362" w14:textId="191D26FC" w:rsidR="009659DB" w:rsidRDefault="00000000">
      <w:pPr>
        <w:keepNext/>
        <w:tabs>
          <w:tab w:val="right" w:pos="10584"/>
        </w:tabs>
        <w:spacing w:before="46" w:line="212" w:lineRule="exact"/>
      </w:pPr>
      <w:r>
        <w:rPr>
          <w:b/>
          <w:sz w:val="20"/>
        </w:rPr>
        <w:t>Internal Revenue Service (IRS), Large Business &amp; International</w:t>
      </w:r>
      <w:r>
        <w:tab/>
      </w:r>
      <w:r>
        <w:rPr>
          <w:b/>
        </w:rPr>
        <w:t>Mar 2021 - Present</w:t>
      </w:r>
    </w:p>
    <w:p w14:paraId="34044DF7" w14:textId="77777777" w:rsidR="009659DB" w:rsidRDefault="00000000">
      <w:pPr>
        <w:keepNext/>
        <w:tabs>
          <w:tab w:val="right" w:pos="10584"/>
        </w:tabs>
        <w:spacing w:after="14" w:line="206" w:lineRule="exact"/>
      </w:pPr>
      <w:r>
        <w:rPr>
          <w:i/>
          <w:color w:val="464646"/>
        </w:rPr>
        <w:t>Statistician | Data Science &amp; Analytics</w:t>
      </w:r>
      <w:r>
        <w:tab/>
      </w:r>
      <w:r>
        <w:rPr>
          <w:i/>
          <w:color w:val="464646"/>
          <w:sz w:val="18"/>
        </w:rPr>
        <w:t>Plantation, FL</w:t>
      </w:r>
    </w:p>
    <w:p w14:paraId="242FBDD8" w14:textId="77777777" w:rsidR="009659DB" w:rsidRDefault="00000000">
      <w:pPr>
        <w:keepLines/>
        <w:spacing w:after="15" w:line="221" w:lineRule="exact"/>
        <w:ind w:left="259" w:hanging="202"/>
      </w:pPr>
      <w:r>
        <w:t>• Partner with leaders, stakeholders, and developers to translate strategic priorities into current-state briefings, data requirements, analytical workstreams, and decision-support products spanning workload planning, geospatial analytics, AI/ML, and SEC text analytics.</w:t>
      </w:r>
    </w:p>
    <w:p w14:paraId="5692DB63" w14:textId="77777777" w:rsidR="009659DB" w:rsidRDefault="00000000">
      <w:pPr>
        <w:keepLines/>
        <w:spacing w:after="15" w:line="221" w:lineRule="exact"/>
        <w:ind w:left="259" w:hanging="202"/>
      </w:pPr>
      <w:r>
        <w:t>• Engineered reproducible SQL, Python, and R pipelines across approximately 11 million corporate and partnership returns; expanded TY2024 queries covering approximately 8.5 million Forms 1120, 1120-F, 1120-S, and 1065 records and created SQL Server assets for Tableau and ArcGIS products.</w:t>
      </w:r>
    </w:p>
    <w:p w14:paraId="5AF74F96" w14:textId="77777777" w:rsidR="009659DB" w:rsidRDefault="00000000">
      <w:pPr>
        <w:keepLines/>
        <w:spacing w:after="15" w:line="221" w:lineRule="exact"/>
        <w:ind w:left="259" w:hanging="202"/>
      </w:pPr>
      <w:r>
        <w:t>• Advanced automation and operational resilience by adding checkpoint-and-restart processing to long-running geocoding and developing ArcPy nearest-distance and buffer analyses to align available work and field resources across locations.</w:t>
      </w:r>
    </w:p>
    <w:p w14:paraId="5CB5198A" w14:textId="77777777" w:rsidR="009659DB" w:rsidRDefault="00000000">
      <w:pPr>
        <w:keepLines/>
        <w:spacing w:after="15" w:line="221" w:lineRule="exact"/>
        <w:ind w:left="259" w:hanging="202"/>
      </w:pPr>
      <w:r>
        <w:t>• Strengthened privacy-safe AI/ML evaluation and governance through containerized environments, metric selection, cross-language solution testing, KPI reviews, and early identification of source-data limitations.</w:t>
      </w:r>
    </w:p>
    <w:p w14:paraId="2AA19A20" w14:textId="77777777" w:rsidR="009659DB" w:rsidRDefault="00000000">
      <w:pPr>
        <w:keepLines/>
        <w:spacing w:after="15" w:line="221" w:lineRule="exact"/>
        <w:ind w:left="259" w:hanging="202"/>
      </w:pPr>
      <w:r>
        <w:t>• Validated analytical consistency by testing R and Python Automated Candidate Review implementations, investigating bag-of-words quantile differences, documenting functional parity, and peer-reviewing metric and KPI logic.</w:t>
      </w:r>
    </w:p>
    <w:p w14:paraId="14A2930C" w14:textId="77777777" w:rsidR="009659DB" w:rsidRDefault="00000000">
      <w:pPr>
        <w:keepLines/>
        <w:spacing w:after="15" w:line="221" w:lineRule="exact"/>
        <w:ind w:left="259" w:hanging="202"/>
      </w:pPr>
      <w:r>
        <w:t>• Modernized semantic clustering by evaluating SBERT sentence embeddings, including MiniLM-L6-v2 and e5-base-v2, as supportable alternatives to a legacy ELMo/TensorFlow workflow.</w:t>
      </w:r>
    </w:p>
    <w:p w14:paraId="3BEFE988" w14:textId="77777777" w:rsidR="009659DB" w:rsidRDefault="00000000">
      <w:pPr>
        <w:keepLines/>
        <w:spacing w:after="20" w:line="221" w:lineRule="exact"/>
        <w:ind w:left="259" w:hanging="202"/>
      </w:pPr>
      <w:r>
        <w:t>• Expanded analytics and AI adoption through solution demonstrations, onboarding support, peer reviews, and cross-agency forums serving 3 communities of practice and 50-150 analysts weekly.</w:t>
      </w:r>
    </w:p>
    <w:p w14:paraId="7DDEECC1" w14:textId="77777777" w:rsidR="009659DB" w:rsidRDefault="00000000">
      <w:pPr>
        <w:keepNext/>
        <w:tabs>
          <w:tab w:val="right" w:pos="10584"/>
        </w:tabs>
        <w:spacing w:before="46" w:line="212" w:lineRule="exact"/>
      </w:pPr>
      <w:r>
        <w:rPr>
          <w:b/>
          <w:sz w:val="20"/>
        </w:rPr>
        <w:t>Frontier Communications</w:t>
      </w:r>
      <w:r>
        <w:tab/>
      </w:r>
      <w:r>
        <w:rPr>
          <w:b/>
        </w:rPr>
        <w:t>Jul 2020 - Mar 2021</w:t>
      </w:r>
    </w:p>
    <w:p w14:paraId="6C2DACF5" w14:textId="77777777" w:rsidR="009659DB" w:rsidRDefault="00000000">
      <w:pPr>
        <w:keepNext/>
        <w:tabs>
          <w:tab w:val="right" w:pos="10584"/>
        </w:tabs>
        <w:spacing w:after="14" w:line="206" w:lineRule="exact"/>
      </w:pPr>
      <w:r>
        <w:rPr>
          <w:i/>
          <w:color w:val="464646"/>
        </w:rPr>
        <w:t>Data Science Analyst</w:t>
      </w:r>
      <w:r>
        <w:tab/>
      </w:r>
      <w:r>
        <w:rPr>
          <w:i/>
          <w:color w:val="464646"/>
          <w:sz w:val="18"/>
        </w:rPr>
        <w:t>Coconut Creek, FL</w:t>
      </w:r>
    </w:p>
    <w:p w14:paraId="2F513528" w14:textId="77777777" w:rsidR="009659DB" w:rsidRDefault="00000000">
      <w:pPr>
        <w:keepLines/>
        <w:spacing w:after="15" w:line="221" w:lineRule="exact"/>
        <w:ind w:left="259" w:hanging="202"/>
      </w:pPr>
      <w:r>
        <w:t>• Analyzed high-volume customer-care call data across a 10-month period using Teradata SQL, R, and pandas to identify frequent callers, interaction patterns, and service drivers for operational reporting.</w:t>
      </w:r>
    </w:p>
    <w:p w14:paraId="597106A3" w14:textId="77777777" w:rsidR="009659DB" w:rsidRDefault="00000000">
      <w:pPr>
        <w:keepLines/>
        <w:spacing w:after="15" w:line="221" w:lineRule="exact"/>
        <w:ind w:left="259" w:hanging="202"/>
      </w:pPr>
      <w:r>
        <w:t>• Improved customer record-linkage accuracy by approximately 2% by matching calls to accounts using caller ID, partial addresses, and multiple phone numbers, enabling more reliable customer-level analysis.</w:t>
      </w:r>
    </w:p>
    <w:p w14:paraId="60188383" w14:textId="77777777" w:rsidR="009659DB" w:rsidRDefault="00000000">
      <w:pPr>
        <w:keepLines/>
        <w:spacing w:after="15" w:line="221" w:lineRule="exact"/>
        <w:ind w:left="259" w:hanging="202"/>
      </w:pPr>
      <w:r>
        <w:t>• Applied scikit-learn clustering and hypothesis testing to segment caller groups and validate differences, supporting more targeted service strategies and performance measurement.</w:t>
      </w:r>
    </w:p>
    <w:p w14:paraId="277A32CD" w14:textId="77777777" w:rsidR="009659DB" w:rsidRDefault="00000000">
      <w:pPr>
        <w:keepLines/>
        <w:spacing w:after="20" w:line="221" w:lineRule="exact"/>
        <w:ind w:left="259" w:hanging="202"/>
      </w:pPr>
      <w:r>
        <w:t>• Automated daily forecast reporting with C#/.NET, Microsoft Task Scheduler, and Excel, improving consistency and reducing manual reporting effort.</w:t>
      </w:r>
    </w:p>
    <w:p w14:paraId="712CEC01" w14:textId="77777777" w:rsidR="009659DB" w:rsidRDefault="00000000">
      <w:pPr>
        <w:pStyle w:val="SectionHeading"/>
        <w:keepNext/>
        <w:pBdr>
          <w:bottom w:val="single" w:sz="10" w:space="2" w:color="1F4E79"/>
        </w:pBdr>
      </w:pPr>
      <w:r>
        <w:t>SELECTED ENTERPRISE ANALYTICS &amp; AI PROJECTS</w:t>
      </w:r>
    </w:p>
    <w:p w14:paraId="6366DF58" w14:textId="77777777" w:rsidR="009659DB" w:rsidRDefault="00000000">
      <w:pPr>
        <w:keepLines/>
        <w:spacing w:after="15" w:line="221" w:lineRule="exact"/>
        <w:ind w:left="259" w:hanging="202"/>
      </w:pPr>
      <w:r>
        <w:t>• SEC MD&amp;A intelligence: Built a working retrieval-augmented generation prototype for 2024-2025 public-company filings, combining structured financial tables and unstructured narrative, cross-walking records to NAICS industries, and using structure-aware chunking with SQLite-based structured and vector retrieval plus Redis-ready interfaces.</w:t>
      </w:r>
    </w:p>
    <w:p w14:paraId="7C930BE8" w14:textId="77777777" w:rsidR="009659DB" w:rsidRDefault="00000000">
      <w:pPr>
        <w:keepLines/>
        <w:spacing w:after="20" w:line="221" w:lineRule="exact"/>
        <w:ind w:left="259" w:hanging="202"/>
      </w:pPr>
      <w:r>
        <w:lastRenderedPageBreak/>
        <w:t>• Synthetic-data evaluation: Created DGX containers and evaluated quality and privacy measures including Hellinger distance, Gower distance, and correlation-aware KNN using Mahalanobis distance; contributed Numba optimizations that improved selected routines by approximately 4x to 27x, including an approximately 20x improvement for Doane histogram calculations.</w:t>
      </w:r>
    </w:p>
    <w:p w14:paraId="4089CE4C" w14:textId="77777777" w:rsidR="003D2B95" w:rsidRDefault="003D2B95" w:rsidP="003D2B95">
      <w:pPr>
        <w:keepNext/>
        <w:tabs>
          <w:tab w:val="right" w:pos="10584"/>
        </w:tabs>
        <w:spacing w:before="46" w:line="212" w:lineRule="exact"/>
        <w:rPr>
          <w:b/>
          <w:sz w:val="20"/>
        </w:rPr>
      </w:pPr>
    </w:p>
    <w:p w14:paraId="3C813C74" w14:textId="33C25028" w:rsidR="003D2B95" w:rsidRDefault="003D2B95" w:rsidP="003D2B95">
      <w:pPr>
        <w:keepNext/>
        <w:tabs>
          <w:tab w:val="right" w:pos="10584"/>
        </w:tabs>
        <w:spacing w:before="46" w:line="212" w:lineRule="exact"/>
      </w:pPr>
      <w:r>
        <w:rPr>
          <w:b/>
          <w:sz w:val="20"/>
        </w:rPr>
        <w:t>Cognizant Technology Solutions (Client: Florida Power &amp; Light)</w:t>
      </w:r>
      <w:r>
        <w:tab/>
      </w:r>
      <w:r>
        <w:rPr>
          <w:b/>
        </w:rPr>
        <w:t>Jun 2018 - Feb 2019</w:t>
      </w:r>
    </w:p>
    <w:p w14:paraId="44F91385" w14:textId="77777777" w:rsidR="003D2B95" w:rsidRDefault="003D2B95" w:rsidP="003D2B95">
      <w:pPr>
        <w:keepNext/>
        <w:tabs>
          <w:tab w:val="right" w:pos="10584"/>
        </w:tabs>
        <w:spacing w:after="14" w:line="206" w:lineRule="exact"/>
      </w:pPr>
      <w:r>
        <w:rPr>
          <w:i/>
          <w:color w:val="464646"/>
        </w:rPr>
        <w:t>Data Science Analyst</w:t>
      </w:r>
      <w:r>
        <w:tab/>
      </w:r>
      <w:r>
        <w:rPr>
          <w:i/>
          <w:color w:val="464646"/>
          <w:sz w:val="18"/>
        </w:rPr>
        <w:t>Jupiter, FL</w:t>
      </w:r>
    </w:p>
    <w:p w14:paraId="226EA5F1" w14:textId="77777777" w:rsidR="003D2B95" w:rsidRDefault="003D2B95" w:rsidP="003D2B95">
      <w:pPr>
        <w:keepLines/>
        <w:spacing w:after="15" w:line="221" w:lineRule="exact"/>
        <w:ind w:left="259" w:hanging="202"/>
      </w:pPr>
      <w:r>
        <w:t>• Applied predictive modeling, year-over-year time-series analysis, and change-point detection to smart-meter data across approximately 2 million customer accounts, improving identification of abnormal usage that affected revenue.</w:t>
      </w:r>
    </w:p>
    <w:p w14:paraId="09E0D31D" w14:textId="77777777" w:rsidR="003D2B95" w:rsidRDefault="003D2B95" w:rsidP="003D2B95">
      <w:pPr>
        <w:keepLines/>
        <w:spacing w:after="18" w:line="221" w:lineRule="exact"/>
        <w:ind w:left="259" w:hanging="202"/>
      </w:pPr>
      <w:r>
        <w:t>• Built repeatable R, Python, SPSS, and PostgreSQL workflows that made anomaly evaluation more structured and ready for business investigation.</w:t>
      </w:r>
    </w:p>
    <w:p w14:paraId="110FBABB" w14:textId="77777777" w:rsidR="003D2B95" w:rsidRDefault="003D2B95" w:rsidP="003D2B95">
      <w:pPr>
        <w:keepNext/>
        <w:tabs>
          <w:tab w:val="right" w:pos="10584"/>
        </w:tabs>
        <w:spacing w:before="46" w:line="212" w:lineRule="exact"/>
      </w:pPr>
      <w:r>
        <w:rPr>
          <w:b/>
          <w:sz w:val="20"/>
        </w:rPr>
        <w:t>ORAU (Client: DOE National Energy Technology Laboratory)</w:t>
      </w:r>
      <w:r>
        <w:tab/>
      </w:r>
      <w:r>
        <w:rPr>
          <w:b/>
        </w:rPr>
        <w:t>Feb 2016 - Jun 2018</w:t>
      </w:r>
    </w:p>
    <w:p w14:paraId="237B5E71" w14:textId="77777777" w:rsidR="003D2B95" w:rsidRDefault="003D2B95" w:rsidP="003D2B95">
      <w:pPr>
        <w:keepNext/>
        <w:tabs>
          <w:tab w:val="right" w:pos="10584"/>
        </w:tabs>
        <w:spacing w:after="14" w:line="206" w:lineRule="exact"/>
      </w:pPr>
      <w:r>
        <w:rPr>
          <w:i/>
          <w:color w:val="464646"/>
        </w:rPr>
        <w:t>Data Science Analyst</w:t>
      </w:r>
      <w:r>
        <w:tab/>
      </w:r>
      <w:r>
        <w:rPr>
          <w:i/>
          <w:color w:val="464646"/>
          <w:sz w:val="18"/>
        </w:rPr>
        <w:t>Pittsburgh, PA</w:t>
      </w:r>
    </w:p>
    <w:p w14:paraId="4EE2EBF8" w14:textId="77777777" w:rsidR="003D2B95" w:rsidRDefault="003D2B95" w:rsidP="003D2B95">
      <w:pPr>
        <w:keepLines/>
        <w:spacing w:after="15" w:line="221" w:lineRule="exact"/>
        <w:ind w:left="259" w:hanging="202"/>
      </w:pPr>
      <w:r>
        <w:t>• Built R/Python analytical tools using multivariate regression, PCA, random forests, variable importance, and clustering to evaluate complex DOE and Japanese materials datasets.</w:t>
      </w:r>
    </w:p>
    <w:p w14:paraId="7283578A" w14:textId="77777777" w:rsidR="003D2B95" w:rsidRDefault="003D2B95" w:rsidP="003D2B95">
      <w:pPr>
        <w:keepLines/>
        <w:spacing w:after="18" w:line="221" w:lineRule="exact"/>
        <w:ind w:left="259" w:hanging="202"/>
      </w:pPr>
      <w:r>
        <w:t>• Partnered with principal investigators and Case Western collaborators, translating analytical findings into research discussions and a white paper.</w:t>
      </w:r>
    </w:p>
    <w:p w14:paraId="303CB46D" w14:textId="0AAD2CAC" w:rsidR="009659DB" w:rsidRDefault="00000000">
      <w:pPr>
        <w:pStyle w:val="SectionHeading"/>
        <w:keepNext/>
        <w:pBdr>
          <w:bottom w:val="single" w:sz="10" w:space="2" w:color="1F4E79"/>
        </w:pBdr>
      </w:pPr>
      <w:r>
        <w:t>ADDITIONAL EXPERIENCE</w:t>
      </w:r>
    </w:p>
    <w:p w14:paraId="23E277DD" w14:textId="77777777" w:rsidR="009659DB" w:rsidRDefault="00000000">
      <w:pPr>
        <w:keepNext/>
        <w:tabs>
          <w:tab w:val="right" w:pos="10584"/>
        </w:tabs>
        <w:spacing w:before="46" w:line="212" w:lineRule="exact"/>
      </w:pPr>
      <w:r>
        <w:rPr>
          <w:b/>
          <w:sz w:val="20"/>
        </w:rPr>
        <w:t>Fabmatics USA (Client: Magic Leap)</w:t>
      </w:r>
      <w:r>
        <w:tab/>
      </w:r>
      <w:r>
        <w:rPr>
          <w:b/>
        </w:rPr>
        <w:t>Feb 2019 - Dec 2019</w:t>
      </w:r>
    </w:p>
    <w:p w14:paraId="421D30F4" w14:textId="77777777" w:rsidR="009659DB" w:rsidRDefault="00000000">
      <w:pPr>
        <w:keepNext/>
        <w:tabs>
          <w:tab w:val="right" w:pos="10584"/>
        </w:tabs>
        <w:spacing w:after="14" w:line="206" w:lineRule="exact"/>
      </w:pPr>
      <w:r>
        <w:rPr>
          <w:i/>
          <w:color w:val="464646"/>
        </w:rPr>
        <w:t>Software Engineer</w:t>
      </w:r>
      <w:r>
        <w:tab/>
      </w:r>
      <w:r>
        <w:rPr>
          <w:i/>
          <w:color w:val="464646"/>
          <w:sz w:val="18"/>
        </w:rPr>
        <w:t>Plantation, FL</w:t>
      </w:r>
    </w:p>
    <w:p w14:paraId="74EBC80B" w14:textId="77777777" w:rsidR="009659DB" w:rsidRDefault="00000000">
      <w:pPr>
        <w:keepLines/>
        <w:spacing w:after="15" w:line="221" w:lineRule="exact"/>
        <w:ind w:left="259" w:hanging="202"/>
      </w:pPr>
      <w:r>
        <w:t>• Served as the primary technical liaison among the client, offshore engineers, and onsite technicians, translating operational issues into actionable technical work and supporting continuity across two 800-meter production lines.</w:t>
      </w:r>
    </w:p>
    <w:p w14:paraId="1466522C" w14:textId="77777777" w:rsidR="009659DB" w:rsidRDefault="00000000">
      <w:pPr>
        <w:keepLines/>
        <w:spacing w:after="18" w:line="221" w:lineRule="exact"/>
        <w:ind w:left="259" w:hanging="202"/>
      </w:pPr>
      <w:r>
        <w:t>• Analyzed gRPC, PLC, and Linux system logs to accelerate issue identification in a multi-vendor manufacturing environment.</w:t>
      </w:r>
    </w:p>
    <w:p w14:paraId="51479764" w14:textId="096D98CC" w:rsidR="00C31C8C" w:rsidRPr="00C31C8C" w:rsidRDefault="00C31C8C" w:rsidP="00C31C8C">
      <w:pPr>
        <w:shd w:val="clear" w:color="auto" w:fill="FFFFFF" w:themeFill="background1"/>
        <w:jc w:val="both"/>
        <w:rPr>
          <w:b/>
        </w:rPr>
      </w:pPr>
      <w:r w:rsidRPr="007433A1">
        <w:rPr>
          <w:b/>
          <w:bCs/>
          <w:sz w:val="21"/>
          <w:szCs w:val="21"/>
          <w:lang w:eastAsia="en-GB"/>
        </w:rPr>
        <w:t xml:space="preserve">Indian Institute of Technology Startup </w:t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 w:rsidR="003B5751">
        <w:rPr>
          <w:b/>
          <w:bCs/>
          <w:sz w:val="21"/>
          <w:szCs w:val="21"/>
          <w:lang w:eastAsia="en-GB"/>
        </w:rPr>
        <w:t xml:space="preserve">   </w:t>
      </w:r>
      <w:r w:rsidRPr="00C31C8C">
        <w:rPr>
          <w:b/>
        </w:rPr>
        <w:t>Dec 1997 – Jul 2001</w:t>
      </w:r>
    </w:p>
    <w:p w14:paraId="3543AEFD" w14:textId="3E455F60" w:rsidR="00C31C8C" w:rsidRPr="007433A1" w:rsidRDefault="00C31C8C" w:rsidP="00C31C8C">
      <w:pPr>
        <w:shd w:val="clear" w:color="auto" w:fill="FFFFFF" w:themeFill="background1"/>
        <w:jc w:val="both"/>
        <w:rPr>
          <w:b/>
          <w:bCs/>
          <w:sz w:val="21"/>
          <w:szCs w:val="21"/>
          <w:lang w:eastAsia="en-GB"/>
        </w:rPr>
      </w:pPr>
      <w:r w:rsidRPr="00C31C8C">
        <w:rPr>
          <w:i/>
          <w:color w:val="464646"/>
        </w:rPr>
        <w:t>Embedded Wireless Software Engineer</w:t>
      </w:r>
      <w:r>
        <w:rPr>
          <w:b/>
          <w:bCs/>
          <w:sz w:val="21"/>
          <w:szCs w:val="21"/>
          <w:lang w:eastAsia="en-GB"/>
        </w:rPr>
        <w:t xml:space="preserve"> </w:t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>
        <w:rPr>
          <w:b/>
          <w:bCs/>
          <w:sz w:val="21"/>
          <w:szCs w:val="21"/>
          <w:lang w:eastAsia="en-GB"/>
        </w:rPr>
        <w:tab/>
      </w:r>
      <w:r w:rsidRPr="00C31C8C">
        <w:rPr>
          <w:i/>
          <w:color w:val="464646"/>
        </w:rPr>
        <w:t>Chennai, India</w:t>
      </w:r>
      <w:r w:rsidRPr="007433A1">
        <w:rPr>
          <w:b/>
          <w:bCs/>
          <w:sz w:val="21"/>
          <w:szCs w:val="21"/>
          <w:lang w:eastAsia="en-GB"/>
        </w:rPr>
        <w:t xml:space="preserve"> </w:t>
      </w:r>
    </w:p>
    <w:p w14:paraId="10F51337" w14:textId="77777777" w:rsidR="00C31C8C" w:rsidRPr="007433A1" w:rsidRDefault="00C31C8C" w:rsidP="00C31C8C">
      <w:pPr>
        <w:shd w:val="clear" w:color="auto" w:fill="FFFFFF" w:themeFill="background1"/>
        <w:jc w:val="both"/>
        <w:rPr>
          <w:sz w:val="21"/>
          <w:szCs w:val="21"/>
          <w:lang w:eastAsia="en-GB"/>
        </w:rPr>
      </w:pPr>
      <w:r w:rsidRPr="007433A1">
        <w:rPr>
          <w:sz w:val="21"/>
          <w:szCs w:val="21"/>
          <w:lang w:eastAsia="en-GB"/>
        </w:rPr>
        <w:t>Engineered DSP C and Assembly software for DECT wireless handsets, delivering capabilities in auto-ranging, over-the-air FLASH programming, and memory management.</w:t>
      </w:r>
    </w:p>
    <w:p w14:paraId="193ACA0B" w14:textId="77777777" w:rsidR="00C31C8C" w:rsidRDefault="00C31C8C">
      <w:pPr>
        <w:keepLines/>
        <w:spacing w:after="18" w:line="221" w:lineRule="exact"/>
        <w:ind w:left="259" w:hanging="202"/>
      </w:pPr>
    </w:p>
    <w:p w14:paraId="1E05DADF" w14:textId="77777777" w:rsidR="009659DB" w:rsidRDefault="00000000">
      <w:pPr>
        <w:pStyle w:val="SectionHeading"/>
        <w:keepNext/>
        <w:pBdr>
          <w:bottom w:val="single" w:sz="10" w:space="2" w:color="1F4E79"/>
        </w:pBdr>
      </w:pPr>
      <w:r>
        <w:t>EDUCATION</w:t>
      </w:r>
    </w:p>
    <w:p w14:paraId="61AA5BA6" w14:textId="77777777" w:rsidR="009659DB" w:rsidRDefault="00000000">
      <w:pPr>
        <w:keepNext/>
        <w:tabs>
          <w:tab w:val="right" w:pos="10584"/>
        </w:tabs>
        <w:spacing w:before="14" w:line="202" w:lineRule="exact"/>
      </w:pPr>
      <w:r>
        <w:rPr>
          <w:b/>
          <w:sz w:val="18"/>
        </w:rPr>
        <w:t>University of Pittsburgh</w:t>
      </w:r>
      <w:r>
        <w:tab/>
      </w:r>
      <w:r>
        <w:rPr>
          <w:i/>
          <w:color w:val="464646"/>
          <w:sz w:val="18"/>
        </w:rPr>
        <w:t>Pittsburgh, PA</w:t>
      </w:r>
    </w:p>
    <w:p w14:paraId="5F8AE9D0" w14:textId="77777777" w:rsidR="009659DB" w:rsidRDefault="00000000" w:rsidP="003B5751">
      <w:pPr>
        <w:spacing w:line="240" w:lineRule="auto"/>
        <w:rPr>
          <w:i/>
          <w:sz w:val="18"/>
        </w:rPr>
      </w:pPr>
      <w:r>
        <w:rPr>
          <w:i/>
          <w:sz w:val="18"/>
        </w:rPr>
        <w:t>Master of Science, Bioengineering</w:t>
      </w:r>
    </w:p>
    <w:p w14:paraId="6CBC26ED" w14:textId="28C57316" w:rsidR="005951B5" w:rsidRDefault="005951B5" w:rsidP="003B5751">
      <w:pPr>
        <w:widowControl w:val="0"/>
        <w:kinsoku w:val="0"/>
        <w:autoSpaceDE w:val="0"/>
        <w:autoSpaceDN w:val="0"/>
        <w:adjustRightInd w:val="0"/>
        <w:spacing w:line="240" w:lineRule="auto"/>
        <w:textAlignment w:val="baseline"/>
        <w:rPr>
          <w:i/>
          <w:sz w:val="18"/>
        </w:rPr>
      </w:pPr>
      <w:r w:rsidRPr="003129CF">
        <w:rPr>
          <w:rFonts w:eastAsia="Arial" w:cs="Times New Roman"/>
          <w:color w:val="000000"/>
          <w:w w:val="95"/>
          <w:sz w:val="20"/>
          <w:szCs w:val="20"/>
        </w:rPr>
        <w:t>NIH</w:t>
      </w:r>
      <w:r>
        <w:rPr>
          <w:rFonts w:eastAsia="Arial"/>
          <w:color w:val="000000"/>
          <w:w w:val="95"/>
        </w:rPr>
        <w:t xml:space="preserve"> </w:t>
      </w:r>
      <w:r w:rsidRPr="003129CF">
        <w:rPr>
          <w:rFonts w:eastAsia="Arial" w:cs="Times New Roman"/>
          <w:color w:val="000000"/>
          <w:w w:val="95"/>
          <w:sz w:val="20"/>
          <w:szCs w:val="20"/>
        </w:rPr>
        <w:t>imaging Fellow &amp; Thesis</w:t>
      </w:r>
      <w:r>
        <w:rPr>
          <w:rFonts w:eastAsia="Arial"/>
          <w:color w:val="000000"/>
          <w:w w:val="95"/>
        </w:rPr>
        <w:t>:</w:t>
      </w:r>
      <w:r w:rsidR="003B5751">
        <w:rPr>
          <w:rFonts w:eastAsia="Arial"/>
          <w:color w:val="000000"/>
          <w:w w:val="95"/>
        </w:rPr>
        <w:t xml:space="preserve"> </w:t>
      </w:r>
      <w:r w:rsidR="003B5751" w:rsidRPr="003B5751">
        <w:rPr>
          <w:rFonts w:eastAsia="Arial"/>
          <w:color w:val="000000"/>
          <w:w w:val="95"/>
        </w:rPr>
        <w:t>"Computational and experimental evaluation of the Tic-Tac-Toe RF coil for 7 Tesla MRI"</w:t>
      </w:r>
      <w:r w:rsidR="003B5751">
        <w:rPr>
          <w:rFonts w:eastAsia="Arial"/>
          <w:color w:val="000000"/>
          <w:w w:val="95"/>
        </w:rPr>
        <w:t xml:space="preserve"> </w:t>
      </w:r>
      <w:r w:rsidR="003B5751">
        <w:t xml:space="preserve">study set out to solve two coupled problems that plague ultra-high-field (7T) neuroimaging: (1) inhomogeneous B1+ (transmit) fields that degrade image quality across the head, and (2) elevated, spatially uneven RF power deposition (SAR) that creates patient-safety limits. </w:t>
      </w:r>
      <w:r w:rsidR="003B5751">
        <w:t xml:space="preserve">C </w:t>
      </w:r>
      <w:r w:rsidR="003B5751">
        <w:rPr>
          <w:rStyle w:val="Strong"/>
        </w:rPr>
        <w:t>FDTD simulation</w:t>
      </w:r>
      <w:r w:rsidR="003B5751">
        <w:t>: Full-wave electromagnetic simulations were run on multiple anatomically detailed, high-resolution head models</w:t>
      </w:r>
      <w:r w:rsidR="003B5751">
        <w:t xml:space="preserve"> were performed &amp; bench evaluation of prototyped head coil.</w:t>
      </w:r>
    </w:p>
    <w:p w14:paraId="7D6188BC" w14:textId="77777777" w:rsidR="005951B5" w:rsidRDefault="005951B5">
      <w:pPr>
        <w:spacing w:after="8" w:line="205" w:lineRule="exact"/>
      </w:pPr>
    </w:p>
    <w:p w14:paraId="6F38A9BA" w14:textId="77777777" w:rsidR="009659DB" w:rsidRDefault="00000000">
      <w:pPr>
        <w:keepNext/>
        <w:tabs>
          <w:tab w:val="right" w:pos="10584"/>
        </w:tabs>
        <w:spacing w:before="14" w:line="202" w:lineRule="exact"/>
      </w:pPr>
      <w:r>
        <w:rPr>
          <w:b/>
          <w:sz w:val="18"/>
        </w:rPr>
        <w:t>George Washington University</w:t>
      </w:r>
      <w:r>
        <w:tab/>
      </w:r>
      <w:r>
        <w:rPr>
          <w:i/>
          <w:color w:val="464646"/>
          <w:sz w:val="18"/>
        </w:rPr>
        <w:t>Washington, DC</w:t>
      </w:r>
    </w:p>
    <w:p w14:paraId="6BD42440" w14:textId="77777777" w:rsidR="009659DB" w:rsidRDefault="00000000">
      <w:pPr>
        <w:spacing w:after="8" w:line="205" w:lineRule="exact"/>
      </w:pPr>
      <w:r>
        <w:rPr>
          <w:i/>
          <w:sz w:val="18"/>
        </w:rPr>
        <w:t>Master of Science, Computer Engineering | GPA: 3.7</w:t>
      </w:r>
    </w:p>
    <w:p w14:paraId="447FA9CE" w14:textId="77777777" w:rsidR="009659DB" w:rsidRDefault="00000000">
      <w:pPr>
        <w:spacing w:after="8" w:line="204" w:lineRule="exact"/>
        <w:ind w:left="173" w:hanging="144"/>
      </w:pPr>
      <w:r>
        <w:rPr>
          <w:sz w:val="18"/>
        </w:rPr>
        <w:t>• Teaching Fellow: Circuit Design, Signals and Systems, Digital and Analog Communications, and Stochastic Processes</w:t>
      </w:r>
    </w:p>
    <w:p w14:paraId="70A215BB" w14:textId="77777777" w:rsidR="009659DB" w:rsidRDefault="00000000">
      <w:pPr>
        <w:keepNext/>
        <w:tabs>
          <w:tab w:val="right" w:pos="10584"/>
        </w:tabs>
        <w:spacing w:before="14" w:line="202" w:lineRule="exact"/>
      </w:pPr>
      <w:r>
        <w:rPr>
          <w:b/>
          <w:sz w:val="18"/>
        </w:rPr>
        <w:t>Regional Engineering College Warangal (now National Institute of Technology Warangal)</w:t>
      </w:r>
      <w:r>
        <w:tab/>
      </w:r>
      <w:r>
        <w:rPr>
          <w:i/>
          <w:color w:val="464646"/>
          <w:sz w:val="18"/>
        </w:rPr>
        <w:t>India</w:t>
      </w:r>
    </w:p>
    <w:p w14:paraId="1528953B" w14:textId="77777777" w:rsidR="009659DB" w:rsidRDefault="00000000">
      <w:pPr>
        <w:spacing w:after="8" w:line="205" w:lineRule="exact"/>
      </w:pPr>
      <w:r>
        <w:rPr>
          <w:i/>
          <w:sz w:val="18"/>
        </w:rPr>
        <w:t>Bachelor of Technology, Mechanical Engineering</w:t>
      </w:r>
    </w:p>
    <w:p w14:paraId="7F346BEC" w14:textId="77777777" w:rsidR="005951B5" w:rsidRDefault="005951B5">
      <w:pPr>
        <w:pStyle w:val="SectionHeading"/>
        <w:keepNext/>
        <w:pBdr>
          <w:bottom w:val="single" w:sz="10" w:space="2" w:color="1F4E79"/>
        </w:pBdr>
      </w:pPr>
    </w:p>
    <w:p w14:paraId="50F1BA4B" w14:textId="442CA14A" w:rsidR="009659DB" w:rsidRDefault="00000000">
      <w:pPr>
        <w:pStyle w:val="SectionHeading"/>
        <w:keepNext/>
        <w:pBdr>
          <w:bottom w:val="single" w:sz="10" w:space="2" w:color="1F4E79"/>
        </w:pBdr>
      </w:pPr>
      <w:r>
        <w:t>CERTIFICATIONS</w:t>
      </w:r>
    </w:p>
    <w:p w14:paraId="0E24E85C" w14:textId="77777777" w:rsidR="005951B5" w:rsidRDefault="005951B5" w:rsidP="005951B5">
      <w:pPr>
        <w:widowControl w:val="0"/>
        <w:kinsoku w:val="0"/>
        <w:autoSpaceDE w:val="0"/>
        <w:autoSpaceDN w:val="0"/>
        <w:adjustRightInd w:val="0"/>
        <w:spacing w:before="81" w:line="250" w:lineRule="auto"/>
        <w:ind w:left="130" w:right="140" w:hanging="130"/>
        <w:textAlignment w:val="baseline"/>
      </w:pPr>
      <w:r>
        <w:rPr>
          <w:rFonts w:eastAsia="Arial" w:cs="Arial"/>
          <w:noProof/>
          <w:color w:val="000000"/>
        </w:rPr>
        <w:t>Applications</w:t>
      </w:r>
      <w:r>
        <w:rPr>
          <w:rFonts w:eastAsia="Arial"/>
          <w:color w:val="000000"/>
          <w:w w:val="95"/>
        </w:rPr>
        <w:t xml:space="preserve"> </w:t>
      </w:r>
      <w:r>
        <w:rPr>
          <w:rFonts w:eastAsia="Arial" w:cs="Arial"/>
          <w:noProof/>
          <w:color w:val="000000"/>
        </w:rPr>
        <w:t>of</w:t>
      </w:r>
      <w:r>
        <w:rPr>
          <w:rFonts w:eastAsia="Arial"/>
          <w:color w:val="000000"/>
          <w:w w:val="95"/>
        </w:rPr>
        <w:t xml:space="preserve"> </w:t>
      </w:r>
      <w:r>
        <w:rPr>
          <w:rFonts w:eastAsia="Arial" w:cs="Arial"/>
          <w:noProof/>
          <w:color w:val="000000"/>
        </w:rPr>
        <w:t>Gen</w:t>
      </w:r>
      <w:r>
        <w:rPr>
          <w:rFonts w:eastAsia="Arial"/>
          <w:color w:val="000000"/>
          <w:w w:val="95"/>
        </w:rPr>
        <w:t xml:space="preserve"> </w:t>
      </w:r>
      <w:r>
        <w:rPr>
          <w:rFonts w:eastAsia="Arial" w:cs="Arial"/>
          <w:noProof/>
          <w:color w:val="000000"/>
        </w:rPr>
        <w:t>AI,</w:t>
      </w:r>
      <w:r>
        <w:rPr>
          <w:rFonts w:eastAsia="Arial"/>
          <w:color w:val="000000"/>
          <w:w w:val="95"/>
        </w:rPr>
        <w:t xml:space="preserve"> </w:t>
      </w:r>
      <w:r>
        <w:rPr>
          <w:rFonts w:eastAsia="Arial" w:cs="Arial"/>
          <w:noProof/>
          <w:color w:val="000000"/>
        </w:rPr>
        <w:t>John</w:t>
      </w:r>
      <w:r>
        <w:rPr>
          <w:rFonts w:eastAsia="Arial"/>
          <w:color w:val="000000"/>
          <w:w w:val="95"/>
        </w:rPr>
        <w:t xml:space="preserve"> </w:t>
      </w:r>
      <w:r>
        <w:rPr>
          <w:rFonts w:eastAsia="Arial" w:cs="Arial"/>
          <w:noProof/>
          <w:color w:val="000000"/>
        </w:rPr>
        <w:t>Hopkins</w:t>
      </w:r>
      <w:r>
        <w:rPr>
          <w:rFonts w:eastAsia="Arial"/>
          <w:color w:val="000000"/>
          <w:w w:val="95"/>
        </w:rPr>
        <w:t xml:space="preserve"> </w:t>
      </w:r>
      <w:r>
        <w:rPr>
          <w:rFonts w:eastAsia="Arial" w:cs="Arial"/>
          <w:noProof/>
          <w:color w:val="000000"/>
        </w:rPr>
        <w:t>University:</w:t>
      </w:r>
      <w:r>
        <w:rPr>
          <w:rFonts w:eastAsia="Arial"/>
          <w:color w:val="000000"/>
          <w:w w:val="95"/>
        </w:rPr>
        <w:t xml:space="preserve"> </w:t>
      </w:r>
      <w:r>
        <w:rPr>
          <w:rFonts w:eastAsia="Arial" w:cs="Arial"/>
          <w:noProof/>
          <w:color w:val="000000"/>
        </w:rPr>
        <w:t>Certificate</w:t>
      </w:r>
      <w:r>
        <w:rPr>
          <w:rFonts w:eastAsia="Arial"/>
          <w:color w:val="000000"/>
          <w:w w:val="95"/>
        </w:rPr>
        <w:t xml:space="preserve"> </w:t>
      </w:r>
      <w:r>
        <w:rPr>
          <w:rFonts w:eastAsia="Arial" w:cs="Arial"/>
          <w:noProof/>
          <w:color w:val="000000"/>
        </w:rPr>
        <w:t>(</w:t>
      </w:r>
      <w:hyperlink r:id="rId11">
        <w:r>
          <w:rPr>
            <w:rFonts w:eastAsia="Arial" w:cs="Arial"/>
            <w:noProof/>
            <w:color w:val="000000"/>
            <w:u w:val="single" w:color="000000"/>
          </w:rPr>
          <w:t>https://www.mygreatlearning.com/certificate/PUDGNRYB</w:t>
        </w:r>
      </w:hyperlink>
      <w:r>
        <w:rPr>
          <w:rFonts w:eastAsia="Arial" w:cs="Arial"/>
          <w:noProof/>
          <w:color w:val="000000"/>
        </w:rPr>
        <w:t>),</w:t>
      </w:r>
      <w:r>
        <w:rPr>
          <w:rFonts w:eastAsia="Arial"/>
          <w:color w:val="000000"/>
        </w:rPr>
        <w:t xml:space="preserve"> </w:t>
      </w:r>
      <w:r>
        <w:rPr>
          <w:rFonts w:eastAsia="Arial" w:cs="Arial"/>
          <w:noProof/>
          <w:color w:val="000000"/>
        </w:rPr>
        <w:t>Transcript</w:t>
      </w:r>
      <w:r>
        <w:rPr>
          <w:rFonts w:eastAsia="Arial"/>
          <w:color w:val="000000"/>
          <w:w w:val="92"/>
        </w:rPr>
        <w:t xml:space="preserve"> </w:t>
      </w:r>
      <w:r>
        <w:rPr>
          <w:rFonts w:eastAsia="Arial" w:cs="Arial"/>
          <w:noProof/>
          <w:color w:val="000000"/>
        </w:rPr>
        <w:t>(</w:t>
      </w:r>
      <w:hyperlink r:id="rId12">
        <w:r>
          <w:rPr>
            <w:rFonts w:eastAsia="Arial" w:cs="Arial"/>
            <w:noProof/>
            <w:color w:val="000000"/>
            <w:u w:val="single" w:color="000000"/>
          </w:rPr>
          <w:t>https://drive.google.com/file/d/1foN07jopU4TvXeMXuEefABZVCT0rjv7Q/view</w:t>
        </w:r>
      </w:hyperlink>
      <w:r>
        <w:rPr>
          <w:rFonts w:eastAsia="Arial" w:cs="Arial"/>
          <w:noProof/>
          <w:color w:val="000000"/>
        </w:rPr>
        <w:t>)</w:t>
      </w:r>
      <w:r>
        <w:rPr>
          <w:rFonts w:eastAsia="Arial"/>
          <w:color w:val="000000"/>
          <w:w w:val="92"/>
        </w:rPr>
        <w:t xml:space="preserve"> </w:t>
      </w:r>
      <w:r>
        <w:rPr>
          <w:rFonts w:eastAsia="Arial" w:cs="Arial"/>
          <w:noProof/>
          <w:color w:val="000000"/>
        </w:rPr>
        <w:t>(JAN</w:t>
      </w:r>
      <w:r>
        <w:rPr>
          <w:rFonts w:eastAsia="Arial"/>
          <w:color w:val="000000"/>
          <w:w w:val="92"/>
        </w:rPr>
        <w:t xml:space="preserve"> </w:t>
      </w:r>
      <w:r>
        <w:rPr>
          <w:rFonts w:eastAsia="Arial" w:cs="Arial"/>
          <w:noProof/>
          <w:color w:val="000000"/>
        </w:rPr>
        <w:t>2026)</w:t>
      </w:r>
      <w:r>
        <w:rPr>
          <w:rFonts w:eastAsia="Arial"/>
          <w:color w:val="000000"/>
        </w:rPr>
        <w:t xml:space="preserve"> </w:t>
      </w:r>
    </w:p>
    <w:p w14:paraId="38F2C918" w14:textId="77777777" w:rsidR="005951B5" w:rsidRDefault="005951B5" w:rsidP="005951B5">
      <w:pPr>
        <w:widowControl w:val="0"/>
        <w:numPr>
          <w:ilvl w:val="0"/>
          <w:numId w:val="10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eastAsia="Arial" w:cs="Arial"/>
          <w:noProof/>
          <w:color w:val="000000"/>
        </w:rPr>
        <w:t>Making</w:t>
      </w:r>
      <w:r>
        <w:rPr>
          <w:rFonts w:eastAsia="Arial"/>
          <w:color w:val="000000"/>
          <w:spacing w:val="-2"/>
        </w:rPr>
        <w:t xml:space="preserve"> </w:t>
      </w:r>
      <w:r>
        <w:rPr>
          <w:rFonts w:eastAsia="Arial" w:cs="Arial"/>
          <w:noProof/>
          <w:color w:val="000000"/>
        </w:rPr>
        <w:t>Data-Driven</w:t>
      </w:r>
      <w:r>
        <w:rPr>
          <w:rFonts w:eastAsia="Arial"/>
          <w:color w:val="000000"/>
          <w:spacing w:val="-2"/>
        </w:rPr>
        <w:t xml:space="preserve"> </w:t>
      </w:r>
      <w:r>
        <w:rPr>
          <w:rFonts w:eastAsia="Arial" w:cs="Arial"/>
          <w:noProof/>
          <w:color w:val="000000"/>
        </w:rPr>
        <w:t>Decisions,</w:t>
      </w:r>
      <w:r>
        <w:rPr>
          <w:rFonts w:eastAsia="Arial"/>
          <w:color w:val="000000"/>
          <w:spacing w:val="-2"/>
        </w:rPr>
        <w:t xml:space="preserve"> </w:t>
      </w:r>
      <w:r>
        <w:rPr>
          <w:rFonts w:eastAsia="Arial" w:cs="Arial"/>
          <w:noProof/>
          <w:color w:val="000000"/>
        </w:rPr>
        <w:t>MIT</w:t>
      </w:r>
      <w:r>
        <w:rPr>
          <w:rFonts w:eastAsia="Arial"/>
          <w:color w:val="000000"/>
          <w:spacing w:val="-2"/>
        </w:rPr>
        <w:t xml:space="preserve"> </w:t>
      </w:r>
      <w:r>
        <w:rPr>
          <w:rFonts w:eastAsia="Arial" w:cs="Arial"/>
          <w:noProof/>
          <w:color w:val="000000"/>
        </w:rPr>
        <w:t>IDSS,</w:t>
      </w:r>
      <w:r>
        <w:rPr>
          <w:rFonts w:eastAsia="Arial"/>
          <w:color w:val="000000"/>
          <w:spacing w:val="-2"/>
        </w:rPr>
        <w:t xml:space="preserve"> </w:t>
      </w:r>
      <w:r>
        <w:rPr>
          <w:rFonts w:eastAsia="Arial" w:cs="Arial"/>
          <w:noProof/>
          <w:color w:val="000000"/>
        </w:rPr>
        <w:t>Schwarzman</w:t>
      </w:r>
    </w:p>
    <w:p w14:paraId="551975FC" w14:textId="77777777" w:rsidR="005951B5" w:rsidRDefault="005951B5" w:rsidP="005951B5">
      <w:pPr>
        <w:widowControl w:val="0"/>
        <w:kinsoku w:val="0"/>
        <w:autoSpaceDE w:val="0"/>
        <w:autoSpaceDN w:val="0"/>
        <w:adjustRightInd w:val="0"/>
        <w:spacing w:line="250" w:lineRule="auto"/>
        <w:ind w:left="120" w:right="2560"/>
        <w:textAlignment w:val="baseline"/>
      </w:pPr>
      <w:r>
        <w:rPr>
          <w:rFonts w:eastAsia="Arial" w:cs="Arial"/>
          <w:noProof/>
          <w:color w:val="000000"/>
        </w:rPr>
        <w:t>College:</w:t>
      </w:r>
      <w:r>
        <w:rPr>
          <w:rFonts w:eastAsia="Arial"/>
          <w:color w:val="000000"/>
          <w:w w:val="87"/>
        </w:rPr>
        <w:t xml:space="preserve"> </w:t>
      </w:r>
      <w:r>
        <w:rPr>
          <w:rFonts w:eastAsia="Arial" w:cs="Arial"/>
          <w:noProof/>
          <w:color w:val="000000"/>
        </w:rPr>
        <w:t>Certificate</w:t>
      </w:r>
      <w:r>
        <w:rPr>
          <w:rFonts w:eastAsia="Arial"/>
          <w:color w:val="000000"/>
          <w:w w:val="87"/>
        </w:rPr>
        <w:t xml:space="preserve"> </w:t>
      </w:r>
      <w:r>
        <w:rPr>
          <w:rFonts w:eastAsia="Arial" w:cs="Arial"/>
          <w:noProof/>
          <w:color w:val="000000"/>
        </w:rPr>
        <w:t>(</w:t>
      </w:r>
      <w:hyperlink r:id="rId13">
        <w:r>
          <w:rPr>
            <w:rFonts w:eastAsia="Arial" w:cs="Arial"/>
            <w:noProof/>
            <w:color w:val="000000"/>
            <w:u w:val="single" w:color="000000"/>
          </w:rPr>
          <w:t>https://www.mygreatlearning.com/certificate/KVYFRYEW</w:t>
        </w:r>
      </w:hyperlink>
      <w:r>
        <w:rPr>
          <w:rFonts w:eastAsia="Arial" w:cs="Arial"/>
          <w:noProof/>
          <w:color w:val="000000"/>
        </w:rPr>
        <w:t>),</w:t>
      </w:r>
      <w:r>
        <w:rPr>
          <w:rFonts w:eastAsia="Arial"/>
          <w:color w:val="000000"/>
          <w:w w:val="87"/>
        </w:rPr>
        <w:t xml:space="preserve"> </w:t>
      </w:r>
      <w:r>
        <w:rPr>
          <w:rFonts w:eastAsia="Arial" w:cs="Arial"/>
          <w:noProof/>
          <w:color w:val="000000"/>
        </w:rPr>
        <w:t>Transcript</w:t>
      </w:r>
      <w:r>
        <w:rPr>
          <w:rFonts w:eastAsia="Arial"/>
          <w:color w:val="000000"/>
          <w:w w:val="87"/>
        </w:rPr>
        <w:t xml:space="preserve"> </w:t>
      </w:r>
      <w:r>
        <w:rPr>
          <w:rFonts w:eastAsia="Arial" w:cs="Arial"/>
          <w:noProof/>
          <w:color w:val="000000"/>
        </w:rPr>
        <w:t>(-</w:t>
      </w:r>
      <w:r>
        <w:rPr>
          <w:rFonts w:eastAsia="Arial"/>
          <w:color w:val="000000"/>
        </w:rPr>
        <w:t xml:space="preserve"> </w:t>
      </w:r>
      <w:hyperlink r:id="rId14">
        <w:r>
          <w:rPr>
            <w:rFonts w:eastAsia="Arial" w:cs="Arial"/>
            <w:noProof/>
            <w:color w:val="000000"/>
            <w:u w:val="single" w:color="000000"/>
          </w:rPr>
          <w:t>https://drive.google.com/file/d/1PmbdRrWsg67VPFLxojhweIvLX-qaN5Hq/view</w:t>
        </w:r>
      </w:hyperlink>
      <w:r>
        <w:rPr>
          <w:rFonts w:eastAsia="Arial" w:cs="Arial"/>
          <w:noProof/>
          <w:color w:val="000000"/>
        </w:rPr>
        <w:t>)</w:t>
      </w:r>
      <w:r>
        <w:rPr>
          <w:rFonts w:eastAsia="Arial"/>
          <w:color w:val="000000"/>
          <w:w w:val="87"/>
        </w:rPr>
        <w:t xml:space="preserve"> </w:t>
      </w:r>
      <w:r>
        <w:rPr>
          <w:rFonts w:eastAsia="Arial" w:cs="Arial"/>
          <w:noProof/>
          <w:color w:val="000000"/>
        </w:rPr>
        <w:t>(MAR</w:t>
      </w:r>
      <w:r>
        <w:rPr>
          <w:rFonts w:eastAsia="Arial"/>
          <w:color w:val="000000"/>
          <w:w w:val="87"/>
        </w:rPr>
        <w:t xml:space="preserve"> </w:t>
      </w:r>
      <w:r>
        <w:rPr>
          <w:rFonts w:eastAsia="Arial" w:cs="Arial"/>
          <w:noProof/>
          <w:color w:val="000000"/>
        </w:rPr>
        <w:t>2025)</w:t>
      </w:r>
      <w:r>
        <w:rPr>
          <w:rFonts w:eastAsia="Arial"/>
          <w:color w:val="000000"/>
        </w:rPr>
        <w:t xml:space="preserve"> </w:t>
      </w:r>
    </w:p>
    <w:p w14:paraId="4CD01D56" w14:textId="77777777" w:rsidR="005951B5" w:rsidRPr="003E04C5" w:rsidRDefault="005951B5" w:rsidP="005951B5">
      <w:pPr>
        <w:widowControl w:val="0"/>
        <w:numPr>
          <w:ilvl w:val="0"/>
          <w:numId w:val="11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rFonts w:eastAsia="Arial" w:cs="Arial"/>
          <w:noProof/>
          <w:color w:val="000000"/>
        </w:rPr>
        <w:t>Certificate</w:t>
      </w:r>
      <w:r>
        <w:rPr>
          <w:rFonts w:eastAsia="Arial"/>
          <w:color w:val="000000"/>
          <w:spacing w:val="-1"/>
        </w:rPr>
        <w:t xml:space="preserve"> </w:t>
      </w:r>
      <w:r>
        <w:rPr>
          <w:rFonts w:eastAsia="Arial" w:cs="Arial"/>
          <w:noProof/>
          <w:color w:val="000000"/>
        </w:rPr>
        <w:t>in</w:t>
      </w:r>
      <w:r>
        <w:rPr>
          <w:rFonts w:eastAsia="Arial"/>
          <w:color w:val="000000"/>
          <w:spacing w:val="-1"/>
        </w:rPr>
        <w:t xml:space="preserve"> </w:t>
      </w:r>
      <w:r>
        <w:rPr>
          <w:rFonts w:eastAsia="Arial" w:cs="Arial"/>
          <w:noProof/>
          <w:color w:val="000000"/>
        </w:rPr>
        <w:t>Computing:</w:t>
      </w:r>
      <w:r>
        <w:rPr>
          <w:rFonts w:eastAsia="Arial"/>
          <w:color w:val="000000"/>
          <w:spacing w:val="-1"/>
        </w:rPr>
        <w:t xml:space="preserve"> </w:t>
      </w:r>
      <w:r>
        <w:rPr>
          <w:rFonts w:eastAsia="Arial" w:cs="Arial"/>
          <w:noProof/>
          <w:color w:val="000000"/>
        </w:rPr>
        <w:t>CDAC,</w:t>
      </w:r>
      <w:r>
        <w:rPr>
          <w:rFonts w:eastAsia="Arial"/>
          <w:color w:val="000000"/>
          <w:spacing w:val="-1"/>
        </w:rPr>
        <w:t xml:space="preserve"> </w:t>
      </w:r>
      <w:r>
        <w:rPr>
          <w:rFonts w:eastAsia="Arial" w:cs="Arial"/>
          <w:noProof/>
          <w:color w:val="000000"/>
        </w:rPr>
        <w:t>India</w:t>
      </w:r>
    </w:p>
    <w:p w14:paraId="0C982769" w14:textId="77777777" w:rsidR="005951B5" w:rsidRDefault="005951B5">
      <w:pPr>
        <w:pStyle w:val="SectionHeading"/>
        <w:keepNext/>
        <w:pBdr>
          <w:bottom w:val="single" w:sz="10" w:space="2" w:color="1F4E79"/>
        </w:pBdr>
      </w:pPr>
    </w:p>
    <w:p w14:paraId="5425F6D2" w14:textId="4E28C19B" w:rsidR="009659DB" w:rsidRDefault="00000000">
      <w:pPr>
        <w:pStyle w:val="SectionHeading"/>
        <w:keepNext/>
        <w:pBdr>
          <w:bottom w:val="single" w:sz="10" w:space="2" w:color="1F4E79"/>
        </w:pBdr>
      </w:pPr>
      <w:r>
        <w:t>TECHNICAL SKILLS</w:t>
      </w:r>
    </w:p>
    <w:p w14:paraId="4F7AC615" w14:textId="77777777" w:rsidR="009659DB" w:rsidRDefault="00000000">
      <w:pPr>
        <w:keepLines/>
        <w:spacing w:after="6" w:line="209" w:lineRule="exact"/>
      </w:pPr>
      <w:r>
        <w:rPr>
          <w:sz w:val="18"/>
        </w:rPr>
        <w:t>Leadership &amp; Business: Analytics Planning, Cross-Functional Stakeholder Partnership, Executive Briefings, KPI Design, Process Improvement, Peer Coaching, Knowledge Sharing, Self-Service Analytics</w:t>
      </w:r>
    </w:p>
    <w:p w14:paraId="340DEDC5" w14:textId="77777777" w:rsidR="009659DB" w:rsidRDefault="00000000">
      <w:pPr>
        <w:keepLines/>
        <w:spacing w:after="6" w:line="209" w:lineRule="exact"/>
      </w:pPr>
      <w:r>
        <w:rPr>
          <w:sz w:val="18"/>
        </w:rPr>
        <w:t>Analytics &amp; AI: Predictive and Statistical Modeling, Machine Learning, NLP, Retrieval-Augmented Generation, Embeddings, Time-Series Analysis, Clustering, Random Forest, Anomaly Detection, Change-Point Analysis, Feature Engineering, Model Validation, Synthetic Data</w:t>
      </w:r>
    </w:p>
    <w:p w14:paraId="156765C0" w14:textId="77777777" w:rsidR="009659DB" w:rsidRDefault="00000000">
      <w:pPr>
        <w:keepLines/>
        <w:spacing w:line="209" w:lineRule="exact"/>
      </w:pPr>
      <w:r>
        <w:rPr>
          <w:sz w:val="18"/>
        </w:rPr>
        <w:t>Programming &amp; Platforms: Python, SQL, R, pandas, scikit-learn, PyTorch, Teradata, PostgreSQL, Microsoft SQL Server, SQLite, Redis, Tableau, Power BI, ArcGIS, Microsoft Azure, Databricks, Docker, Git, C#/.NET, Excel, PowerPoint</w:t>
      </w:r>
    </w:p>
    <w:sectPr w:rsidR="009659DB" w:rsidSect="00034616">
      <w:footerReference w:type="default" r:id="rId15"/>
      <w:pgSz w:w="12240" w:h="15840"/>
      <w:pgMar w:top="605" w:right="806" w:bottom="605" w:left="80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F08BA" w14:textId="77777777" w:rsidR="009139E4" w:rsidRDefault="009139E4">
      <w:pPr>
        <w:spacing w:line="240" w:lineRule="auto"/>
      </w:pPr>
      <w:r>
        <w:separator/>
      </w:r>
    </w:p>
  </w:endnote>
  <w:endnote w:type="continuationSeparator" w:id="0">
    <w:p w14:paraId="2D80D8FD" w14:textId="77777777" w:rsidR="009139E4" w:rsidRDefault="009139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F942" w14:textId="77777777" w:rsidR="009659DB" w:rsidRDefault="00000000">
    <w:pPr>
      <w:pStyle w:val="Footer"/>
      <w:jc w:val="center"/>
    </w:pPr>
    <w:r>
      <w:rPr>
        <w:color w:val="646464"/>
        <w:sz w:val="16"/>
      </w:rPr>
      <w:t xml:space="preserve">Narayanan </w:t>
    </w:r>
    <w:proofErr w:type="gramStart"/>
    <w:r>
      <w:rPr>
        <w:color w:val="646464"/>
        <w:sz w:val="16"/>
      </w:rPr>
      <w:t>Krishnamurthy  |</w:t>
    </w:r>
    <w:proofErr w:type="gramEnd"/>
    <w:r>
      <w:rPr>
        <w:color w:val="646464"/>
        <w:sz w:val="16"/>
      </w:rPr>
      <w:t xml:space="preserve"> 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>
      <w:rPr>
        <w:color w:val="646464"/>
        <w:sz w:val="16"/>
      </w:rPr>
      <w:fldChar w:fldCharType="separate"/>
    </w:r>
    <w:r w:rsidR="005951B5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7B511" w14:textId="77777777" w:rsidR="009139E4" w:rsidRDefault="009139E4">
      <w:pPr>
        <w:spacing w:line="240" w:lineRule="auto"/>
      </w:pPr>
      <w:r>
        <w:separator/>
      </w:r>
    </w:p>
  </w:footnote>
  <w:footnote w:type="continuationSeparator" w:id="0">
    <w:p w14:paraId="40D7E2BE" w14:textId="77777777" w:rsidR="009139E4" w:rsidRDefault="009139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A0A7F"/>
    <w:multiLevelType w:val="singleLevel"/>
    <w:tmpl w:val="AC4C750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6FAE4896"/>
    <w:multiLevelType w:val="singleLevel"/>
    <w:tmpl w:val="DDFA47A6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num w:numId="1" w16cid:durableId="361974560">
    <w:abstractNumId w:val="8"/>
  </w:num>
  <w:num w:numId="2" w16cid:durableId="1338386326">
    <w:abstractNumId w:val="6"/>
  </w:num>
  <w:num w:numId="3" w16cid:durableId="1507092337">
    <w:abstractNumId w:val="5"/>
  </w:num>
  <w:num w:numId="4" w16cid:durableId="642929252">
    <w:abstractNumId w:val="4"/>
  </w:num>
  <w:num w:numId="5" w16cid:durableId="1795908899">
    <w:abstractNumId w:val="7"/>
  </w:num>
  <w:num w:numId="6" w16cid:durableId="664743421">
    <w:abstractNumId w:val="3"/>
  </w:num>
  <w:num w:numId="7" w16cid:durableId="614365211">
    <w:abstractNumId w:val="2"/>
  </w:num>
  <w:num w:numId="8" w16cid:durableId="1049299567">
    <w:abstractNumId w:val="1"/>
  </w:num>
  <w:num w:numId="9" w16cid:durableId="783693162">
    <w:abstractNumId w:val="0"/>
  </w:num>
  <w:num w:numId="10" w16cid:durableId="787361660">
    <w:abstractNumId w:val="10"/>
  </w:num>
  <w:num w:numId="11" w16cid:durableId="1546716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66"/>
    <w:rsid w:val="0015074B"/>
    <w:rsid w:val="00203B04"/>
    <w:rsid w:val="0029639D"/>
    <w:rsid w:val="00326F90"/>
    <w:rsid w:val="003B5751"/>
    <w:rsid w:val="003D2B95"/>
    <w:rsid w:val="005951B5"/>
    <w:rsid w:val="00736366"/>
    <w:rsid w:val="008F5941"/>
    <w:rsid w:val="009139E4"/>
    <w:rsid w:val="009659DB"/>
    <w:rsid w:val="00AA1D8D"/>
    <w:rsid w:val="00B47730"/>
    <w:rsid w:val="00C31C8C"/>
    <w:rsid w:val="00CB0664"/>
    <w:rsid w:val="00F100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2FF08"/>
  <w14:defaultImageDpi w14:val="300"/>
  <w15:docId w15:val="{61071F77-0D4D-44C2-BB7A-C0A3535D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23" w:lineRule="exact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pPr>
      <w:spacing w:before="90" w:after="40" w:line="240" w:lineRule="exact"/>
    </w:pPr>
    <w:rPr>
      <w:rFonts w:ascii="Arial" w:hAnsi="Arial"/>
      <w:b/>
      <w:color w:val="1F4E7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nar74@gmail.com" TargetMode="External"/><Relationship Id="rId13" Type="http://schemas.openxmlformats.org/officeDocument/2006/relationships/hyperlink" Target="https://www.mygreatlearning.com/certificate/KVYFRYE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foN07jopU4TvXeMXuEefABZVCT0rjv7Q/view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ygreatlearning.com/certificate/PUDGNRY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knar974.github.io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krishnamurthy74/" TargetMode="External"/><Relationship Id="rId14" Type="http://schemas.openxmlformats.org/officeDocument/2006/relationships/hyperlink" Target="https://drive.google.com/file/d/1PmbdRrWsg67VPFLxojhweIvLX-qaN5Hq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Narayanan Krishnamurthy - Data Science and Analytics Manager Resume</vt:lpstr>
    </vt:vector>
  </TitlesOfParts>
  <Manager/>
  <Company/>
  <LinksUpToDate>false</LinksUpToDate>
  <CharactersWithSpaces>9820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Narayanan Krishnamurthy - Data Science and Analytics Manager Resume</dc:title>
  <dc:subject>Targeted resume for ADT Data Science and Analytics Manager</dc:subject>
  <dc:creator>Narayanan Krishnamurthy</dc:creator>
  <cp:keywords>Data Science, Analytics Manager, Customer Analytics, Revenue Analytics, Machine Learning, SQL, Python, Tableau</cp:keywords>
  <dc:description>generated by python-docx</dc:description>
  <cp:lastModifiedBy>Narayanan Krishnamurthy</cp:lastModifiedBy>
  <cp:revision>5</cp:revision>
  <dcterms:created xsi:type="dcterms:W3CDTF">2013-12-23T23:15:00Z</dcterms:created>
  <dcterms:modified xsi:type="dcterms:W3CDTF">2026-09-17T17:16:00Z</dcterms:modified>
  <cp:category/>
</cp:coreProperties>
</file>