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TEI/XML Encoding Guide / TEI/XMLエンコーディング入門</w:t>
      </w:r>
    </w:p>
    <w:p>
      <w:pPr>
        <w:pStyle w:val="Heading1"/>
      </w:pPr>
      <w:r>
        <w:t>1. What is TEI? / TEIとは？</w:t>
      </w:r>
    </w:p>
    <w:p>
      <w:r>
        <w:t xml:space="preserve">The </w:t>
      </w:r>
      <w:r>
        <w:rPr>
          <w:b/>
        </w:rPr>
        <w:t>Text Encoding Initiative (TEI)</w:t>
      </w:r>
      <w:r>
        <w:t xml:space="preserve"> is an international standard for representing texts in digital form. It is widely used in libraries, museums, publishers, and academic research.</w:t>
      </w:r>
      <w:r>
        <w:rPr>
          <w:rStyle w:val="FootnoteReference"/>
        </w:rPr>
        <w:footnoteReference w:id="1"/>
      </w:r>
    </w:p>
    <w:p>
      <w:r>
        <w:rPr>
          <w:b/>
        </w:rPr>
        <w:t>TEI（Text Encoding Initiative）</w:t>
      </w:r>
      <w:r>
        <w:t>は、テキストをデジタル形式で表現するための国際標準です。図書館、博物館、出版社、学術研究で広く利用されています。</w:t>
      </w:r>
    </w:p>
    <w:p>
      <w:pPr>
        <w:pStyle w:val="Heading1"/>
      </w:pPr>
      <w:r>
        <w:t>2. Basic Document Structure / 基本構造</w:t>
      </w:r>
    </w:p>
    <w:p>
      <w:r>
        <w:t>A TEI document consists of three main parts:</w:t>
      </w:r>
    </w:p>
    <w:p>
      <w:r>
        <w:t>TEI文書は3つの主要部分から構成されます。</w:t>
      </w:r>
    </w:p>
    <w:p>
      <w:pPr>
        <w:pStyle w:val="ListBullet"/>
      </w:pPr>
      <w:r>
        <w:t>TEI Header (teiHeader) — metadata / メタデータ</w:t>
      </w:r>
    </w:p>
    <w:p>
      <w:pPr>
        <w:pStyle w:val="ListBullet"/>
      </w:pPr>
      <w:r>
        <w:t>Front Matter (front) — title page, preface / 扉・序文</w:t>
      </w:r>
    </w:p>
    <w:p>
      <w:pPr>
        <w:pStyle w:val="ListBullet"/>
      </w:pPr>
      <w:r>
        <w:t>Body (body) — main content / 本文</w:t>
      </w:r>
    </w:p>
    <w:p>
      <w:pPr>
        <w:pStyle w:val="Heading2"/>
      </w:pPr>
      <w:r>
        <w:t>2.1 The TEI Header / TEIヘッダー</w:t>
      </w:r>
    </w:p>
    <w:p>
      <w:r>
        <w:t xml:space="preserve">The </w:t>
      </w:r>
      <w:r>
        <w:rPr>
          <w:i/>
        </w:rPr>
        <w:t>teiHeader</w:t>
      </w:r>
      <w:r>
        <w:t xml:space="preserve"> contains bibliographic information, encoding description, and revision history. It is </w:t>
      </w:r>
      <w:r>
        <w:rPr>
          <w:b/>
          <w:i/>
        </w:rPr>
        <w:t>required</w:t>
      </w:r>
      <w:r>
        <w:t xml:space="preserve"> in every TEI document.</w:t>
      </w:r>
      <w:r>
        <w:rPr>
          <w:rStyle w:val="FootnoteReference"/>
        </w:rPr>
        <w:footnoteReference w:id="2"/>
      </w:r>
    </w:p>
    <w:p>
      <w:r>
        <w:rPr>
          <w:i/>
        </w:rPr>
        <w:t>teiHeader</w:t>
      </w:r>
      <w:r>
        <w:t>には書誌情報、エンコーディングの説明、改訂履歴が含まれます。すべてのTEI文書で</w:t>
      </w:r>
      <w:r>
        <w:rPr>
          <w:b/>
          <w:i/>
        </w:rPr>
        <w:t>必須</w:t>
      </w:r>
      <w:r>
        <w:t>の要素です。</w:t>
      </w:r>
    </w:p>
    <w:p>
      <w:pPr>
        <w:pStyle w:val="Heading2"/>
      </w:pPr>
      <w:r>
        <w:t>2.2 Key Elements / 主要要素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 / 要素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説明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/ 必須</w:t>
            </w:r>
          </w:p>
        </w:tc>
      </w:tr>
      <w:tr>
        <w:tc>
          <w:tcPr>
            <w:tcW w:type="dxa" w:w="2880"/>
          </w:tcPr>
          <w:p>
            <w:r>
              <w:t>&lt;teiHeader&gt;</w:t>
            </w:r>
          </w:p>
        </w:tc>
        <w:tc>
          <w:tcPr>
            <w:tcW w:type="dxa" w:w="2880"/>
          </w:tcPr>
          <w:p>
            <w:r>
              <w:t>Document metadata / 文書メタデータ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&lt;fileDesc&gt;</w:t>
            </w:r>
          </w:p>
        </w:tc>
        <w:tc>
          <w:tcPr>
            <w:tcW w:type="dxa" w:w="2880"/>
          </w:tcPr>
          <w:p>
            <w:r>
              <w:t>Bibliographic description / 書誌記述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&lt;text&gt;</w:t>
            </w:r>
          </w:p>
        </w:tc>
        <w:tc>
          <w:tcPr>
            <w:tcW w:type="dxa" w:w="2880"/>
          </w:tcPr>
          <w:p>
            <w:r>
              <w:t>The text itself / テキスト本体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&lt;body&gt;</w:t>
            </w:r>
          </w:p>
        </w:tc>
        <w:tc>
          <w:tcPr>
            <w:tcW w:type="dxa" w:w="2880"/>
          </w:tcPr>
          <w:p>
            <w:r>
              <w:t>Main content area / 本文領域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&lt;facsimile&gt;</w:t>
            </w:r>
          </w:p>
        </w:tc>
        <w:tc>
          <w:tcPr>
            <w:tcW w:type="dxa" w:w="2880"/>
          </w:tcPr>
          <w:p>
            <w:r>
              <w:t>Digital image references / 画像参照</w:t>
            </w:r>
          </w:p>
        </w:tc>
        <w:tc>
          <w:tcPr>
            <w:tcW w:type="dxa" w:w="2880"/>
          </w:tcPr>
          <w:p>
            <w:r>
              <w:t>No / いいえ</w:t>
            </w:r>
          </w:p>
        </w:tc>
      </w:tr>
    </w:tbl>
    <w:p>
      <w:pPr>
        <w:pStyle w:val="Heading1"/>
      </w:pPr>
      <w:r>
        <w:t>3. Text Formatting / テキストの書式</w:t>
      </w:r>
    </w:p>
    <w:p>
      <w:r>
        <w:t>TEI supports various levels of text formatting:</w:t>
      </w:r>
    </w:p>
    <w:p>
      <w:r>
        <w:t>TEIはさまざまなレベルのテキスト書式に対応しています。</w:t>
      </w:r>
    </w:p>
    <w:p>
      <w:pPr>
        <w:pStyle w:val="ListNumber"/>
      </w:pPr>
      <w:r>
        <w:t>Structural divisions / 構造的区分（章・節）</w:t>
      </w:r>
    </w:p>
    <w:p>
      <w:pPr>
        <w:pStyle w:val="ListNumber"/>
      </w:pPr>
      <w:r>
        <w:t>Paragraphs and line breaks / 段落と改行</w:t>
      </w:r>
    </w:p>
    <w:p>
      <w:pPr>
        <w:pStyle w:val="ListNumber"/>
      </w:pPr>
      <w:r>
        <w:t>Emphasis and highlighting / 強調とハイライト</w:t>
      </w:r>
    </w:p>
    <w:p>
      <w:pPr>
        <w:pStyle w:val="ListNumber"/>
      </w:pPr>
      <w:r>
        <w:t>Notes and annotations / 注釈とアノテーション</w:t>
      </w:r>
    </w:p>
    <w:p>
      <w:r>
        <w:t xml:space="preserve">For example, </w:t>
      </w:r>
      <w:r>
        <w:rPr>
          <w:b/>
        </w:rPr>
        <w:t>bold text</w:t>
      </w:r>
      <w:r>
        <w:t xml:space="preserve"> is encoded as &lt;hi rend="bold"&gt;, and </w:t>
      </w:r>
      <w:r>
        <w:rPr>
          <w:i/>
        </w:rPr>
        <w:t>italic text</w:t>
      </w:r>
      <w:r>
        <w:t xml:space="preserve"> as &lt;hi rend="italic"&gt;.</w:t>
      </w:r>
    </w:p>
    <w:p>
      <w:r>
        <w:t>例えば、</w:t>
      </w:r>
      <w:r>
        <w:rPr>
          <w:b/>
        </w:rPr>
        <w:t>太字</w:t>
      </w:r>
      <w:r>
        <w:t>は &lt;hi rend="bold"&gt; で、</w:t>
      </w:r>
      <w:r>
        <w:rPr>
          <w:i/>
        </w:rPr>
        <w:t>斜体</w:t>
      </w:r>
      <w:r>
        <w:t>は &lt;hi rend="italic"&gt; でエンコードされます。</w:t>
      </w:r>
    </w:p>
    <w:p>
      <w:pPr>
        <w:pStyle w:val="Heading1"/>
      </w:pPr>
      <w:r>
        <w:t>4. Advantages of TEI / TEIの利点</w:t>
      </w:r>
    </w:p>
    <w:p>
      <w:pPr>
        <w:pStyle w:val="ListBullet"/>
      </w:pPr>
      <w:r>
        <w:t>Interoperability — texts can be shared across projects / 相互運用性 — プロジェクト間でテキストを共有可能</w:t>
      </w:r>
    </w:p>
    <w:p>
      <w:pPr>
        <w:pStyle w:val="ListBullet"/>
      </w:pPr>
      <w:r>
        <w:t>Longevity — XML-based format ensures long-term preservation / 長期保存性 — XML形式により長期的な保存を保証</w:t>
      </w:r>
    </w:p>
    <w:p>
      <w:pPr>
        <w:pStyle w:val="ListBullet"/>
      </w:pPr>
      <w:r>
        <w:t>Expressiveness — rich markup captures structure and semantics / 表現力 — 構造と意味を記録する豊富なマークアップ</w:t>
      </w:r>
    </w:p>
    <w:p>
      <w:pPr>
        <w:pStyle w:val="ListBullet"/>
      </w:pPr>
      <w:r>
        <w:t>Community — large international community / コミュニティ — 大規模な国際的コミュニティ</w:t>
      </w:r>
    </w:p>
    <w:p>
      <w:pPr>
        <w:pStyle w:val="Heading1"/>
      </w:pPr>
      <w:r>
        <w:t>5. Conclusion / まとめ</w:t>
      </w:r>
    </w:p>
    <w:p>
      <w:r>
        <w:t xml:space="preserve">TEI is the de facto standard for digital text encoding in the humanities. By converting </w:t>
      </w:r>
      <w:r>
        <w:rPr>
          <w:b/>
        </w:rPr>
        <w:t>Microsoft Word (.docx)</w:t>
      </w:r>
      <w:r>
        <w:t xml:space="preserve"> documents into TEI/XML, researchers can ensure their texts are structured, searchable, and preserved for the long term.</w:t>
      </w:r>
    </w:p>
    <w:p>
      <w:r>
        <w:t>TEIは人文学におけるデジタルテキストエンコーディングの事実上の標準です。</w:t>
      </w:r>
      <w:r>
        <w:rPr>
          <w:b/>
        </w:rPr>
        <w:t>Microsoft Word (.docx)</w:t>
      </w:r>
      <w:r>
        <w:t xml:space="preserve"> 文書をTEI/XMLに変換することで、テキストの構造化・検索可能性・長期保存を実現できます。</w:t>
      </w:r>
    </w:p>
    <w:p>
      <w:pPr>
        <w:spacing w:before="480"/>
      </w:pPr>
      <w:r>
        <w:rPr>
          <w:b/>
        </w:rPr>
        <w:t xml:space="preserve">Note / 注: </w:t>
      </w:r>
      <w:r>
        <w:t>This is a sample document for demonstration purposes. / これはデモンストレーション用のサンプル文書です。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TEI was originally established in 1987 and has since become the de facto standard for text encoding in the digital humanities. / TEIは1987年に設立され、デジタル人文学におけるテキストエンコーディングの事実上の標準となりました。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See the official TEI Guidelines at https://tei-c.org/guidelines/ for the complete specification. / 完全な仕様については、TEI公式ガイドライン https://tei-c.org/guidelines/ を参照してください。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