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BIZ UDPゴシック" w:hAnsi="BIZ UDPゴシック" w:eastAsia="BIZ UDPゴシック"/>
          <w:b/>
          <w:sz w:val="20"/>
        </w:rPr>
        <w:t>別紙2</w:t>
      </w:r>
    </w:p>
    <w:p>
      <w:pPr>
        <w:spacing w:after="80" w:before="0"/>
      </w:pPr>
      <w:r>
        <w:rPr>
          <w:rFonts w:ascii="BIZ UDPゴシック" w:hAnsi="BIZ UDPゴシック" w:eastAsia="BIZ UDPゴシック"/>
          <w:b/>
          <w:sz w:val="28"/>
        </w:rPr>
        <w:t>貸借対照表及び損益計算書（抜粋）</w:t>
      </w:r>
    </w:p>
    <w:p>
      <w:pPr>
        <w:spacing w:after="20" w:before="0"/>
      </w:pPr>
      <w:r>
        <w:rPr>
          <w:rFonts w:ascii="BIZ UDPゴシック" w:hAnsi="BIZ UDPゴシック" w:eastAsia="BIZ UDPゴシック"/>
          <w:b/>
          <w:sz w:val="21"/>
        </w:rPr>
        <w:t>1．株式会社WineBank　第54期（自 2024年10月1日　至 2025年9月30日）　単体</w:t>
      </w:r>
    </w:p>
    <w:p>
      <w:pPr>
        <w:spacing w:after="0" w:before="0"/>
        <w:jc w:val="right"/>
      </w:pPr>
      <w:r>
        <w:rPr>
          <w:rFonts w:ascii="BIZ UDPゴシック" w:hAnsi="BIZ UDPゴシック" w:eastAsia="BIZ UDPゴシック"/>
          <w:b w:val="0"/>
          <w:sz w:val="17"/>
        </w:rPr>
        <w:t>（単位：千円）</w:t>
      </w:r>
    </w:p>
    <w:p>
      <w:pPr>
        <w:spacing w:after="60" w:before="80"/>
      </w:pPr>
      <w:r>
        <w:rPr>
          <w:rFonts w:ascii="BIZ UDPゴシック" w:hAnsi="BIZ UDPゴシック" w:eastAsia="BIZ UDPゴシック"/>
          <w:b/>
          <w:sz w:val="21"/>
        </w:rPr>
        <w:t>(1) 貸借対照表（2025年9月30日現在）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814"/>
        <w:gridCol w:w="2835"/>
        <w:gridCol w:w="1814"/>
      </w:tblGrid>
      <w:t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資産の部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金額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負債及び純資産の部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金額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【流動資産】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611,624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【流動負債】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247,845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現金及び預金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24,390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買掛金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37,602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売掛金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66,464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短期借入金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162,441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商品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504,639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その他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47,802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その他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16,131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【固定負債】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423,769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【固定資産】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271,745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長期借入金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423,623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有形固定資産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98,991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役員借入金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146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無形固定資産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129,898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負債合計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671,614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投資その他の資産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42,856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【純資産】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211,756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1814"/>
          </w:tcPr>
          <w:p/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資本金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10,000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1814"/>
          </w:tcPr>
          <w:p/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資本剰余金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266,519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1814"/>
          </w:tcPr>
          <w:p/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利益剰余金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△64,763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1814"/>
          </w:tcPr>
          <w:p/>
        </w:tc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純資産合計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211,756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資産合計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883,370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負債・純資産合計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883,370</w:t>
            </w:r>
          </w:p>
        </w:tc>
      </w:tr>
    </w:tbl>
    <w:p>
      <w:pPr>
        <w:spacing w:after="60" w:before="160"/>
      </w:pPr>
      <w:r>
        <w:rPr>
          <w:rFonts w:ascii="BIZ UDPゴシック" w:hAnsi="BIZ UDPゴシック" w:eastAsia="BIZ UDPゴシック"/>
          <w:b/>
          <w:sz w:val="21"/>
        </w:rPr>
        <w:t>(2) 損益計算書（自 2024年10月1日　至 2025年9月30日）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2268"/>
      </w:tblGrid>
      <w:tr>
        <w:tc>
          <w:tcPr>
            <w:tcW w:type="dxa" w:w="5102"/>
            <w:shd w:val="clear" w:color="auto" w:fill="F2F2F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科目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金額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売上高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752,865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売上原価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550,916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売上総利益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201,949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販売費及び一般管理費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199,438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営業利益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2,511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営業外収益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1,680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営業外費用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10,004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経常損失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△5,813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特別利益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1,840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特別損失（※2）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123,391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税引前当期純損失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△127,364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法人税、住民税及び事業税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463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当期純損失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△127,827</w:t>
            </w:r>
          </w:p>
        </w:tc>
      </w:tr>
    </w:tbl>
    <w:p>
      <w:pPr>
        <w:spacing w:after="40" w:before="0"/>
      </w:pPr>
      <w:r>
        <w:rPr>
          <w:rFonts w:ascii="BIZ UDPゴシック" w:hAnsi="BIZ UDPゴシック" w:eastAsia="BIZ UDPゴシック"/>
          <w:b w:val="0"/>
          <w:sz w:val="19"/>
        </w:rPr>
      </w:r>
    </w:p>
    <w:p>
      <w:pPr>
        <w:spacing w:after="40" w:before="0"/>
      </w:pPr>
      <w:r>
        <w:rPr>
          <w:rFonts w:ascii="BIZ UDPゴシック" w:hAnsi="BIZ UDPゴシック" w:eastAsia="BIZ UDPゴシック"/>
          <w:b w:val="0"/>
          <w:sz w:val="17"/>
        </w:rPr>
        <w:t>※1　第54期決算報告書から主要科目を抜粋し、千円未満を四捨五入して表示しております。このため、合計が内訳の和と一致しない場合がございます。</w:t>
      </w:r>
    </w:p>
    <w:p>
      <w:pPr>
        <w:spacing w:after="40" w:before="0"/>
      </w:pPr>
      <w:r>
        <w:rPr>
          <w:rFonts w:ascii="BIZ UDPゴシック" w:hAnsi="BIZ UDPゴシック" w:eastAsia="BIZ UDPゴシック"/>
          <w:b w:val="0"/>
          <w:sz w:val="17"/>
        </w:rPr>
        <w:t>※2　特別損失123,391千円の内訳は、事業譲渡損59,842千円、固定資産除却損18,102千円、抱合せ株式消滅差損45,447千円であり、いずれも事業譲渡および合併に伴う一時的な損失です。</w:t>
      </w:r>
    </w:p>
    <w:p>
      <w:pPr>
        <w:spacing w:after="40" w:before="0"/>
      </w:pPr>
      <w:r>
        <w:rPr>
          <w:rFonts w:ascii="BIZ UDPゴシック" w:hAnsi="BIZ UDPゴシック" w:eastAsia="BIZ UDPゴシック"/>
          <w:b w:val="0"/>
          <w:sz w:val="17"/>
        </w:rPr>
        <w:t>※3　（参考）営業利益に減価償却費および繰延資産償却を加えた金額は30,954千円です。</w:t>
      </w:r>
    </w:p>
    <w:p>
      <w:pPr>
        <w:spacing w:after="40" w:before="0"/>
      </w:pPr>
      <w:r>
        <w:rPr>
          <w:rFonts w:ascii="BIZ UDPゴシック" w:hAnsi="BIZ UDPゴシック" w:eastAsia="BIZ UDPゴシック"/>
          <w:b w:val="0"/>
          <w:sz w:val="17"/>
        </w:rPr>
        <w:t>※4　資本金および資本剰余金は2025年9月30日時点の金額です。期末後に増資を行っており、現在の資本金（資本準備金を含む）は4億3,716万9千円です。</w:t>
      </w:r>
    </w:p>
    <w:p>
      <w:r>
        <w:br w:type="page"/>
      </w:r>
    </w:p>
    <w:p>
      <w:pPr>
        <w:spacing w:after="20" w:before="0"/>
      </w:pPr>
      <w:r>
        <w:rPr>
          <w:rFonts w:ascii="BIZ UDPゴシック" w:hAnsi="BIZ UDPゴシック" w:eastAsia="BIZ UDPゴシック"/>
          <w:b/>
          <w:sz w:val="21"/>
        </w:rPr>
        <w:t>2．（参考）株式会社アピシウス　第2期（自 2025年1月1日　至 2025年12月31日）</w:t>
      </w:r>
    </w:p>
    <w:p>
      <w:pPr>
        <w:spacing w:after="20" w:before="0"/>
      </w:pPr>
      <w:r>
        <w:rPr>
          <w:rFonts w:ascii="BIZ UDPゴシック" w:hAnsi="BIZ UDPゴシック" w:eastAsia="BIZ UDPゴシック"/>
          <w:b w:val="0"/>
          <w:sz w:val="18"/>
        </w:rPr>
        <w:t>当社グループが2024年6月に株式の100%を取得し、東京・銀座でグランメゾン「アピシウス」を運営する会社です。本件の承継モデルの参考として掲載いたします。</w:t>
      </w:r>
    </w:p>
    <w:p>
      <w:pPr>
        <w:spacing w:after="0" w:before="0"/>
        <w:jc w:val="right"/>
      </w:pPr>
      <w:r>
        <w:rPr>
          <w:rFonts w:ascii="BIZ UDPゴシック" w:hAnsi="BIZ UDPゴシック" w:eastAsia="BIZ UDPゴシック"/>
          <w:b w:val="0"/>
          <w:sz w:val="17"/>
        </w:rPr>
        <w:t>（単位：千円）</w:t>
      </w:r>
    </w:p>
    <w:p>
      <w:pPr>
        <w:spacing w:after="60" w:before="80"/>
      </w:pPr>
      <w:r>
        <w:rPr>
          <w:rFonts w:ascii="BIZ UDPゴシック" w:hAnsi="BIZ UDPゴシック" w:eastAsia="BIZ UDPゴシック"/>
          <w:b/>
          <w:sz w:val="21"/>
        </w:rPr>
        <w:t>(1) 貸借対照表（2025年12月31日現在）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814"/>
        <w:gridCol w:w="2835"/>
        <w:gridCol w:w="1814"/>
      </w:tblGrid>
      <w:t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資産の部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金額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負債及び純資産の部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金額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【流動資産】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478,954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【流動負債】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92,524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現金及び預金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57,372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買掛金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27,151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売掛金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38,019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未払金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25,914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商品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375,793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未払法人税等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28,046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その他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7,770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その他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11,414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【固定資産】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178,951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【固定負債】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47,162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有形固定資産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11,098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退職給付引当金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47,162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投資その他の資産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167,853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負債合計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139,686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1814"/>
          </w:tcPr>
          <w:p/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【純資産】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518,219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1814"/>
          </w:tcPr>
          <w:p/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資本金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10,000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1814"/>
          </w:tcPr>
          <w:p/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資本剰余金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458,138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1814"/>
          </w:tcPr>
          <w:p/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利益剰余金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50,081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1814"/>
          </w:tcPr>
          <w:p/>
        </w:tc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純資産合計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518,219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資産合計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657,905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負債・純資産合計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657,905</w:t>
            </w:r>
          </w:p>
        </w:tc>
      </w:tr>
    </w:tbl>
    <w:p>
      <w:pPr>
        <w:spacing w:after="60" w:before="160"/>
      </w:pPr>
      <w:r>
        <w:rPr>
          <w:rFonts w:ascii="BIZ UDPゴシック" w:hAnsi="BIZ UDPゴシック" w:eastAsia="BIZ UDPゴシック"/>
          <w:b/>
          <w:sz w:val="21"/>
        </w:rPr>
        <w:t>(2) 損益計算書（自 2025年1月1日　至 2025年12月31日）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2268"/>
      </w:tblGrid>
      <w:tr>
        <w:tc>
          <w:tcPr>
            <w:tcW w:type="dxa" w:w="5102"/>
            <w:shd w:val="clear" w:color="auto" w:fill="F2F2F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科目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金額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売上高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705,063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売上原価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203,987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売上総利益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501,076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販売費及び一般管理費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418,248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営業利益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82,828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営業外収益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1,668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経常利益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84,496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特別利益（※6）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5,904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特別損失（※6）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8,073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税引前当期純利益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82,327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 xml:space="preserve">　法人税等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 w:val="0"/>
                <w:sz w:val="18"/>
              </w:rPr>
              <w:t>28,059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当期純利益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rFonts w:ascii="BIZ UDPゴシック" w:hAnsi="BIZ UDPゴシック" w:eastAsia="BIZ UDPゴシック"/>
                <w:b/>
                <w:sz w:val="18"/>
              </w:rPr>
              <w:t>54,269</w:t>
            </w:r>
          </w:p>
        </w:tc>
      </w:tr>
    </w:tbl>
    <w:p>
      <w:pPr>
        <w:spacing w:after="40" w:before="0"/>
      </w:pPr>
      <w:r>
        <w:rPr>
          <w:rFonts w:ascii="BIZ UDPゴシック" w:hAnsi="BIZ UDPゴシック" w:eastAsia="BIZ UDPゴシック"/>
          <w:b w:val="0"/>
          <w:sz w:val="19"/>
        </w:rPr>
      </w:r>
    </w:p>
    <w:p>
      <w:pPr>
        <w:spacing w:after="40" w:before="0"/>
      </w:pPr>
      <w:r>
        <w:rPr>
          <w:rFonts w:ascii="BIZ UDPゴシック" w:hAnsi="BIZ UDPゴシック" w:eastAsia="BIZ UDPゴシック"/>
          <w:b w:val="0"/>
          <w:sz w:val="17"/>
        </w:rPr>
        <w:t>※5　第2期決算報告書から主要科目を抜粋し、千円未満を四捨五入して表示しております。借入金はございません。</w:t>
      </w:r>
    </w:p>
    <w:p>
      <w:pPr>
        <w:spacing w:after="40" w:before="0"/>
      </w:pPr>
      <w:r>
        <w:rPr>
          <w:rFonts w:ascii="BIZ UDPゴシック" w:hAnsi="BIZ UDPゴシック" w:eastAsia="BIZ UDPゴシック"/>
          <w:b w:val="0"/>
          <w:sz w:val="17"/>
        </w:rPr>
        <w:t>※6　特別利益および特別損失は、いずれも前期損益修正によるものです。</w:t>
      </w:r>
    </w:p>
    <w:p>
      <w:pPr>
        <w:spacing w:after="40" w:before="0"/>
      </w:pPr>
      <w:r>
        <w:rPr>
          <w:rFonts w:ascii="BIZ UDPゴシック" w:hAnsi="BIZ UDPゴシック" w:eastAsia="BIZ UDPゴシック"/>
          <w:b w:val="0"/>
          <w:sz w:val="17"/>
        </w:rPr>
        <w:t>※7　（参考）営業利益に減価償却費を加えた金額は84,463千円です。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BIZ UDPゴシック" w:hAnsi="BIZ UDPゴシック" w:eastAsia="BIZ UDPゴシック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