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池上貴樹（以下「乙」という。）及び株式会社WineBank（以下「丙」という。）は、甲が第三者割当の方法により発行する募集株式の総数を乙が引き受けること及びこれに関連する事項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甲は、2026年11月15日付の甲の株主総会の特別決議（会社法第319条第1項により決議があったものとみなされる場合を含む。）に基づき、次の要領により募集株式（以下「本株式」という。）を発行する。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甲の発行済株式総数2,134株（本株式と同時に第三者割当の方法により発行する募集株式を除く。）に対する株式価値（プレ・マネー評価額）を金341,440,000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10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（４）甲並びにその役員及び主要な株主は、反社会的勢力（第１４条第１項に定義する。）に該当しないこと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第９条（株主特典）</w:t>
      </w:r>
    </w:p>
    <w:p>
      <w:pPr>
        <w:ind w:left="420" w:hanging="420"/>
        <w:rPr>
          <w:rFonts w:ascii="游明朝" w:eastAsia="游明朝" w:hAnsi="游明朝" w:hint="eastAsia"/>
        </w:rPr>
      </w:pPr>
      <w:r>
        <w:rPr>
          <w:rFonts w:ascii="游明朝" w:eastAsia="游明朝" w:hAnsi="游明朝" w:hint="eastAsia"/>
        </w:rPr>
        <w:t xml:space="preserve">１　甲は、乙が甲の株主である間、甲が運営する店舗（以下「本件店舗」という。）における店内飲食代金（ワインボトル代金を除く。）の50％割引を、株主特典として乙に提供する。</w:t>
      </w:r>
    </w:p>
    <w:p>
      <w:pPr>
        <w:ind w:left="420" w:hanging="420"/>
        <w:rPr>
          <w:rFonts w:ascii="游明朝" w:eastAsia="游明朝" w:hAnsi="游明朝" w:hint="eastAsia"/>
        </w:rPr>
      </w:pPr>
      <w:r>
        <w:rPr>
          <w:rFonts w:ascii="游明朝" w:eastAsia="游明朝" w:hAnsi="游明朝" w:hint="eastAsia"/>
        </w:rPr>
        <w:t xml:space="preserve">２　前項の特典は、月１回まで、乙の同席を条件として、乙を含む４名分までの飲食代金に適用する。</w:t>
      </w:r>
    </w:p>
    <w:p>
      <w:pPr>
        <w:ind w:left="420" w:hanging="420"/>
        <w:rPr>
          <w:rFonts w:ascii="游明朝" w:eastAsia="游明朝" w:hAnsi="游明朝" w:hint="eastAsia"/>
        </w:rPr>
      </w:pPr>
      <w:r>
        <w:rPr>
          <w:rFonts w:ascii="游明朝" w:eastAsia="游明朝" w:hAnsi="游明朝" w:hint="eastAsia"/>
        </w:rPr>
        <w:t xml:space="preserve">３　第１項の特典は乙のみが利用できるものとし、乙は、これを第三者に譲渡し、又は利用させることはできない。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第１０条（株式の譲渡への協力）</w:t>
      </w:r>
    </w:p>
    <w:p>
      <w:pPr>
        <w:ind w:left="420" w:hanging="420"/>
        <w:rPr>
          <w:rFonts w:ascii="游明朝" w:eastAsia="游明朝" w:hAnsi="游明朝" w:hint="eastAsia"/>
        </w:rPr>
      </w:pPr>
      <w:r>
        <w:rPr>
          <w:rFonts w:ascii="游明朝" w:eastAsia="游明朝" w:hAnsi="游明朝" w:hint="eastAsia"/>
        </w:rPr>
        <w:t xml:space="preserve">１　丙は、払込期日以降５年から10年以内を目途に、甲の株式の譲渡先を検討する。</w:t>
      </w:r>
    </w:p>
    <w:p>
      <w:pPr>
        <w:ind w:left="420" w:hanging="420"/>
        <w:rPr>
          <w:rFonts w:ascii="游明朝" w:eastAsia="游明朝" w:hAnsi="游明朝" w:hint="eastAsia"/>
        </w:rPr>
      </w:pPr>
      <w:r>
        <w:rPr>
          <w:rFonts w:ascii="游明朝" w:eastAsia="游明朝" w:hAnsi="游明朝" w:hint="eastAsia"/>
        </w:rPr>
        <w:t xml:space="preserve">２　乙は、前項の株式の譲渡に際し、事業計画に基づく客観的な第三者評価を伴う譲渡価格で、他の株主と同一の条件が提示された場合には、不合理に株式の譲渡を拒否しない。</w:t>
      </w:r>
    </w:p>
    <w:p>
      <w:pPr>
        <w:keepNext/>
        <w:spacing w:before="200" w:after="0"/>
        <w:rPr>
          <w:rFonts w:ascii="游明朝" w:eastAsia="游明朝" w:hAnsi="游明朝" w:hint="eastAsia"/>
        </w:rPr>
      </w:pPr>
      <w:r>
        <w:rPr>
          <w:rFonts w:ascii="游明朝" w:eastAsia="游明朝" w:hAnsi="游明朝" w:hint="eastAsia"/>
          <w:b/>
          <w:bCs/>
        </w:rPr>
        <w:t xml:space="preserve">第１１条（丙との取引の確認）</w:t>
      </w:r>
    </w:p>
    <w:p>
      <w:pPr>
        <w:ind w:left="0" w:firstLine="210"/>
        <w:rPr>
          <w:rFonts w:ascii="游明朝" w:eastAsia="游明朝" w:hAnsi="游明朝" w:hint="eastAsia"/>
        </w:rPr>
      </w:pPr>
      <w:r>
        <w:rPr>
          <w:rFonts w:ascii="游明朝" w:eastAsia="游明朝" w:hAnsi="游明朝" w:hint="eastAsia"/>
        </w:rPr>
        <w:t xml:space="preserve">乙は、甲と丙との間の次の各号の取引が、一般の市場における利害関係のない第三者との取引において成立しうる合理的な対価により行われる限り、これに異議を述べないことを確認する。</w:t>
      </w:r>
    </w:p>
    <w:p>
      <w:pPr>
        <w:ind w:left="840" w:hanging="420"/>
        <w:rPr>
          <w:rFonts w:ascii="游明朝" w:eastAsia="游明朝" w:hAnsi="游明朝" w:hint="eastAsia"/>
        </w:rPr>
      </w:pPr>
      <w:r>
        <w:rPr>
          <w:rFonts w:ascii="游明朝" w:eastAsia="游明朝" w:hAnsi="游明朝" w:hint="eastAsia"/>
        </w:rPr>
        <w:t xml:space="preserve">（１）丙が甲の店舗の運営を受託する、合理的な内容の運営委託契約</w:t>
      </w:r>
    </w:p>
    <w:p>
      <w:pPr>
        <w:ind w:left="840" w:hanging="420"/>
        <w:rPr>
          <w:rFonts w:ascii="游明朝" w:eastAsia="游明朝" w:hAnsi="游明朝" w:hint="eastAsia"/>
        </w:rPr>
      </w:pPr>
      <w:r>
        <w:rPr>
          <w:rFonts w:ascii="游明朝" w:eastAsia="游明朝" w:hAnsi="游明朝" w:hint="eastAsia"/>
        </w:rPr>
        <w:t xml:space="preserve">（２）丙が甲を賃借人とする店舗の賃貸借契約の連帯保証人となり、甲から当該賃貸借契約の賃料の１か月分相当額（更新時も同様とする。）を保証料として受領すること</w:t>
      </w:r>
    </w:p>
    <w:p>
      <w:pPr>
        <w:ind w:left="840" w:hanging="420"/>
        <w:rPr>
          <w:rFonts w:ascii="游明朝" w:eastAsia="游明朝" w:hAnsi="游明朝" w:hint="eastAsia"/>
        </w:rPr>
      </w:pPr>
      <w:r>
        <w:rPr>
          <w:rFonts w:ascii="游明朝" w:eastAsia="游明朝" w:hAnsi="游明朝" w:hint="eastAsia"/>
        </w:rPr>
        <w:t xml:space="preserve">（３）丙が甲に対しワインを販売すること</w:t>
      </w:r>
    </w:p>
    <w:p>
      <w:pPr>
        <w:ind w:left="840" w:hanging="420"/>
        <w:rPr>
          <w:rFonts w:ascii="游明朝" w:eastAsia="游明朝" w:hAnsi="游明朝" w:hint="eastAsia"/>
        </w:rPr>
      </w:pPr>
      <w:r>
        <w:rPr>
          <w:rFonts w:ascii="游明朝" w:eastAsia="游明朝" w:hAnsi="游明朝" w:hint="eastAsia"/>
        </w:rPr>
        <w:t xml:space="preserve">（４）丙がブランド権利者との契約に基づき「ブラッスリー・ティエリー・マルクス」の商標等の使用を甲に再許諾し、丙が当該契約に基づき支払う契約金、使用料その他の対価と同額を甲が負担すること</w:t>
      </w:r>
    </w:p>
    <w:p>
      <w:pPr>
        <w:keepNext/>
        <w:spacing w:before="200" w:after="0"/>
        <w:rPr>
          <w:rFonts w:ascii="游明朝" w:eastAsia="游明朝" w:hAnsi="游明朝" w:hint="eastAsia"/>
        </w:rPr>
      </w:pPr>
      <w:r>
        <w:rPr>
          <w:rFonts w:ascii="游明朝" w:eastAsia="游明朝" w:hAnsi="游明朝" w:hint="eastAsia"/>
          <w:b/>
          <w:bCs/>
        </w:rPr>
        <w:t xml:space="preserve">第１２条（解除）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（４）第１４条第１項又は第２項に違反したとき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第１３条（費用）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第１４条（反社会的勢力の排除）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ind w:left="420" w:hanging="420"/>
        <w:rPr>
          <w:rFonts w:ascii="游明朝" w:eastAsia="游明朝" w:hAnsi="游明朝" w:hint="eastAsia"/>
        </w:rPr>
      </w:pPr>
      <w:r>
        <w:rPr>
          <w:rFonts w:ascii="游明朝" w:eastAsia="游明朝" w:hAnsi="游明朝" w:hint="eastAsia"/>
        </w:rPr>
        <w:t xml:space="preserve">３　乙が払込期日以降に前二項に違反した場合、丙は、乙に対し、乙の保有する甲の株式の全部を、払込金額又は請求時点の時価のいずれか低い価額で、丙又は丙の指定する者に売り渡すことを請求することができる。</w:t>
      </w:r>
    </w:p>
    <w:p>
      <w:pPr>
        <w:keepNext/>
        <w:spacing w:before="200" w:after="0"/>
        <w:rPr>
          <w:rFonts w:ascii="游明朝" w:eastAsia="游明朝" w:hAnsi="游明朝" w:hint="eastAsia"/>
        </w:rPr>
      </w:pPr>
      <w:r>
        <w:rPr>
          <w:rFonts w:ascii="游明朝" w:eastAsia="游明朝" w:hAnsi="游明朝" w:hint="eastAsia"/>
          <w:b/>
          <w:bCs/>
        </w:rPr>
        <w:t xml:space="preserve">第１５条（秘密保持）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並びに本契約及び甲の株主であることに関連して知り得た他の当事者の秘密情報を、当該当事者の事前の書面による承諾なく第三者に開示してはならない。ただし、法令又は公的機関の命令に基づき開示する場合、守秘義務を負う弁護士、税理士その他の専門家に開示する場合、及び甲又は丙が守秘義務を負う甲の他の株主、引受予定者、株式の譲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第１６条（情報提供及びエンジェル税制に関する協力）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甲は、エンジェル税制の適用を保証するものではなく、乙は、同税制の適用を受けられなかったことを理由として本契約を解除し、又は損害賠償を請求することはできない。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第１７条（協議）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第１８条（準拠法及び裁判管轄）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2026年11月15日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w:t>
      </w:r>
      <w:r>
        <w:rPr>
          <w:rFonts w:ascii="游明朝" w:eastAsia="游明朝" w:hAnsi="游明朝" w:hint="eastAsia"/>
          <w:highlight w:val="yellow"/>
        </w:rPr>
        <w:t xml:space="preserve">【住所】</w:t>
      </w:r>
    </w:p>
    <w:p>
      <w:pPr>
        <w:ind w:left="4200" w:firstLine="0"/>
        <w:rPr>
          <w:rFonts w:ascii="游明朝" w:eastAsia="游明朝" w:hAnsi="游明朝" w:hint="eastAsia"/>
        </w:rPr>
      </w:pPr>
      <w:r>
        <w:rPr>
          <w:rFonts w:ascii="游明朝" w:eastAsia="游明朝" w:hAnsi="游明朝" w:hint="eastAsia"/>
        </w:rPr>
        <w:t xml:space="preserve">池上　貴樹</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r>
              <w:rPr>
                <w:rFonts w:ascii="游明朝" w:eastAsia="游明朝" w:hAnsi="游明朝" w:hint="eastAsia"/>
              </w:rPr>
              <w:t xml:space="preserve">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r>
              <w:rPr>
                <w:rFonts w:ascii="游明朝" w:eastAsia="游明朝" w:hAnsi="游明朝" w:hint="eastAsia"/>
              </w:rPr>
              <w:t xml:space="preserve">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株式会社Brasserie Thierry Marx　代表取締役　中野邦人</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