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jc w:val="right"/>
      </w:pPr>
      <w:r>
        <w:rPr>
          <w:rFonts w:ascii="Century" w:eastAsia="ＭＳ 明朝" w:hAnsi="Century"/>
          <w:sz w:val="21"/>
          <w:szCs w:val="21"/>
        </w:rPr>
        <w:t xml:space="preserve">2026年9月30日</w:t>
      </w:r>
    </w:p>
    <w:p>
      <w:pPr>
        <w:spacing w:after="60" w:before="0" w:line="300"/>
      </w:pPr>
      <w:r>
        <w:rPr>
          <w:rFonts w:ascii="Arial" w:eastAsia="ＭＳ ゴシック" w:hAnsi="Arial"/>
          <w:sz w:val="22"/>
          <w:szCs w:val="22"/>
        </w:rPr>
        <w:t xml:space="preserve">株式会社プティ・ボノム　御中</w:t>
      </w:r>
    </w:p>
    <w:p>
      <w:pPr>
        <w:spacing w:after="400" w:before="0" w:line="300"/>
      </w:pPr>
      <w:r>
        <w:rPr>
          <w:rFonts w:ascii="Arial" w:eastAsia="ＭＳ ゴシック" w:hAnsi="Arial"/>
          <w:sz w:val="22"/>
          <w:szCs w:val="22"/>
        </w:rPr>
        <w:t xml:space="preserve">デロイトトーマツベンチャーサポート株式会社　御中</w:t>
      </w:r>
    </w:p>
    <w:p>
      <w:pPr>
        <w:spacing w:after="80" w:line="400"/>
        <w:jc w:val="center"/>
      </w:pPr>
      <w:r>
        <w:rPr>
          <w:rFonts w:ascii="Arial" w:eastAsia="ＭＳ ゴシック" w:hAnsi="Arial"/>
          <w:b/>
          <w:bCs/>
          <w:sz w:val="32"/>
          <w:szCs w:val="32"/>
        </w:rPr>
        <w:t xml:space="preserve">意　向　表　明　書</w:t>
      </w:r>
    </w:p>
    <w:p>
      <w:pPr>
        <w:spacing w:after="400" w:before="0" w:line="300"/>
        <w:jc w:val="center"/>
      </w:pPr>
      <w:r>
        <w:rPr>
          <w:rFonts w:ascii="Century" w:eastAsia="ＭＳ 明朝" w:hAnsi="Century"/>
          <w:color w:val="595959"/>
          <w:sz w:val="19"/>
          <w:szCs w:val="19"/>
        </w:rPr>
        <w:t xml:space="preserve">（法的拘束力を有しないもの）</w:t>
      </w:r>
    </w:p>
    <w:p>
      <w:pPr>
        <w:spacing w:after="40" w:before="0" w:line="300"/>
        <w:jc w:val="right"/>
      </w:pPr>
      <w:r>
        <w:rPr>
          <w:rFonts w:ascii="Century" w:eastAsia="ＭＳ 明朝" w:hAnsi="Century"/>
          <w:sz w:val="20"/>
          <w:szCs w:val="20"/>
        </w:rPr>
        <w:t xml:space="preserve">東京都港区六本木4-12-8　第六DMJビル2階</w:t>
      </w:r>
    </w:p>
    <w:p>
      <w:pPr>
        <w:spacing w:after="40" w:before="0" w:line="300"/>
        <w:jc w:val="right"/>
      </w:pPr>
      <w:r>
        <w:rPr>
          <w:rFonts w:ascii="Arial" w:eastAsia="ＭＳ ゴシック" w:hAnsi="Arial"/>
          <w:b/>
          <w:bCs/>
          <w:sz w:val="22"/>
          <w:szCs w:val="22"/>
        </w:rPr>
        <w:t xml:space="preserve">株式会社WineBank</w:t>
      </w:r>
    </w:p>
    <w:p>
      <w:pPr>
        <w:spacing w:after="400" w:before="0" w:line="300"/>
        <w:jc w:val="right"/>
      </w:pPr>
      <w:r>
        <w:rPr>
          <w:rFonts w:ascii="Century" w:eastAsia="ＭＳ 明朝" w:hAnsi="Century"/>
          <w:sz w:val="21"/>
          <w:szCs w:val="21"/>
        </w:rPr>
        <w:t xml:space="preserve">代表取締役　中野　邦人　　　　　　印</w:t>
      </w:r>
    </w:p>
    <w:p>
      <w:pPr>
        <w:spacing w:after="120" w:before="0" w:line="300"/>
      </w:pPr>
      <w:r>
        <w:rPr>
          <w:rFonts w:ascii="Century" w:eastAsia="ＭＳ 明朝" w:hAnsi="Century"/>
          <w:sz w:val="21"/>
          <w:szCs w:val="21"/>
        </w:rPr>
        <w:t xml:space="preserve">拝啓　時下ますますご清栄のこととお慶び申し上げます。平素は格別のご高配を賜り、厚く御礼申し上げます。</w:t>
      </w:r>
    </w:p>
    <w:p>
      <w:pPr>
        <w:spacing w:after="120" w:before="0" w:line="300"/>
      </w:pPr>
      <w:r>
        <w:rPr>
          <w:rFonts w:ascii="Century" w:eastAsia="ＭＳ 明朝" w:hAnsi="Century"/>
          <w:sz w:val="21"/>
          <w:szCs w:val="21"/>
        </w:rPr>
        <w:t xml:space="preserve">このたびは、株式会社プティ・ボノム（以下「対象会社」といいます。）の株式譲渡に関する検討の機会を賜り、誠にありがとうございます。当社は、2026年8月付「意向表明書ご提出に関するご案内」（以下「本ご案内」といいます。）の内容をすべて了承したうえで、本件取引（以下「本件」といいます。）への参加を強く希望し、本書を提出いたします。</w:t>
      </w:r>
    </w:p>
    <w:p>
      <w:pPr>
        <w:spacing w:after="120" w:before="0" w:line="300"/>
      </w:pPr>
      <w:r>
        <w:rPr>
          <w:rFonts w:ascii="Century" w:eastAsia="ＭＳ 明朝" w:hAnsi="Century"/>
          <w:sz w:val="21"/>
          <w:szCs w:val="21"/>
        </w:rPr>
        <w:t xml:space="preserve">本書は本ご案内Ⅰに定めるとおり法的拘束力を有するものではなく、最終的な意思決定はデュー・ディリジェンス（以下「DD」といいます。）の結果および当社の社内手続を経て行われるものであることを、念のため申し添えます。</w:t>
      </w:r>
    </w:p>
    <w:p>
      <w:pPr>
        <w:spacing w:after="200" w:before="0" w:line="300"/>
        <w:jc w:val="right"/>
      </w:pPr>
      <w:r>
        <w:rPr>
          <w:rFonts w:ascii="Century" w:eastAsia="ＭＳ 明朝" w:hAnsi="Century"/>
          <w:sz w:val="21"/>
          <w:szCs w:val="21"/>
        </w:rPr>
        <w:t xml:space="preserve">敬具</w:t>
      </w:r>
    </w:p>
    <w:p>
      <w:pPr>
        <w:pBdr>
          <w:bottom w:val="single" w:color="333333" w:sz="6" w:space="4"/>
        </w:pBdr>
        <w:spacing w:after="160" w:before="320" w:line="300"/>
      </w:pPr>
      <w:r>
        <w:rPr>
          <w:rFonts w:ascii="Arial" w:eastAsia="ＭＳ ゴシック" w:hAnsi="Arial"/>
          <w:b/>
          <w:bCs/>
          <w:sz w:val="22"/>
          <w:szCs w:val="22"/>
        </w:rPr>
        <w:t xml:space="preserve">1．当社概要</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300"/>
      </w:tblGrid>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商号</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株式会社WineBank</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所在地</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〒106-0032　東京都港区六本木4-12-8　第六DMJビル2階</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代表者</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代表取締役　中野　邦人</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設立</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【要ご記入：設立年月】</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資本金</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【要ご記入：資本金（資本準備金を含む）】</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主要株主</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【要ご記入：主要株主および持株比率】</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事業概要</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高級ワインの保管・売買・オークション運営、ワインEC、会員向けセラーサービス等。ワインを軸とした富裕層向けサービスを展開。2027年4月には、ティエリー・マルクス氏監修によるレストラン事業の開業を準備中。</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グループ会社</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株式会社アピシウス（2024年6月取得）。東京・有楽町にて高級フレンチレストランを運営。詳細は本書13項をご参照ください。</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直近業績</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【要ご記入：直近期の売上高・営業利益・純資産】</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URL</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https://corp.wine-bank.co.jp/company/</w:t>
            </w:r>
          </w:p>
        </w:tc>
      </w:tr>
    </w:tbl>
    <w:p>
      <w:pPr>
        <w:spacing w:after="80"/>
      </w:pPr>
    </w:p>
    <w:p>
      <w:pPr>
        <w:spacing w:after="120" w:before="0" w:line="300"/>
      </w:pPr>
      <w:r>
        <w:rPr>
          <w:rFonts w:ascii="Century" w:eastAsia="ＭＳ 明朝" w:hAnsi="Century"/>
          <w:color w:val="595959"/>
          <w:sz w:val="19"/>
          <w:szCs w:val="19"/>
        </w:rPr>
        <w:t xml:space="preserve">※　当社の会社案内を別紙1として添付いたします。</w:t>
      </w:r>
    </w:p>
    <w:p>
      <w:pPr>
        <w:pBdr>
          <w:bottom w:val="single" w:color="333333" w:sz="6" w:space="4"/>
        </w:pBdr>
        <w:spacing w:after="160" w:before="320" w:line="300"/>
      </w:pPr>
      <w:r>
        <w:rPr>
          <w:rFonts w:ascii="Arial" w:eastAsia="ＭＳ ゴシック" w:hAnsi="Arial"/>
          <w:b/>
          <w:bCs/>
          <w:sz w:val="22"/>
          <w:szCs w:val="22"/>
        </w:rPr>
        <w:t xml:space="preserve">2．本件取引に関する意向表明</w:t>
      </w:r>
    </w:p>
    <w:p>
      <w:pPr>
        <w:spacing w:after="160" w:before="0" w:line="300"/>
      </w:pPr>
      <w:r>
        <w:rPr>
          <w:rFonts w:ascii="Century" w:eastAsia="ＭＳ 明朝" w:hAnsi="Century"/>
          <w:sz w:val="21"/>
          <w:szCs w:val="21"/>
        </w:rPr>
        <w:t xml:space="preserve">当社は、本ご案内の内容をすべて了承したうえで、本件に強い興味を有しており、対象会社の全株式を譲り受けることを希望いたします。</w:t>
      </w:r>
    </w:p>
    <w:p>
      <w:pPr>
        <w:spacing w:after="100" w:before="200" w:line="300"/>
      </w:pPr>
      <w:r>
        <w:rPr>
          <w:rFonts w:ascii="Arial" w:eastAsia="ＭＳ ゴシック" w:hAnsi="Arial"/>
          <w:b/>
          <w:bCs/>
          <w:sz w:val="21"/>
          <w:szCs w:val="21"/>
        </w:rPr>
        <w:t xml:space="preserve">(1) 対象会社に興味・関心を持った理由・背景</w:t>
      </w:r>
    </w:p>
    <w:p>
      <w:pPr>
        <w:spacing w:after="120" w:before="0" w:line="300"/>
      </w:pPr>
      <w:r>
        <w:rPr>
          <w:rFonts w:ascii="Century" w:eastAsia="ＭＳ 明朝" w:hAnsi="Century"/>
          <w:sz w:val="21"/>
          <w:szCs w:val="21"/>
        </w:rPr>
        <w:t xml:space="preserve">当社は、高級ワインの保管・売買・オークションを軸に事業を営んでおり、日本における高級ワインの流通と、それを享受される顧客層を最もよく理解する事業者の一つであると自負しております。</w:t>
      </w:r>
    </w:p>
    <w:p>
      <w:pPr>
        <w:spacing w:after="120" w:before="0" w:line="300"/>
      </w:pPr>
      <w:r>
        <w:rPr>
          <w:rFonts w:ascii="Century" w:eastAsia="ＭＳ 明朝" w:hAnsi="Century"/>
          <w:sz w:val="21"/>
          <w:szCs w:val="21"/>
        </w:rPr>
        <w:t xml:space="preserve">その視点から見たとき、対象会社は単に国内最高峰のガストロノミーであるにとどまらず、19年連続でミシュラン三つ星を保持してこられた信頼のもとに、正規の仕入先から希少銘柄の配分を継続的に受けてこられた、国内でも稀有な「ワインの消費と調達の結節点」であると理解しております。年間約1.4万名のご来店と、これに伴うドリンク売上は、当社の知る限り国内の単一店舗として最大級の規模です。</w:t>
      </w:r>
    </w:p>
    <w:p>
      <w:pPr>
        <w:spacing w:after="120" w:before="0" w:line="300"/>
      </w:pPr>
      <w:r>
        <w:rPr>
          <w:rFonts w:ascii="Century" w:eastAsia="ＭＳ 明朝" w:hAnsi="Century"/>
          <w:sz w:val="21"/>
          <w:szCs w:val="21"/>
        </w:rPr>
        <w:t xml:space="preserve">20年にわたり一度も減収減益なく、無借金でこの水準を築いてこられた岸田周三氏の経営と、その背後にある規律に、当社は深い敬意を抱いております。当社にとって対象会社は、収益を目的として取得する事業であると同時に、日本の食文化として守るべき資産であると考えております。</w:t>
      </w:r>
    </w:p>
    <w:p>
      <w:pPr>
        <w:spacing w:after="100" w:before="200" w:line="300"/>
      </w:pPr>
      <w:r>
        <w:rPr>
          <w:rFonts w:ascii="Arial" w:eastAsia="ＭＳ ゴシック" w:hAnsi="Arial"/>
          <w:b/>
          <w:bCs/>
          <w:sz w:val="21"/>
          <w:szCs w:val="21"/>
        </w:rPr>
        <w:t xml:space="preserve">(2) 当社の本件取引の目的</w:t>
      </w:r>
    </w:p>
    <w:p>
      <w:pPr>
        <w:spacing w:after="100" w:before="0" w:line="300"/>
      </w:pPr>
      <w:r>
        <w:rPr>
          <w:rFonts w:ascii="Century" w:eastAsia="ＭＳ 明朝" w:hAnsi="Century"/>
          <w:sz w:val="21"/>
          <w:szCs w:val="21"/>
        </w:rPr>
        <w:t xml:space="preserve">当社の目的は、次の3点に集約されます。</w:t>
      </w:r>
    </w:p>
    <w:p>
      <w:pPr>
        <w:spacing w:after="80" w:line="300"/>
        <w:ind w:left="440" w:hanging="280"/>
      </w:pPr>
      <w:r>
        <w:rPr>
          <w:rFonts w:ascii="Century" w:eastAsia="ＭＳ 明朝" w:hAnsi="Century"/>
          <w:sz w:val="21"/>
          <w:szCs w:val="21"/>
        </w:rPr>
        <w:t xml:space="preserve">① ミシュラン三つ星の維持を最優先に据え、対象会社の現行の事業運営を変更することなく承継すること。</w:t>
      </w:r>
    </w:p>
    <w:p>
      <w:pPr>
        <w:spacing w:after="80" w:line="300"/>
        <w:ind w:left="440" w:hanging="280"/>
      </w:pPr>
      <w:r>
        <w:rPr>
          <w:rFonts w:ascii="Century" w:eastAsia="ＭＳ 明朝" w:hAnsi="Century"/>
          <w:sz w:val="21"/>
          <w:szCs w:val="21"/>
        </w:rPr>
        <w:t xml:space="preserve">② 岸田周三氏のご在任期間中に、後継となる料理長を確保し、対象会社を特定の個人に依存しない体制へ移行させること。</w:t>
      </w:r>
    </w:p>
    <w:p>
      <w:pPr>
        <w:spacing w:after="80" w:line="300"/>
        <w:ind w:left="440" w:hanging="280"/>
      </w:pPr>
      <w:r>
        <w:rPr>
          <w:rFonts w:ascii="Century" w:eastAsia="ＭＳ 明朝" w:hAnsi="Century"/>
          <w:sz w:val="21"/>
          <w:szCs w:val="21"/>
        </w:rPr>
        <w:t xml:space="preserve">③ 当社の有するワイン調達網・顧客基盤・シェフネットワークを対象会社に提供し、店舗売上以外の収益機会を新たに創出すること。</w:t>
      </w:r>
    </w:p>
    <w:p>
      <w:pPr>
        <w:spacing w:after="60"/>
      </w:pPr>
    </w:p>
    <w:p>
      <w:pPr>
        <w:spacing w:after="120" w:before="0" w:line="300"/>
      </w:pPr>
      <w:r>
        <w:rPr>
          <w:rFonts w:ascii="Century" w:eastAsia="ＭＳ 明朝" w:hAnsi="Century"/>
          <w:sz w:val="21"/>
          <w:szCs w:val="21"/>
        </w:rPr>
        <w:t xml:space="preserve">当社は、短期的な投資回収や、原価・人件費の削減を目的として本件を検討しているものではありません。この点は、本書全体を通じてご確認いただけるものと存じます。</w:t>
      </w:r>
    </w:p>
    <w:p>
      <w:pPr>
        <w:spacing w:after="100" w:before="200" w:line="300"/>
      </w:pPr>
      <w:r>
        <w:rPr>
          <w:rFonts w:ascii="Arial" w:eastAsia="ＭＳ ゴシック" w:hAnsi="Arial"/>
          <w:b/>
          <w:bCs/>
          <w:sz w:val="21"/>
          <w:szCs w:val="21"/>
        </w:rPr>
        <w:t xml:space="preserve">(3) 本件取引を通じて想定されるシナジー効果</w:t>
      </w:r>
    </w:p>
    <w:p>
      <w:pPr>
        <w:spacing w:after="80" w:before="0" w:line="300"/>
      </w:pPr>
      <w:r>
        <w:rPr>
          <w:rFonts w:ascii="Arial" w:eastAsia="ＭＳ ゴシック" w:hAnsi="Arial"/>
          <w:sz w:val="20"/>
          <w:szCs w:val="20"/>
        </w:rPr>
        <w:t xml:space="preserve">【対象会社側から見たシナジー】</w:t>
      </w:r>
    </w:p>
    <w:p>
      <w:pPr>
        <w:spacing w:after="80" w:line="300"/>
        <w:ind w:left="440" w:hanging="280"/>
      </w:pPr>
      <w:r>
        <w:rPr>
          <w:rFonts w:ascii="Century" w:eastAsia="ＭＳ 明朝" w:hAnsi="Century"/>
          <w:sz w:val="21"/>
          <w:szCs w:val="21"/>
        </w:rPr>
        <w:t xml:space="preserve">① 後継料理長の招聘：当社は、ティエリー・マルクス氏（2027年4月開業予定のレストラン事業において協業）およびフランス本国のシェフネットワークを有しております。本ご案内および初期開示資料において、後継シェフの招聘が本件の重要な論点とされていることを踏まえ、当社はこの課題に対して具体的な解を提供できる買主であると考えております。加えて、当社は株式会社アピシウスにおいて高級レストランの運営を現に行っており、料理人の方々のネットワークを実務として有しております。</w:t>
      </w:r>
    </w:p>
    <w:p>
      <w:pPr>
        <w:spacing w:after="80" w:line="300"/>
        <w:ind w:left="440" w:hanging="280"/>
      </w:pPr>
      <w:r>
        <w:rPr>
          <w:rFonts w:ascii="Century" w:eastAsia="ＭＳ 明朝" w:hAnsi="Century"/>
          <w:sz w:val="21"/>
          <w:szCs w:val="21"/>
        </w:rPr>
        <w:t xml:space="preserve">② ワインリストの拡充：当社が保有・仲介する希少銘柄を、対象会社のワインリストに補完的に供給いたします。なお、当社が既存の仕入経路の中間に入り、対象会社の仕入原価を引き上げることは一切想定しておりません。サントリー株式会社、株式会社ファインズ等の正規仕入先との直接取引関係は、現状のまま維持されるべきものと考えております。</w:t>
      </w:r>
    </w:p>
    <w:p>
      <w:pPr>
        <w:spacing w:after="80" w:line="300"/>
        <w:ind w:left="440" w:hanging="280"/>
      </w:pPr>
      <w:r>
        <w:rPr>
          <w:rFonts w:ascii="Century" w:eastAsia="ＭＳ 明朝" w:hAnsi="Century"/>
          <w:sz w:val="21"/>
          <w:szCs w:val="21"/>
        </w:rPr>
        <w:t xml:space="preserve">③ 顧客情報の資産化：現在紙媒体で管理されているご来店・ご注文の情報をデジタル化し、対象会社の資産として整備いたします。営業現場のオペレーションを変更するものではありません。</w:t>
      </w:r>
    </w:p>
    <w:p>
      <w:pPr>
        <w:spacing w:after="80" w:line="300"/>
        <w:ind w:left="440" w:hanging="280"/>
      </w:pPr>
      <w:r>
        <w:rPr>
          <w:rFonts w:ascii="Century" w:eastAsia="ＭＳ 明朝" w:hAnsi="Century"/>
          <w:sz w:val="21"/>
          <w:szCs w:val="21"/>
        </w:rPr>
        <w:t xml:space="preserve">④ 子会社事業の拡大：カンテサンスプラス株式会社の高級スイーツEC事業について、当社のEC運営基盤および顧客基盤を活用した販路拡大が可能と考えております。</w:t>
      </w:r>
    </w:p>
    <w:p>
      <w:pPr>
        <w:spacing w:after="60"/>
      </w:pPr>
    </w:p>
    <w:p>
      <w:pPr>
        <w:spacing w:after="80" w:before="0" w:line="300"/>
      </w:pPr>
      <w:r>
        <w:rPr>
          <w:rFonts w:ascii="Arial" w:eastAsia="ＭＳ ゴシック" w:hAnsi="Arial"/>
          <w:sz w:val="20"/>
          <w:szCs w:val="20"/>
        </w:rPr>
        <w:t xml:space="preserve">【当社側から見たシナジー】</w:t>
      </w:r>
    </w:p>
    <w:p>
      <w:pPr>
        <w:spacing w:after="80" w:line="300"/>
        <w:ind w:left="440" w:hanging="280"/>
      </w:pPr>
      <w:r>
        <w:rPr>
          <w:rFonts w:ascii="Century" w:eastAsia="ＭＳ 明朝" w:hAnsi="Century"/>
          <w:sz w:val="21"/>
          <w:szCs w:val="21"/>
        </w:rPr>
        <w:t xml:space="preserve">① 当社が取り扱う高級ワインについて、国内最高峰のレストランという確度の高い出口を得られること。</w:t>
      </w:r>
    </w:p>
    <w:p>
      <w:pPr>
        <w:spacing w:after="80" w:line="300"/>
        <w:ind w:left="440" w:hanging="280"/>
      </w:pPr>
      <w:r>
        <w:rPr>
          <w:rFonts w:ascii="Century" w:eastAsia="ＭＳ 明朝" w:hAnsi="Century"/>
          <w:sz w:val="21"/>
          <w:szCs w:val="21"/>
        </w:rPr>
        <w:t xml:space="preserve">② 対象会社のご来店者層との接点を通じ、当社のセラーサービス・オークション事業の顧客基盤が拡大すること。</w:t>
      </w:r>
    </w:p>
    <w:p>
      <w:pPr>
        <w:spacing w:after="80" w:line="300"/>
        <w:ind w:left="440" w:hanging="280"/>
      </w:pPr>
      <w:r>
        <w:rPr>
          <w:rFonts w:ascii="Century" w:eastAsia="ＭＳ 明朝" w:hAnsi="Century"/>
          <w:sz w:val="21"/>
          <w:szCs w:val="21"/>
        </w:rPr>
        <w:t xml:space="preserve">③ 対象会社との資本関係により、当社のブランド価値および仕入交渉力が向上すること。</w:t>
      </w:r>
    </w:p>
    <w:p>
      <w:pPr>
        <w:pBdr>
          <w:bottom w:val="single" w:color="333333" w:sz="6" w:space="4"/>
        </w:pBdr>
        <w:spacing w:after="160" w:before="320" w:line="300"/>
      </w:pPr>
      <w:r>
        <w:rPr>
          <w:rFonts w:ascii="Arial" w:eastAsia="ＭＳ ゴシック" w:hAnsi="Arial"/>
          <w:b/>
          <w:bCs/>
          <w:sz w:val="22"/>
          <w:szCs w:val="22"/>
        </w:rPr>
        <w:t xml:space="preserve">3．譲受後の事業運営方針</w:t>
      </w:r>
    </w:p>
    <w:p>
      <w:pPr>
        <w:spacing w:after="100" w:before="200" w:line="300"/>
      </w:pPr>
      <w:r>
        <w:rPr>
          <w:rFonts w:ascii="Arial" w:eastAsia="ＭＳ ゴシック" w:hAnsi="Arial"/>
          <w:b/>
          <w:bCs/>
          <w:sz w:val="21"/>
          <w:szCs w:val="21"/>
        </w:rPr>
        <w:t xml:space="preserve">(1) 既存事業の方向性</w:t>
      </w:r>
    </w:p>
    <w:p>
      <w:pPr>
        <w:spacing w:after="120" w:before="0" w:line="300"/>
      </w:pPr>
      <w:r>
        <w:rPr>
          <w:rFonts w:ascii="Century" w:eastAsia="ＭＳ 明朝" w:hAnsi="Century"/>
          <w:sz w:val="21"/>
          <w:szCs w:val="21"/>
        </w:rPr>
        <w:t xml:space="preserve">当社は、2024年6月に取得した株式会社アピシウスにおいて、高級レストランの承継を実際に経験しております。そこで得た最も重要な教訓は、店の価値を支えているのは人と長年積み重ねられた運営であり、外部から急いで手を入れるべきではないということです。</w:t>
      </w:r>
    </w:p>
    <w:p>
      <w:pPr>
        <w:spacing w:after="100" w:before="0" w:line="300"/>
      </w:pPr>
      <w:r>
        <w:rPr>
          <w:rFonts w:ascii="Century" w:eastAsia="ＭＳ 明朝" w:hAnsi="Century"/>
          <w:sz w:val="21"/>
          <w:szCs w:val="21"/>
        </w:rPr>
        <w:t xml:space="preserve">譲受後3年間は、対象会社の事業運営に実質的な変更を加えないことを基本方針といたします。具体的には、次の各項目について現行を維持いたします。</w:t>
      </w:r>
    </w:p>
    <w:p>
      <w:pPr>
        <w:spacing w:after="80" w:line="300"/>
        <w:ind w:left="440" w:hanging="220"/>
      </w:pPr>
      <w:r>
        <w:rPr>
          <w:rFonts w:ascii="Century" w:eastAsia="ＭＳ 明朝" w:hAnsi="Century"/>
          <w:sz w:val="21"/>
          <w:szCs w:val="21"/>
        </w:rPr>
        <w:t xml:space="preserve">・料理・メニューの内容および価格帯、サービス料の設定</w:t>
      </w:r>
    </w:p>
    <w:p>
      <w:pPr>
        <w:spacing w:after="80" w:line="300"/>
        <w:ind w:left="440" w:hanging="220"/>
      </w:pPr>
      <w:r>
        <w:rPr>
          <w:rFonts w:ascii="Century" w:eastAsia="ＭＳ 明朝" w:hAnsi="Century"/>
          <w:sz w:val="21"/>
          <w:szCs w:val="21"/>
        </w:rPr>
        <w:t xml:space="preserve">・席数（54席）および1日あたりの回転数、営業日数</w:t>
      </w:r>
    </w:p>
    <w:p>
      <w:pPr>
        <w:spacing w:after="80" w:line="300"/>
        <w:ind w:left="440" w:hanging="220"/>
      </w:pPr>
      <w:r>
        <w:rPr>
          <w:rFonts w:ascii="Century" w:eastAsia="ＭＳ 明朝" w:hAnsi="Century"/>
          <w:sz w:val="21"/>
          <w:szCs w:val="21"/>
        </w:rPr>
        <w:t xml:space="preserve">・食材・ワインの仕入先および仕入条件（サントリー株式会社、株式会社ファインズ、および契約農家各位との取引関係を含む）</w:t>
      </w:r>
    </w:p>
    <w:p>
      <w:pPr>
        <w:spacing w:after="80" w:line="300"/>
        <w:ind w:left="440" w:hanging="220"/>
      </w:pPr>
      <w:r>
        <w:rPr>
          <w:rFonts w:ascii="Century" w:eastAsia="ＭＳ 明朝" w:hAnsi="Century"/>
          <w:sz w:val="21"/>
          <w:szCs w:val="21"/>
        </w:rPr>
        <w:t xml:space="preserve">・サービス体制および接客の方針</w:t>
      </w:r>
    </w:p>
    <w:p>
      <w:pPr>
        <w:spacing w:after="80" w:line="300"/>
        <w:ind w:left="440" w:hanging="220"/>
      </w:pPr>
      <w:r>
        <w:rPr>
          <w:rFonts w:ascii="Century" w:eastAsia="ＭＳ 明朝" w:hAnsi="Century"/>
          <w:sz w:val="21"/>
          <w:szCs w:val="21"/>
        </w:rPr>
        <w:t xml:space="preserve">・店舗の所在地（ガーデンシティ品川御殿山1F）</w:t>
      </w:r>
    </w:p>
    <w:p>
      <w:pPr>
        <w:spacing w:after="60"/>
      </w:pPr>
    </w:p>
    <w:p>
      <w:pPr>
        <w:spacing w:after="120" w:before="0" w:line="300"/>
      </w:pPr>
      <w:r>
        <w:rPr>
          <w:rFonts w:ascii="Century" w:eastAsia="ＭＳ 明朝" w:hAnsi="Century"/>
          <w:sz w:val="21"/>
          <w:szCs w:val="21"/>
        </w:rPr>
        <w:t xml:space="preserve">三つ星の評価は、これらの要素が一体となって成立しているものと理解しております。当社が最も避けるべきと考えているのは、譲受後の性急な変更によってこの均衡が損なわれることです。</w:t>
      </w:r>
    </w:p>
    <w:p>
      <w:pPr>
        <w:spacing w:after="100" w:before="200" w:line="300"/>
      </w:pPr>
      <w:r>
        <w:rPr>
          <w:rFonts w:ascii="Arial" w:eastAsia="ＭＳ ゴシック" w:hAnsi="Arial"/>
          <w:b/>
          <w:bCs/>
          <w:sz w:val="21"/>
          <w:szCs w:val="21"/>
        </w:rPr>
        <w:t xml:space="preserve">(2) 企業価値向上施策</w:t>
      </w:r>
    </w:p>
    <w:p>
      <w:pPr>
        <w:spacing w:after="80" w:line="300"/>
        <w:ind w:left="440" w:hanging="280"/>
      </w:pPr>
      <w:r>
        <w:rPr>
          <w:rFonts w:ascii="Century" w:eastAsia="ＭＳ 明朝" w:hAnsi="Century"/>
          <w:sz w:val="21"/>
          <w:szCs w:val="21"/>
        </w:rPr>
        <w:t xml:space="preserve">① 後継料理長の招聘（最優先事項）：岸田氏のご在任3年間のうちに、当社のシェフネットワークを通じて候補者を探索し、岸田氏ご自身のご判断とご納得を前提に招聘を進めます。候補者の最終的な適否は、岸田氏のご判断を尊重いたします。</w:t>
      </w:r>
    </w:p>
    <w:p>
      <w:pPr>
        <w:spacing w:after="80" w:line="300"/>
        <w:ind w:left="440" w:hanging="280"/>
      </w:pPr>
      <w:r>
        <w:rPr>
          <w:rFonts w:ascii="Century" w:eastAsia="ＭＳ 明朝" w:hAnsi="Century"/>
          <w:sz w:val="21"/>
          <w:szCs w:val="21"/>
        </w:rPr>
        <w:t xml:space="preserve">② 顧客情報のデジタル化：ご来店履歴・ご注文履歴を整備し、記念日やお好みに応じたご提案を可能にいたします。</w:t>
      </w:r>
    </w:p>
    <w:p>
      <w:pPr>
        <w:spacing w:after="80" w:line="300"/>
        <w:ind w:left="440" w:hanging="280"/>
      </w:pPr>
      <w:r>
        <w:rPr>
          <w:rFonts w:ascii="Century" w:eastAsia="ＭＳ 明朝" w:hAnsi="Century"/>
          <w:sz w:val="21"/>
          <w:szCs w:val="21"/>
        </w:rPr>
        <w:t xml:space="preserve">③ ワインリストの拡充：当社の調達網を通じ、現行の仕入経路を補完する形でリストを厚くいたします。</w:t>
      </w:r>
    </w:p>
    <w:p>
      <w:pPr>
        <w:spacing w:after="80" w:line="300"/>
        <w:ind w:left="440" w:hanging="280"/>
      </w:pPr>
      <w:r>
        <w:rPr>
          <w:rFonts w:ascii="Century" w:eastAsia="ＭＳ 明朝" w:hAnsi="Century"/>
          <w:sz w:val="21"/>
          <w:szCs w:val="21"/>
        </w:rPr>
        <w:t xml:space="preserve">④ 子会社ECの販路拡大：カンテサンスプラス株式会社について、当社のEC基盤・顧客基盤を活用いたします。</w:t>
      </w:r>
    </w:p>
    <w:p>
      <w:pPr>
        <w:spacing w:after="80" w:line="300"/>
        <w:ind w:left="440" w:hanging="280"/>
      </w:pPr>
      <w:r>
        <w:rPr>
          <w:rFonts w:ascii="Century" w:eastAsia="ＭＳ 明朝" w:hAnsi="Century"/>
          <w:sz w:val="21"/>
          <w:szCs w:val="21"/>
        </w:rPr>
        <w:t xml:space="preserve">⑤ 中長期のブランド展開：カジュアル業態やスイーツ等への展開可能性については、岸田氏がご納得される形でのみ検討いたします。三つ星の維持と両立しない展開は行いません。</w:t>
      </w:r>
    </w:p>
    <w:p>
      <w:pPr>
        <w:spacing w:after="100" w:before="200" w:line="300"/>
      </w:pPr>
      <w:r>
        <w:rPr>
          <w:rFonts w:ascii="Arial" w:eastAsia="ＭＳ ゴシック" w:hAnsi="Arial"/>
          <w:b/>
          <w:bCs/>
          <w:sz w:val="21"/>
          <w:szCs w:val="21"/>
        </w:rPr>
        <w:t xml:space="preserve">(3) 資本戦略の方向性</w:t>
      </w:r>
    </w:p>
    <w:p>
      <w:pPr>
        <w:spacing w:after="120" w:before="0" w:line="300"/>
      </w:pPr>
      <w:r>
        <w:rPr>
          <w:rFonts w:ascii="Century" w:eastAsia="ＭＳ 明朝" w:hAnsi="Century"/>
          <w:sz w:val="21"/>
          <w:szCs w:val="21"/>
        </w:rPr>
        <w:t xml:space="preserve">対象会社は当社の100%子会社として保有し、第三者への再売却（いわゆる転売）は想定しておりません。対象会社からの配当は、本件取得に係る借入の返済に必要な範囲に限定し、対象会社には運転資金および取引先との信用維持のため、常時6億円以上の現預金を留保する方針です。仕入先各位との与信関係に影響を与えることのないよう配慮いたします。</w:t>
      </w:r>
    </w:p>
    <w:p>
      <w:pPr>
        <w:pBdr>
          <w:bottom w:val="single" w:color="333333" w:sz="6" w:space="4"/>
        </w:pBdr>
        <w:spacing w:after="160" w:before="320" w:line="300"/>
      </w:pPr>
      <w:r>
        <w:rPr>
          <w:rFonts w:ascii="Arial" w:eastAsia="ＭＳ ゴシック" w:hAnsi="Arial"/>
          <w:b/>
          <w:bCs/>
          <w:sz w:val="22"/>
          <w:szCs w:val="22"/>
        </w:rPr>
        <w:t xml:space="preserve">4．役員及び従業員の処遇</w:t>
      </w:r>
    </w:p>
    <w:p>
      <w:pPr>
        <w:spacing w:after="100" w:before="200" w:line="300"/>
      </w:pPr>
      <w:r>
        <w:rPr>
          <w:rFonts w:ascii="Arial" w:eastAsia="ＭＳ ゴシック" w:hAnsi="Arial"/>
          <w:b/>
          <w:bCs/>
          <w:sz w:val="21"/>
          <w:szCs w:val="21"/>
        </w:rPr>
        <w:t xml:space="preserve">(1) 岸田周三氏の処遇</w:t>
      </w:r>
    </w:p>
    <w:p>
      <w:pPr>
        <w:spacing w:after="120" w:before="0" w:line="300"/>
      </w:pPr>
      <w:r>
        <w:rPr>
          <w:rFonts w:ascii="Century" w:eastAsia="ＭＳ 明朝" w:hAnsi="Century"/>
          <w:sz w:val="21"/>
          <w:szCs w:val="21"/>
        </w:rPr>
        <w:t xml:space="preserve">譲受後3年間、岸田氏には引き続き代表取締役としてご在任いただき、現在と同一の条件（役員報酬および役員賞与を含みます）を継続してお支払いすることを想定しております。毎日厨房にお立ちいただくという現行の関与形態を、当社は最大限尊重いたします。3年経過後のご関与の形態につきましては、岸田氏のご意向を最優先に、改めてご相談させていただきたく存じます。</w:t>
      </w:r>
    </w:p>
    <w:p>
      <w:pPr>
        <w:spacing w:after="100" w:before="200" w:line="300"/>
      </w:pPr>
      <w:r>
        <w:rPr>
          <w:rFonts w:ascii="Arial" w:eastAsia="ＭＳ ゴシック" w:hAnsi="Arial"/>
          <w:b/>
          <w:bCs/>
          <w:sz w:val="21"/>
          <w:szCs w:val="21"/>
        </w:rPr>
        <w:t xml:space="preserve">(2) 従業員の処遇</w:t>
      </w:r>
    </w:p>
    <w:p>
      <w:pPr>
        <w:spacing w:after="120" w:before="0" w:line="300"/>
      </w:pPr>
      <w:r>
        <w:rPr>
          <w:rFonts w:ascii="Century" w:eastAsia="ＭＳ 明朝" w:hAnsi="Century"/>
          <w:sz w:val="21"/>
          <w:szCs w:val="21"/>
        </w:rPr>
        <w:t xml:space="preserve">支配人1名、キッチン13名、サービス7名の計22名の皆様について、給与・賞与・役職・勤務条件のいずれについても、譲受を理由とする不利益な変更は行いません。雇用はそのまま承継いたします。</w:t>
      </w:r>
    </w:p>
    <w:p>
      <w:pPr>
        <w:spacing w:after="120" w:before="0" w:line="300"/>
      </w:pPr>
      <w:r>
        <w:rPr>
          <w:rFonts w:ascii="Century" w:eastAsia="ＭＳ 明朝" w:hAnsi="Century"/>
          <w:sz w:val="21"/>
          <w:szCs w:val="21"/>
        </w:rPr>
        <w:t xml:space="preserve">これは方針の表明にとどまるものではございません。当社は、株式会社アピシウスの取得に際しても、幹部メンバーの全員に継続してご勤務いただいております。加えて、同社においてはサービス残業を撤廃し、12月の繁忙期を除き残業そのものが発生しない体制を実現いたしました。対象会社におきましても、同様の方針で臨む所存です。</w:t>
      </w:r>
    </w:p>
    <w:p>
      <w:pPr>
        <w:spacing w:after="100" w:before="200" w:line="300"/>
      </w:pPr>
      <w:r>
        <w:rPr>
          <w:rFonts w:ascii="Arial" w:eastAsia="ＭＳ ゴシック" w:hAnsi="Arial"/>
          <w:b/>
          <w:bCs/>
          <w:sz w:val="21"/>
          <w:szCs w:val="21"/>
        </w:rPr>
        <w:t xml:space="preserve">(3) 経営体制および役員の派遣</w:t>
      </w:r>
    </w:p>
    <w:p>
      <w:pPr>
        <w:spacing w:after="120" w:before="0" w:line="300"/>
      </w:pPr>
      <w:r>
        <w:rPr>
          <w:rFonts w:ascii="Century" w:eastAsia="ＭＳ 明朝" w:hAnsi="Century"/>
          <w:sz w:val="21"/>
          <w:szCs w:val="21"/>
        </w:rPr>
        <w:t xml:space="preserve">当社からは、経理・法務・資金管理の支援を目的として非常勤取締役1名の派遣を想定しております。厨房およびサービスの現場運営に当社から人員を派遣することは想定しておりません。社内組織の改変も、譲受後3年間は行わない方針です。</w:t>
      </w:r>
    </w:p>
    <w:p>
      <w:pPr>
        <w:spacing w:after="100" w:before="200" w:line="300"/>
      </w:pPr>
      <w:r>
        <w:rPr>
          <w:rFonts w:ascii="Arial" w:eastAsia="ＭＳ ゴシック" w:hAnsi="Arial"/>
          <w:b/>
          <w:bCs/>
          <w:sz w:val="21"/>
          <w:szCs w:val="21"/>
        </w:rPr>
        <w:t xml:space="preserve">(4) モチベーションの維持・向上に関する施策</w:t>
      </w:r>
    </w:p>
    <w:p>
      <w:pPr>
        <w:spacing w:after="80" w:line="300"/>
        <w:ind w:left="440" w:hanging="220"/>
      </w:pPr>
      <w:r>
        <w:rPr>
          <w:rFonts w:ascii="Century" w:eastAsia="ＭＳ 明朝" w:hAnsi="Century"/>
          <w:sz w:val="21"/>
          <w:szCs w:val="21"/>
        </w:rPr>
        <w:t xml:space="preserve">・後継料理長の招聘後を見据えた、若手の皆様のキャリアパスの明示</w:t>
      </w:r>
    </w:p>
    <w:p>
      <w:pPr>
        <w:spacing w:after="80" w:line="300"/>
        <w:ind w:left="440" w:hanging="220"/>
      </w:pPr>
      <w:r>
        <w:rPr>
          <w:rFonts w:ascii="Century" w:eastAsia="ＭＳ 明朝" w:hAnsi="Century"/>
          <w:sz w:val="21"/>
          <w:szCs w:val="21"/>
        </w:rPr>
        <w:t xml:space="preserve">・独立を志す方に対する支援制度の整備（対象会社からは20年間で12名以上の方が独立され、ミシュランの評価を得ておられると承知しております。この文化を損なうことなく、むしろ制度として支える形を検討いたします）</w:t>
      </w:r>
    </w:p>
    <w:p>
      <w:pPr>
        <w:spacing w:after="80" w:line="300"/>
        <w:ind w:left="440" w:hanging="220"/>
      </w:pPr>
      <w:r>
        <w:rPr>
          <w:rFonts w:ascii="Century" w:eastAsia="ＭＳ 明朝" w:hAnsi="Century"/>
          <w:sz w:val="21"/>
          <w:szCs w:val="21"/>
        </w:rPr>
        <w:t xml:space="preserve">・当社が主催するワインイベント・オークションへのご参画機会の提供</w:t>
      </w:r>
    </w:p>
    <w:p>
      <w:pPr>
        <w:spacing w:after="80" w:line="300"/>
        <w:ind w:left="440" w:hanging="220"/>
      </w:pPr>
      <w:r>
        <w:rPr>
          <w:rFonts w:ascii="Century" w:eastAsia="ＭＳ 明朝" w:hAnsi="Century"/>
          <w:sz w:val="21"/>
          <w:szCs w:val="21"/>
        </w:rPr>
        <w:t xml:space="preserve">・当社グループのレストラン事業との人事交流（ご本人の希望による場合に限ります）</w:t>
      </w:r>
    </w:p>
    <w:p>
      <w:pPr>
        <w:pBdr>
          <w:bottom w:val="single" w:color="333333" w:sz="6" w:space="4"/>
        </w:pBdr>
        <w:spacing w:after="160" w:before="320" w:line="300"/>
      </w:pPr>
      <w:r>
        <w:rPr>
          <w:rFonts w:ascii="Arial" w:eastAsia="ＭＳ ゴシック" w:hAnsi="Arial"/>
          <w:b/>
          <w:bCs/>
          <w:sz w:val="22"/>
          <w:szCs w:val="22"/>
        </w:rPr>
        <w:t xml:space="preserve">5．想定されている取引スキーム</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300"/>
      </w:tblGrid>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取得スキーム</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現金対価による株式譲渡</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取得希望割合</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発行済株式の100%</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取得対象</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対象会社および同社の完全子会社であるカンテサンスプラス株式会社。株式会社BISは本件の対象外と理解しております。</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取得主体</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株式会社WineBank、または同社が本件のために設立する完全子会社（買収目的会社）。金融機関との協議の結果によっては、買収目的会社が株式を取得したうえで対象会社と合併する形態を採る可能性がございます。いずれの場合も、実質的な取得主体および責任主体は当社です。</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役員貸付金の取扱い</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対象会社が計上する長期貸付金（役員貸付金）については、クロージング時に現金にて精算いただくことを前提としております。</w:t>
            </w:r>
          </w:p>
        </w:tc>
      </w:tr>
    </w:tbl>
    <w:p>
      <w:pPr>
        <w:pBdr>
          <w:bottom w:val="single" w:color="333333" w:sz="6" w:space="4"/>
        </w:pBdr>
        <w:spacing w:after="160" w:before="320" w:line="300"/>
      </w:pPr>
      <w:r>
        <w:rPr>
          <w:rFonts w:ascii="Arial" w:eastAsia="ＭＳ ゴシック" w:hAnsi="Arial"/>
          <w:b/>
          <w:bCs/>
          <w:sz w:val="22"/>
          <w:szCs w:val="22"/>
        </w:rPr>
        <w:t xml:space="preserve">6．対象会社の譲受希望価額</w:t>
      </w:r>
    </w:p>
    <w:p>
      <w:pPr>
        <w:spacing w:after="120" w:before="0" w:line="300"/>
      </w:pPr>
      <w:r>
        <w:rPr>
          <w:rFonts w:ascii="Century" w:eastAsia="ＭＳ 明朝" w:hAnsi="Century"/>
          <w:sz w:val="21"/>
          <w:szCs w:val="21"/>
        </w:rPr>
        <w:t xml:space="preserve">株式価値（100%ベース）として、下記のレンジを提示いたします。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600"/>
      </w:tblGrid>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下限価額</w:t>
            </w:r>
          </w:p>
        </w:tc>
        <w:tc>
          <w:tcPr>
            <w:tcW w:type="dxa" w:w="6600"/>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50億0,000万円</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上限価額</w:t>
            </w:r>
          </w:p>
        </w:tc>
        <w:tc>
          <w:tcPr>
            <w:tcW w:type="dxa" w:w="6600"/>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53億0,000万円</w:t>
            </w:r>
          </w:p>
        </w:tc>
      </w:tr>
    </w:tbl>
    <w:p>
      <w:pPr>
        <w:spacing w:after="120"/>
      </w:pPr>
    </w:p>
    <w:p>
      <w:pPr>
        <w:spacing w:after="100" w:before="200" w:line="300"/>
      </w:pPr>
      <w:r>
        <w:rPr>
          <w:rFonts w:ascii="Arial" w:eastAsia="ＭＳ ゴシック" w:hAnsi="Arial"/>
          <w:b/>
          <w:bCs/>
          <w:sz w:val="21"/>
          <w:szCs w:val="21"/>
        </w:rPr>
        <w:t xml:space="preserve">(1) 算定方式のご提案</w:t>
      </w:r>
    </w:p>
    <w:p>
      <w:pPr>
        <w:spacing w:after="120" w:before="0" w:line="300"/>
      </w:pPr>
      <w:r>
        <w:rPr>
          <w:rFonts w:ascii="Century" w:eastAsia="ＭＳ 明朝" w:hAnsi="Century"/>
          <w:sz w:val="21"/>
          <w:szCs w:val="21"/>
        </w:rPr>
        <w:t xml:space="preserve">対象会社は無借金かつ多額の現預金を保有されており、かつ本件のクロージング予定日（2026年11月末）は対象会社の決算期末（12月末）の直前に位置しております。このため、固定額での提示は、クロージング日までに対象会社が稼得される利益の帰属について、売主・買主双方に不要な争点を生じさせるおそれがあると考えております。</w:t>
      </w:r>
    </w:p>
    <w:p>
      <w:pPr>
        <w:spacing w:after="100" w:before="0" w:line="300"/>
      </w:pPr>
      <w:r>
        <w:rPr>
          <w:rFonts w:ascii="Century" w:eastAsia="ＭＳ 明朝" w:hAnsi="Century"/>
          <w:sz w:val="21"/>
          <w:szCs w:val="21"/>
        </w:rPr>
        <w:t xml:space="preserve">そこで当社は、次の算定方式を提案いたします。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9200"/>
      </w:tblGrid>
      <w:tr>
        <w:trPr>
          <w:cantSplit/>
        </w:trPr>
        <w:tc>
          <w:tcPr>
            <w:tcW w:type="dxa" w:w="9200"/>
            <w:tcMar>
              <w:top w:type="dxa" w:w="70"/>
              <w:left w:type="dxa" w:w="110"/>
              <w:bottom w:type="dxa" w:w="70"/>
              <w:right w:type="dxa" w:w="110"/>
            </w:tcMar>
          </w:tcPr>
          <w:p>
            <w:pPr>
              <w:spacing w:after="0" w:line="280"/>
              <w:jc w:val="center"/>
            </w:pPr>
            <w:r>
              <w:rPr>
                <w:rFonts w:ascii="Arial" w:eastAsia="ＭＳ ゴシック" w:hAnsi="Arial"/>
                <w:b/>
                <w:bCs/>
                <w:sz w:val="21"/>
                <w:szCs w:val="21"/>
              </w:rPr>
              <w:t xml:space="preserve">株式価値 ＝ 事業価値 27億8,000万円 ＋ クロージング日時点のネットキャッシュ実額</w:t>
            </w:r>
          </w:p>
        </w:tc>
      </w:tr>
    </w:tbl>
    <w:p>
      <w:pPr>
        <w:spacing w:after="80"/>
      </w:pPr>
    </w:p>
    <w:p>
      <w:pPr>
        <w:spacing w:after="100" w:before="0" w:line="300"/>
      </w:pPr>
      <w:r>
        <w:rPr>
          <w:rFonts w:ascii="Century" w:eastAsia="ＭＳ 明朝" w:hAnsi="Century"/>
          <w:sz w:val="21"/>
          <w:szCs w:val="21"/>
        </w:rPr>
        <w:t xml:space="preserve">ネットキャッシュは「現預金＋役員貸付金の精算額」とし、クロージング日を基準として実額で算定いたします。ただし、算定結果にかかわらず株式価値が50億円を下回ることはないものといたします。</w:t>
      </w:r>
    </w:p>
    <w:p>
      <w:pPr>
        <w:spacing w:after="120" w:before="0" w:line="300"/>
      </w:pPr>
      <w:r>
        <w:rPr>
          <w:rFonts w:ascii="Century" w:eastAsia="ＭＳ 明朝" w:hAnsi="Century"/>
          <w:sz w:val="21"/>
          <w:szCs w:val="21"/>
        </w:rPr>
        <w:t xml:space="preserve">2026年11月末をクロージング日とした場合の想定ネットキャッシュは約22億2,000万円であり、株式価値は約50億0,000万円となります。仮にクロージングが2026年12月末となる場合には、想定ネットキャッシュは約22億4,000万円、株式価値は約50億2,000万円となります。すなわち本方式は、クロージングが後ろ倒しとなる場合に売主の皆様が不利益を被らない設計となっております。</w:t>
      </w:r>
    </w:p>
    <w:p>
      <w:pPr>
        <w:spacing w:after="100" w:before="200" w:line="300"/>
      </w:pPr>
      <w:r>
        <w:rPr>
          <w:rFonts w:ascii="Arial" w:eastAsia="ＭＳ ゴシック" w:hAnsi="Arial"/>
          <w:b/>
          <w:bCs/>
          <w:sz w:val="21"/>
          <w:szCs w:val="21"/>
        </w:rPr>
        <w:t xml:space="preserve">(2) 上限価額（53億円）までの追加評価要素</w:t>
      </w:r>
    </w:p>
    <w:p>
      <w:pPr>
        <w:spacing w:after="100" w:before="0" w:line="300"/>
      </w:pPr>
      <w:r>
        <w:rPr>
          <w:rFonts w:ascii="Century" w:eastAsia="ＭＳ 明朝" w:hAnsi="Century"/>
          <w:sz w:val="21"/>
          <w:szCs w:val="21"/>
        </w:rPr>
        <w:t xml:space="preserve">下限価額50億円に対し、次の各事項がDDまたは最終契約交渉において確認された場合、当社は最大3億円の追加評価を行う用意がございます。</w:t>
      </w:r>
    </w:p>
    <w:p>
      <w:pPr>
        <w:spacing w:after="80" w:line="300"/>
        <w:ind w:left="440" w:hanging="280"/>
      </w:pPr>
      <w:r>
        <w:rPr>
          <w:rFonts w:ascii="Century" w:eastAsia="ＭＳ 明朝" w:hAnsi="Century"/>
          <w:sz w:val="21"/>
          <w:szCs w:val="21"/>
        </w:rPr>
        <w:t xml:space="preserve">① 後継料理長の招聘に関し、岸田氏ご自身が候補者への働きかけにご協力いただけることが確約される場合（最も評価の大きい項目です）</w:t>
      </w:r>
    </w:p>
    <w:p>
      <w:pPr>
        <w:spacing w:after="80" w:line="300"/>
        <w:ind w:left="440" w:hanging="280"/>
      </w:pPr>
      <w:r>
        <w:rPr>
          <w:rFonts w:ascii="Century" w:eastAsia="ＭＳ 明朝" w:hAnsi="Century"/>
          <w:sz w:val="21"/>
          <w:szCs w:val="21"/>
        </w:rPr>
        <w:t xml:space="preserve">② 役員貸付金がクロージング時に全額現金精算されることが確定する場合</w:t>
      </w:r>
    </w:p>
    <w:p>
      <w:pPr>
        <w:spacing w:after="80" w:line="300"/>
        <w:ind w:left="440" w:hanging="280"/>
      </w:pPr>
      <w:r>
        <w:rPr>
          <w:rFonts w:ascii="Century" w:eastAsia="ＭＳ 明朝" w:hAnsi="Century"/>
          <w:sz w:val="21"/>
          <w:szCs w:val="21"/>
        </w:rPr>
        <w:t xml:space="preserve">③ 主要仕入先からの希少銘柄の配分が、岸田氏個人ではなく対象会社に帰属するものであることが確認される場合</w:t>
      </w:r>
    </w:p>
    <w:p>
      <w:pPr>
        <w:spacing w:after="80" w:line="300"/>
        <w:ind w:left="440" w:hanging="280"/>
      </w:pPr>
      <w:r>
        <w:rPr>
          <w:rFonts w:ascii="Century" w:eastAsia="ＭＳ 明朝" w:hAnsi="Century"/>
          <w:sz w:val="21"/>
          <w:szCs w:val="21"/>
        </w:rPr>
        <w:t xml:space="preserve">④ 店舗賃貸借契約について、十分な残存期間が確保され、かつ支配権異動による解除事由が存在しないことが確認される場合</w:t>
      </w:r>
    </w:p>
    <w:p>
      <w:pPr>
        <w:spacing w:after="80" w:line="300"/>
        <w:ind w:left="440" w:hanging="280"/>
      </w:pPr>
      <w:r>
        <w:rPr>
          <w:rFonts w:ascii="Century" w:eastAsia="ＭＳ 明朝" w:hAnsi="Century"/>
          <w:sz w:val="21"/>
          <w:szCs w:val="21"/>
        </w:rPr>
        <w:t xml:space="preserve">⑤ ワイン在庫の時価が帳簿価額を相当程度上回ることが確認される場合</w:t>
      </w:r>
    </w:p>
    <w:p>
      <w:pPr>
        <w:spacing w:after="60"/>
      </w:pPr>
    </w:p>
    <w:p>
      <w:pPr>
        <w:spacing w:after="120" w:before="0" w:line="300"/>
      </w:pPr>
      <w:r>
        <w:rPr>
          <w:rFonts w:ascii="Century" w:eastAsia="ＭＳ 明朝" w:hAnsi="Century"/>
          <w:sz w:val="21"/>
          <w:szCs w:val="21"/>
        </w:rPr>
        <w:t xml:space="preserve">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Bdr>
          <w:bottom w:val="single" w:color="333333" w:sz="6" w:space="4"/>
        </w:pBdr>
        <w:spacing w:after="160" w:before="320" w:line="300"/>
      </w:pPr>
      <w:r>
        <w:rPr>
          <w:rFonts w:ascii="Arial" w:eastAsia="ＭＳ ゴシック" w:hAnsi="Arial"/>
          <w:b/>
          <w:bCs/>
          <w:sz w:val="22"/>
          <w:szCs w:val="22"/>
        </w:rPr>
        <w:t xml:space="preserve">7．譲受価額の算出根拠</w:t>
      </w:r>
    </w:p>
    <w:p>
      <w:pPr>
        <w:spacing w:after="120" w:before="0" w:line="300"/>
      </w:pPr>
      <w:r>
        <w:rPr>
          <w:rFonts w:ascii="Century" w:eastAsia="ＭＳ 明朝" w:hAnsi="Century"/>
          <w:sz w:val="21"/>
          <w:szCs w:val="21"/>
        </w:rPr>
        <w:t xml:space="preserve">本価額は、初期開示資料に記載された2026年12月期の会社計画を前提として、次の4手法により算定し、その整合性を確認したうえで決定したものです。詳細な分析は別紙2として添付いたします。</w:t>
      </w:r>
    </w:p>
    <w:p>
      <w:pPr>
        <w:spacing w:after="100" w:before="200" w:line="300"/>
      </w:pPr>
      <w:r>
        <w:rPr>
          <w:rFonts w:ascii="Arial" w:eastAsia="ＭＳ ゴシック" w:hAnsi="Arial"/>
          <w:b/>
          <w:bCs/>
          <w:sz w:val="21"/>
          <w:szCs w:val="21"/>
        </w:rPr>
        <w:t xml:space="preserve">(1) 前提とした財務数値（2026年12月期）</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700"/>
        <w:gridCol w:w="2600"/>
        <w:gridCol w:w="2300"/>
      </w:tblGrid>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売上高</w:t>
            </w:r>
          </w:p>
        </w:tc>
        <w:tc>
          <w:tcPr>
            <w:tcW w:type="dxa" w:w="1700"/>
            <w:tcMar>
              <w:top w:type="dxa" w:w="70"/>
              <w:left w:type="dxa" w:w="110"/>
              <w:bottom w:type="dxa" w:w="70"/>
              <w:right w:type="dxa" w:w="110"/>
            </w:tcMar>
          </w:tcPr>
          <w:p>
            <w:pPr>
              <w:spacing w:after="0" w:line="280"/>
              <w:jc w:val="right"/>
            </w:pPr>
            <w:r>
              <w:rPr>
                <w:rFonts w:ascii="Century" w:eastAsia="ＭＳ 明朝" w:hAnsi="Century"/>
                <w:sz w:val="20"/>
                <w:szCs w:val="20"/>
              </w:rPr>
              <w:t xml:space="preserve">10億1,500万円</w:t>
            </w:r>
          </w:p>
        </w:tc>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当期純利益</w:t>
            </w:r>
          </w:p>
        </w:tc>
        <w:tc>
          <w:tcPr>
            <w:tcW w:type="dxa" w:w="2300"/>
            <w:tcMar>
              <w:top w:type="dxa" w:w="70"/>
              <w:left w:type="dxa" w:w="110"/>
              <w:bottom w:type="dxa" w:w="70"/>
              <w:right w:type="dxa" w:w="110"/>
            </w:tcMar>
          </w:tcPr>
          <w:p>
            <w:pPr>
              <w:spacing w:after="0" w:line="280"/>
              <w:jc w:val="right"/>
            </w:pPr>
            <w:r>
              <w:rPr>
                <w:rFonts w:ascii="Century" w:eastAsia="ＭＳ 明朝" w:hAnsi="Century"/>
                <w:sz w:val="20"/>
                <w:szCs w:val="20"/>
              </w:rPr>
              <w:t xml:space="preserve">3億5,000万円</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営業利益</w:t>
            </w:r>
          </w:p>
        </w:tc>
        <w:tc>
          <w:tcPr>
            <w:tcW w:type="dxa" w:w="1700"/>
            <w:tcMar>
              <w:top w:type="dxa" w:w="70"/>
              <w:left w:type="dxa" w:w="110"/>
              <w:bottom w:type="dxa" w:w="70"/>
              <w:right w:type="dxa" w:w="110"/>
            </w:tcMar>
          </w:tcPr>
          <w:p>
            <w:pPr>
              <w:spacing w:after="0" w:line="280"/>
              <w:jc w:val="right"/>
            </w:pPr>
            <w:r>
              <w:rPr>
                <w:rFonts w:ascii="Century" w:eastAsia="ＭＳ 明朝" w:hAnsi="Century"/>
                <w:sz w:val="20"/>
                <w:szCs w:val="20"/>
              </w:rPr>
              <w:t xml:space="preserve">5億2,800万円</w:t>
            </w:r>
          </w:p>
        </w:tc>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EBITDA</w:t>
            </w:r>
          </w:p>
        </w:tc>
        <w:tc>
          <w:tcPr>
            <w:tcW w:type="dxa" w:w="2300"/>
            <w:tcMar>
              <w:top w:type="dxa" w:w="70"/>
              <w:left w:type="dxa" w:w="110"/>
              <w:bottom w:type="dxa" w:w="70"/>
              <w:right w:type="dxa" w:w="110"/>
            </w:tcMar>
          </w:tcPr>
          <w:p>
            <w:pPr>
              <w:spacing w:after="0" w:line="280"/>
              <w:jc w:val="right"/>
            </w:pPr>
            <w:r>
              <w:rPr>
                <w:rFonts w:ascii="Century" w:eastAsia="ＭＳ 明朝" w:hAnsi="Century"/>
                <w:sz w:val="20"/>
                <w:szCs w:val="20"/>
              </w:rPr>
              <w:t xml:space="preserve">5億2,900万円</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営業利益率</w:t>
            </w:r>
          </w:p>
        </w:tc>
        <w:tc>
          <w:tcPr>
            <w:tcW w:type="dxa" w:w="1700"/>
            <w:tcMar>
              <w:top w:type="dxa" w:w="70"/>
              <w:left w:type="dxa" w:w="110"/>
              <w:bottom w:type="dxa" w:w="70"/>
              <w:right w:type="dxa" w:w="110"/>
            </w:tcMar>
          </w:tcPr>
          <w:p>
            <w:pPr>
              <w:spacing w:after="0" w:line="280"/>
              <w:jc w:val="right"/>
            </w:pPr>
            <w:r>
              <w:rPr>
                <w:rFonts w:ascii="Century" w:eastAsia="ＭＳ 明朝" w:hAnsi="Century"/>
                <w:sz w:val="20"/>
                <w:szCs w:val="20"/>
              </w:rPr>
              <w:t xml:space="preserve">52.0%</w:t>
            </w:r>
          </w:p>
        </w:tc>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期末純資産</w:t>
            </w:r>
          </w:p>
        </w:tc>
        <w:tc>
          <w:tcPr>
            <w:tcW w:type="dxa" w:w="2300"/>
            <w:tcMar>
              <w:top w:type="dxa" w:w="70"/>
              <w:left w:type="dxa" w:w="110"/>
              <w:bottom w:type="dxa" w:w="70"/>
              <w:right w:type="dxa" w:w="110"/>
            </w:tcMar>
          </w:tcPr>
          <w:p>
            <w:pPr>
              <w:spacing w:after="0" w:line="280"/>
              <w:jc w:val="right"/>
            </w:pPr>
            <w:r>
              <w:rPr>
                <w:rFonts w:ascii="Century" w:eastAsia="ＭＳ 明朝" w:hAnsi="Century"/>
                <w:sz w:val="20"/>
                <w:szCs w:val="20"/>
              </w:rPr>
              <w:t xml:space="preserve">23億1,500万円</w:t>
            </w:r>
          </w:p>
        </w:tc>
      </w:tr>
    </w:tbl>
    <w:p>
      <w:pPr>
        <w:spacing w:after="120"/>
      </w:pPr>
    </w:p>
    <w:p>
      <w:pPr>
        <w:spacing w:after="100" w:before="200" w:line="300"/>
      </w:pPr>
      <w:r>
        <w:rPr>
          <w:rFonts w:ascii="Arial" w:eastAsia="ＭＳ ゴシック" w:hAnsi="Arial"/>
          <w:b/>
          <w:bCs/>
          <w:sz w:val="21"/>
          <w:szCs w:val="21"/>
        </w:rPr>
        <w:t xml:space="preserve">(2) 各手法による算定結果</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500"/>
        <w:gridCol w:w="2700"/>
      </w:tblGrid>
      <w:tr>
        <w:trPr>
          <w:cantSplit/>
        </w:trPr>
        <w:tc>
          <w:tcPr>
            <w:tcW w:type="dxa" w:w="2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評価手法</w:t>
            </w:r>
          </w:p>
        </w:tc>
        <w:tc>
          <w:tcPr>
            <w:tcW w:type="dxa" w:w="45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内容</w:t>
            </w:r>
          </w:p>
        </w:tc>
        <w:tc>
          <w:tcPr>
            <w:tcW w:type="dxa" w:w="27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算定結果</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① EV/EBITDA倍率法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事業価値27億8,000万円 ÷ EBITDA 5億2,900万円</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5.3倍</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② 年買法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期末純資産23億1,500万円 ＋ 営業利益の年数倍</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営業利益 5.1年分</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③ DCF法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割引率10%、継続成長率0%。1〜3年目はFCF 3億5,000万円、4年目以降をシナリオ別に分岐</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加重期待値 50億6,700万円</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④ 類似取引事例法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国内高級レストランの譲渡事例との比較</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倍率に照らし妥当</w:t>
            </w:r>
          </w:p>
        </w:tc>
      </w:tr>
    </w:tbl>
    <w:p>
      <w:pPr>
        <w:spacing w:after="120"/>
      </w:pPr>
    </w:p>
    <w:p>
      <w:pPr>
        <w:spacing w:after="100" w:before="200" w:line="300"/>
      </w:pPr>
      <w:r>
        <w:rPr>
          <w:rFonts w:ascii="Arial" w:eastAsia="ＭＳ ゴシック" w:hAnsi="Arial"/>
          <w:b/>
          <w:bCs/>
          <w:sz w:val="21"/>
          <w:szCs w:val="21"/>
        </w:rPr>
        <w:t xml:space="preserve">(3) 各手法の考え方</w:t>
      </w:r>
    </w:p>
    <w:p>
      <w:pPr>
        <w:spacing w:after="80" w:line="300"/>
        <w:ind w:left="440" w:hanging="280"/>
      </w:pPr>
      <w:r>
        <w:rPr>
          <w:rFonts w:ascii="Century" w:eastAsia="ＭＳ 明朝" w:hAnsi="Century"/>
          <w:sz w:val="21"/>
          <w:szCs w:val="21"/>
        </w:rPr>
        <w:t xml:space="preserve">① EV/EBITDA倍率法：株式価値から非事業用資産（現預金および役員貸付金）を控除した事業価値は27億8,000万円であり、EBITDA比5.3倍となります。中小企業M&amp;A実務における小売飲食業のEBITDA倍率の目安（おおむね6倍）を下回る水準です。</w:t>
      </w:r>
    </w:p>
    <w:p>
      <w:pPr>
        <w:spacing w:after="80" w:line="300"/>
        <w:ind w:left="440" w:hanging="280"/>
      </w:pPr>
      <w:r>
        <w:rPr>
          <w:rFonts w:ascii="Century" w:eastAsia="ＭＳ 明朝" w:hAnsi="Century"/>
          <w:sz w:val="21"/>
          <w:szCs w:val="21"/>
        </w:rPr>
        <w:t xml:space="preserve">② 年買法：期末純資産23億1,500万円に営業利益の約5.1年分を加算した水準に相当し、実務上広く用いられる3年から6年のレンジの範囲内にあります。</w:t>
      </w:r>
    </w:p>
    <w:p>
      <w:pPr>
        <w:spacing w:after="80" w:line="300"/>
        <w:ind w:left="440" w:hanging="280"/>
      </w:pPr>
      <w:r>
        <w:rPr>
          <w:rFonts w:ascii="Century" w:eastAsia="ＭＳ 明朝" w:hAnsi="Century"/>
          <w:sz w:val="21"/>
          <w:szCs w:val="21"/>
        </w:rPr>
        <w:t xml:space="preserve">③ DCF法：岸田氏がご在任される1年目から3年目はフリー・キャッシュ・フローを3億5,000万円で据え置き、4年目以降を、三つ星維持（3億5,000万円）、二つ星への降格（2億円）、星の喪失（1億円）の3シナリオに分岐させました。割引率10%における事業価値はそれぞれ35億円、23億7,000万円、16億2,000万円となります。これらに50%、35%、15%の確率を付した加重期待値に非事業用資産を加算すると、株式価値は50億6,700万円となり、当社の提示価額とほぼ一致いたします。</w:t>
      </w:r>
    </w:p>
    <w:p>
      <w:pPr>
        <w:spacing w:after="80" w:line="300"/>
        <w:ind w:left="440" w:hanging="280"/>
      </w:pPr>
      <w:r>
        <w:rPr>
          <w:rFonts w:ascii="Century" w:eastAsia="ＭＳ 明朝" w:hAnsi="Century"/>
          <w:sz w:val="21"/>
          <w:szCs w:val="21"/>
        </w:rPr>
        <w:t xml:space="preserve">④ 類似取引事例法：国内において、法人形態で営業利益5億円規模のガストロノミーが譲渡された事例は確認できず、直接比較可能な先例は存在しないものと理解しております。当社が把握する数少ない事例との対比においても、当社の提示倍率は同等以上の水準にあります。</w:t>
      </w:r>
    </w:p>
    <w:p>
      <w:pPr>
        <w:spacing w:after="60"/>
      </w:pPr>
    </w:p>
    <w:p>
      <w:pPr>
        <w:spacing w:after="120" w:before="0" w:line="300"/>
      </w:pPr>
      <w:r>
        <w:rPr>
          <w:rFonts w:ascii="Century" w:eastAsia="ＭＳ 明朝" w:hAnsi="Century"/>
          <w:sz w:val="21"/>
          <w:szCs w:val="21"/>
        </w:rPr>
        <w:t xml:space="preserve">上記④のとおり先例が存在しない以上、当社は価額の妥当性を将来キャッシュ・フローとその実現確率に基づいて判断しております。当社の提示する事業価値27億8,000万円は、上記③において三つ星が維持される確率を約36%と置いた場合に成立する水準であり、評価の前提としては保守的なものです。</w:t>
      </w:r>
    </w:p>
    <w:p>
      <w:pPr>
        <w:spacing w:after="100" w:before="200" w:line="300"/>
      </w:pPr>
      <w:r>
        <w:rPr>
          <w:rFonts w:ascii="Arial" w:eastAsia="ＭＳ ゴシック" w:hAnsi="Arial"/>
          <w:b/>
          <w:bCs/>
          <w:sz w:val="21"/>
          <w:szCs w:val="21"/>
        </w:rPr>
        <w:t xml:space="preserve">(4) 前提条件</w:t>
      </w:r>
    </w:p>
    <w:p>
      <w:pPr>
        <w:spacing w:after="80" w:line="300"/>
        <w:ind w:left="440" w:hanging="220"/>
      </w:pPr>
      <w:r>
        <w:rPr>
          <w:rFonts w:ascii="Century" w:eastAsia="ＭＳ 明朝" w:hAnsi="Century"/>
          <w:sz w:val="21"/>
          <w:szCs w:val="21"/>
        </w:rPr>
        <w:t xml:space="preserve">・初期開示資料に記載された計数に重大な誤りがないこと</w:t>
      </w:r>
    </w:p>
    <w:p>
      <w:pPr>
        <w:spacing w:after="80" w:line="300"/>
        <w:ind w:left="440" w:hanging="220"/>
      </w:pPr>
      <w:r>
        <w:rPr>
          <w:rFonts w:ascii="Century" w:eastAsia="ＭＳ 明朝" w:hAnsi="Century"/>
          <w:sz w:val="21"/>
          <w:szCs w:val="21"/>
        </w:rPr>
        <w:t xml:space="preserve">・役員貸付金がクロージング時に現金精算されること</w:t>
      </w:r>
    </w:p>
    <w:p>
      <w:pPr>
        <w:spacing w:after="80" w:line="300"/>
        <w:ind w:left="440" w:hanging="220"/>
      </w:pPr>
      <w:r>
        <w:rPr>
          <w:rFonts w:ascii="Century" w:eastAsia="ＭＳ 明朝" w:hAnsi="Century"/>
          <w:sz w:val="21"/>
          <w:szCs w:val="21"/>
        </w:rPr>
        <w:t xml:space="preserve">・簿外債務、偶発債務および未認識の係争が存在しないこと</w:t>
      </w:r>
    </w:p>
    <w:p>
      <w:pPr>
        <w:spacing w:after="80" w:line="300"/>
        <w:ind w:left="440" w:hanging="220"/>
      </w:pPr>
      <w:r>
        <w:rPr>
          <w:rFonts w:ascii="Century" w:eastAsia="ＭＳ 明朝" w:hAnsi="Century"/>
          <w:sz w:val="21"/>
          <w:szCs w:val="21"/>
        </w:rPr>
        <w:t xml:space="preserve">・役員報酬・役員賞与が販売費及び一般管理費に計上済みであるとの理解に相違がないこと</w:t>
      </w:r>
    </w:p>
    <w:p>
      <w:pPr>
        <w:pBdr>
          <w:bottom w:val="single" w:color="333333" w:sz="6" w:space="4"/>
        </w:pBdr>
        <w:spacing w:after="160" w:before="320" w:line="300"/>
      </w:pPr>
      <w:r>
        <w:rPr>
          <w:rFonts w:ascii="Arial" w:eastAsia="ＭＳ ゴシック" w:hAnsi="Arial"/>
          <w:b/>
          <w:bCs/>
          <w:sz w:val="22"/>
          <w:szCs w:val="22"/>
        </w:rPr>
        <w:t xml:space="preserve">8．譲受代金の調達方法</w:t>
      </w:r>
    </w:p>
    <w:p>
      <w:pPr>
        <w:spacing w:after="120" w:before="0" w:line="300"/>
      </w:pPr>
      <w:r>
        <w:rPr>
          <w:rFonts w:ascii="Century" w:eastAsia="ＭＳ 明朝" w:hAnsi="Century"/>
          <w:sz w:val="21"/>
          <w:szCs w:val="21"/>
        </w:rPr>
        <w:t xml:space="preserve">譲受代金は、金融機関からの借入、当社の自己資金、および当社の増資により調達する予定です。現時点で想定している構成は次のとおりです。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200"/>
        <w:gridCol w:w="4000"/>
      </w:tblGrid>
      <w:tr>
        <w:trPr>
          <w:cantSplit/>
        </w:trPr>
        <w:tc>
          <w:tcPr>
            <w:tcW w:type="dxa" w:w="3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調達区分</w:t>
            </w:r>
          </w:p>
        </w:tc>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想定金額</w:t>
            </w:r>
          </w:p>
        </w:tc>
        <w:tc>
          <w:tcPr>
            <w:tcW w:type="dxa" w:w="4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内容</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sz w:val="20"/>
                <w:szCs w:val="20"/>
              </w:rPr>
              <w:t xml:space="preserve">金融機関借入</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20億円</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買収ファイナンス。タームローンA 14億円（元金均等・7年）およびタームローンB 6億円（期限一括）を想定。初年度のDSCRは1.35倍を確保する設計です。</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sz w:val="20"/>
                <w:szCs w:val="20"/>
              </w:rPr>
              <w:t xml:space="preserve">対象会社保有現預金</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11億円程度</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取得後、運転資金として6億円以上を留保したうえでの活用を想定しております。</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sz w:val="20"/>
                <w:szCs w:val="20"/>
              </w:rPr>
              <w:t xml:space="preserve">自己資金・増資</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19億円程度</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当社の自己資金および当社に対する第三者割当増資により調達いたします。</w:t>
            </w:r>
          </w:p>
        </w:tc>
      </w:tr>
    </w:tbl>
    <w:p>
      <w:pPr>
        <w:spacing w:after="80"/>
      </w:pPr>
    </w:p>
    <w:p>
      <w:pPr>
        <w:spacing w:after="160" w:before="0" w:line="300"/>
      </w:pPr>
      <w:r>
        <w:rPr>
          <w:rFonts w:ascii="Century" w:eastAsia="ＭＳ 明朝" w:hAnsi="Century"/>
          <w:color w:val="595959"/>
          <w:sz w:val="19"/>
          <w:szCs w:val="19"/>
        </w:rPr>
        <w:t xml:space="preserve">※　上記のほか、DD費用、アドバイザリー費用、登記費用等の取得関連費用（1億5,000万円程度を見込んでおります）につきましては、当社の自己資金にて負担いたします。</w:t>
      </w:r>
    </w:p>
    <w:p>
      <w:pPr>
        <w:spacing w:after="160" w:before="0" w:line="300"/>
      </w:pPr>
      <w:r>
        <w:rPr>
          <w:rFonts w:ascii="Century" w:eastAsia="ＭＳ 明朝" w:hAnsi="Century"/>
          <w:sz w:val="21"/>
          <w:szCs w:val="21"/>
        </w:rPr>
        <w:t xml:space="preserve">金融機関借入の返済可能性については、対象会社のフリー・キャッシュ・フロー（年3億5,000万円）のみを返済原資とした場合でも、7年間を通じてDSCR 1.35倍から1.56倍で推移し、累積の余剰キャッシュ・フロー7億5,600万円が期限一括返済分6億円を上回ることを確認しております。詳細は別紙2に記載しております。</w:t>
      </w:r>
    </w:p>
    <w:p>
      <w:pPr>
        <w:spacing w:after="100" w:before="200" w:line="300"/>
      </w:pPr>
      <w:r>
        <w:rPr>
          <w:rFonts w:ascii="Arial" w:eastAsia="ＭＳ ゴシック" w:hAnsi="Arial"/>
          <w:b/>
          <w:bCs/>
          <w:sz w:val="21"/>
          <w:szCs w:val="21"/>
        </w:rPr>
        <w:t xml:space="preserve">【本ご案内Ⅳ-5に関するお願い】</w:t>
      </w:r>
    </w:p>
    <w:p>
      <w:pPr>
        <w:spacing w:after="100" w:before="0" w:line="300"/>
      </w:pPr>
      <w:r>
        <w:rPr>
          <w:rFonts w:ascii="Century" w:eastAsia="ＭＳ 明朝" w:hAnsi="Century"/>
          <w:sz w:val="21"/>
          <w:szCs w:val="21"/>
        </w:rPr>
        <w:t xml:space="preserve">本ご案内Ⅳ-5において、外部資金提供者との協議の開始および第三者との共同買収の検討には、売主の事前の書面によるご承諾を要する旨が定められていることを承知しております。</w:t>
      </w:r>
    </w:p>
    <w:p>
      <w:pPr>
        <w:spacing w:after="100" w:before="0" w:line="300"/>
      </w:pPr>
      <w:r>
        <w:rPr>
          <w:rFonts w:ascii="Century" w:eastAsia="ＭＳ 明朝" w:hAnsi="Century"/>
          <w:sz w:val="21"/>
          <w:szCs w:val="21"/>
        </w:rPr>
        <w:t xml:space="preserve">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-5の趣旨に照らし、ここに事実としてご報告申し上げます。当社は、いかなる資金提供者との間においても、当社に対する排他的な資金提供に係る協議または合意を一切行っておりません。</w:t>
      </w:r>
    </w:p>
    <w:p>
      <w:pPr>
        <w:spacing w:after="120" w:before="0" w:line="300"/>
      </w:pPr>
      <w:r>
        <w:rPr>
          <w:rFonts w:ascii="Century" w:eastAsia="ＭＳ 明朝" w:hAnsi="Century"/>
          <w:sz w:val="21"/>
          <w:szCs w:val="21"/>
        </w:rPr>
        <w:t xml:space="preserve">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Bdr>
          <w:bottom w:val="single" w:color="333333" w:sz="6" w:space="4"/>
        </w:pBdr>
        <w:spacing w:after="160" w:before="320" w:line="300"/>
      </w:pPr>
      <w:r>
        <w:rPr>
          <w:rFonts w:ascii="Arial" w:eastAsia="ＭＳ ゴシック" w:hAnsi="Arial"/>
          <w:b/>
          <w:bCs/>
          <w:sz w:val="22"/>
          <w:szCs w:val="22"/>
        </w:rPr>
        <w:t xml:space="preserve">9．対象会社の譲受に際しての前提条件</w:t>
      </w:r>
    </w:p>
    <w:p>
      <w:pPr>
        <w:spacing w:after="100" w:before="0" w:line="300"/>
      </w:pPr>
      <w:r>
        <w:rPr>
          <w:rFonts w:ascii="Century" w:eastAsia="ＭＳ 明朝" w:hAnsi="Century"/>
          <w:sz w:val="21"/>
          <w:szCs w:val="21"/>
        </w:rPr>
        <w:t xml:space="preserve">当社が本件を実行するにあたっての前提条件は、次のとおりです。</w:t>
      </w:r>
    </w:p>
    <w:p>
      <w:pPr>
        <w:spacing w:after="80" w:line="300"/>
        <w:ind w:left="440" w:hanging="280"/>
      </w:pPr>
      <w:r>
        <w:rPr>
          <w:rFonts w:ascii="Century" w:eastAsia="ＭＳ 明朝" w:hAnsi="Century"/>
          <w:sz w:val="21"/>
          <w:szCs w:val="21"/>
        </w:rPr>
        <w:t xml:space="preserve">① DDにおいて、対象会社の事業、財務、税務、法務に関する重大な不利益事実が発見されないこと。</w:t>
      </w:r>
    </w:p>
    <w:p>
      <w:pPr>
        <w:spacing w:after="80" w:line="300"/>
        <w:ind w:left="440" w:hanging="280"/>
      </w:pPr>
      <w:r>
        <w:rPr>
          <w:rFonts w:ascii="Century" w:eastAsia="ＭＳ 明朝" w:hAnsi="Century"/>
          <w:sz w:val="21"/>
          <w:szCs w:val="21"/>
        </w:rPr>
        <w:t xml:space="preserve">② 岸田周三氏が、クロージング後3年間にわたり、現行と同様の形態（毎日厨房にお立ちいただくこと）で対象会社の業務に従事される旨の契約が締結されること。</w:t>
      </w:r>
    </w:p>
    <w:p>
      <w:pPr>
        <w:spacing w:after="80" w:line="300"/>
        <w:ind w:left="440" w:hanging="280"/>
      </w:pPr>
      <w:r>
        <w:rPr>
          <w:rFonts w:ascii="Century" w:eastAsia="ＭＳ 明朝" w:hAnsi="Century"/>
          <w:sz w:val="21"/>
          <w:szCs w:val="21"/>
        </w:rPr>
        <w:t xml:space="preserve">③ 後継料理長の招聘に関し、岸田氏のご協力を得られることについて、契約上の手当てがなされること。</w:t>
      </w:r>
    </w:p>
    <w:p>
      <w:pPr>
        <w:spacing w:after="80" w:line="300"/>
        <w:ind w:left="440" w:hanging="280"/>
      </w:pPr>
      <w:r>
        <w:rPr>
          <w:rFonts w:ascii="Century" w:eastAsia="ＭＳ 明朝" w:hAnsi="Century"/>
          <w:sz w:val="21"/>
          <w:szCs w:val="21"/>
        </w:rPr>
        <w:t xml:space="preserve">④ 役員貸付金がクロージング時に全額現金にて精算されること。</w:t>
      </w:r>
    </w:p>
    <w:p>
      <w:pPr>
        <w:spacing w:after="80" w:line="300"/>
        <w:ind w:left="440" w:hanging="280"/>
      </w:pPr>
      <w:r>
        <w:rPr>
          <w:rFonts w:ascii="Century" w:eastAsia="ＭＳ 明朝" w:hAnsi="Century"/>
          <w:sz w:val="21"/>
          <w:szCs w:val="21"/>
        </w:rPr>
        <w:t xml:space="preserve">⑤ 店舗賃貸借契約が承継可能であり、支配権の異動が解除事由に該当しないこと。</w:t>
      </w:r>
    </w:p>
    <w:p>
      <w:pPr>
        <w:spacing w:after="80" w:line="300"/>
        <w:ind w:left="440" w:hanging="280"/>
      </w:pPr>
      <w:r>
        <w:rPr>
          <w:rFonts w:ascii="Century" w:eastAsia="ＭＳ 明朝" w:hAnsi="Century"/>
          <w:sz w:val="21"/>
          <w:szCs w:val="21"/>
        </w:rPr>
        <w:t xml:space="preserve">⑥ 主要仕入先との取引関係がクロージング後も継続されること。</w:t>
      </w:r>
    </w:p>
    <w:p>
      <w:pPr>
        <w:spacing w:after="80" w:line="300"/>
        <w:ind w:left="440" w:hanging="280"/>
      </w:pPr>
      <w:r>
        <w:rPr>
          <w:rFonts w:ascii="Century" w:eastAsia="ＭＳ 明朝" w:hAnsi="Century"/>
          <w:sz w:val="21"/>
          <w:szCs w:val="21"/>
        </w:rPr>
        <w:t xml:space="preserve">⑦ 岸田氏との間で、合理的な範囲の競業避止に関する合意が成立すること（同価格帯のガストロノミーの新規開業の制限、および他店舗の監修に関する事前協議を想定しております。過度にご活動を制約する意図はございません）。</w:t>
      </w:r>
    </w:p>
    <w:p>
      <w:pPr>
        <w:spacing w:after="80" w:line="300"/>
        <w:ind w:left="440" w:hanging="280"/>
      </w:pPr>
      <w:r>
        <w:rPr>
          <w:rFonts w:ascii="Century" w:eastAsia="ＭＳ 明朝" w:hAnsi="Century"/>
          <w:sz w:val="21"/>
          <w:szCs w:val="21"/>
        </w:rPr>
        <w:t xml:space="preserve">⑧ 当社の取締役会において、本件の実行に係る承認決議が得られること。</w:t>
      </w:r>
    </w:p>
    <w:p>
      <w:pPr>
        <w:spacing w:after="80" w:line="300"/>
        <w:ind w:left="440" w:hanging="280"/>
      </w:pPr>
      <w:r>
        <w:rPr>
          <w:rFonts w:ascii="Century" w:eastAsia="ＭＳ 明朝" w:hAnsi="Century"/>
          <w:sz w:val="21"/>
          <w:szCs w:val="21"/>
        </w:rPr>
        <w:t xml:space="preserve">⑨ 金融機関から、本件に係る融資の正式な承認が得られること。</w:t>
      </w:r>
    </w:p>
    <w:p>
      <w:pPr>
        <w:spacing w:after="80" w:line="300"/>
        <w:ind w:left="440" w:hanging="280"/>
      </w:pPr>
      <w:r>
        <w:rPr>
          <w:rFonts w:ascii="Century" w:eastAsia="ＭＳ 明朝" w:hAnsi="Century"/>
          <w:sz w:val="21"/>
          <w:szCs w:val="21"/>
        </w:rPr>
        <w:t xml:space="preserve">⑩ 法令上必要となる許認可の承継または再取得、および必要な届出が完了すること。</w:t>
      </w:r>
    </w:p>
    <w:p>
      <w:pPr>
        <w:pBdr>
          <w:bottom w:val="single" w:color="333333" w:sz="6" w:space="4"/>
        </w:pBdr>
        <w:spacing w:after="160" w:before="320" w:line="300"/>
      </w:pPr>
      <w:r>
        <w:rPr>
          <w:rFonts w:ascii="Arial" w:eastAsia="ＭＳ ゴシック" w:hAnsi="Arial"/>
          <w:b/>
          <w:bCs/>
          <w:sz w:val="22"/>
          <w:szCs w:val="22"/>
        </w:rPr>
        <w:t xml:space="preserve">10．最終契約／クロージングまでに必要となるプロセス</w:t>
      </w:r>
    </w:p>
    <w:p>
      <w:pPr>
        <w:spacing w:after="120" w:before="0" w:line="300"/>
      </w:pPr>
      <w:r>
        <w:rPr>
          <w:rFonts w:ascii="Century" w:eastAsia="ＭＳ 明朝" w:hAnsi="Century"/>
          <w:sz w:val="21"/>
          <w:szCs w:val="21"/>
        </w:rPr>
        <w:t xml:space="preserve">本ご案内Ⅰに示された想定スケジュールに沿って進めることが可能です。当社が想定するプロセスは次のとおりです。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100"/>
        <w:gridCol w:w="4700"/>
      </w:tblGrid>
      <w:tr>
        <w:trPr>
          <w:cantSplit/>
        </w:trPr>
        <w:tc>
          <w:tcPr>
            <w:tcW w:type="dxa" w:w="24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プロセス</w:t>
            </w:r>
          </w:p>
        </w:tc>
        <w:tc>
          <w:tcPr>
            <w:tcW w:type="dxa" w:w="21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時期</w:t>
            </w:r>
          </w:p>
        </w:tc>
        <w:tc>
          <w:tcPr>
            <w:tcW w:type="dxa" w:w="47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内容</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マネジメントインタビュー</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岸田周三氏および支配人の方を対象に、半日程度を2回。営業に支障のない時間帯を希望いたします。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DD（財務・税務）</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2026年10月上旬〜11月中旬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外部会計事務所を起用。貴社アドバイザーと独立の事務所を選定いたします。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DD（法務）</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2026年10月上旬〜11月中旬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外部法律事務所を起用。契約関係、労務、許認可、係争の有無を確認いたします。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DD（ビジネス）</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2026年10月上旬〜10月下旬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当社内部にて実施。ワイン在庫の時価評価を含みます。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現地視察</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2026年10月中</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1〜2回。営業時間外を希望いたします。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最終契約交渉</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2026年11月上旬〜11月下旬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最終契約締結</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2026年11月下旬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当社取締役会決議を経て締結いたします。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クロージング</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2026年11月末</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w:t>
            </w:r>
          </w:p>
        </w:tc>
      </w:tr>
    </w:tbl>
    <w:p>
      <w:pPr>
        <w:spacing w:after="140"/>
      </w:pPr>
    </w:p>
    <w:p>
      <w:pPr>
        <w:spacing w:after="100" w:before="200" w:line="300"/>
      </w:pPr>
      <w:r>
        <w:rPr>
          <w:rFonts w:ascii="Arial" w:eastAsia="ＭＳ ゴシック" w:hAnsi="Arial"/>
          <w:b/>
          <w:bCs/>
          <w:sz w:val="21"/>
          <w:szCs w:val="21"/>
        </w:rPr>
        <w:t xml:space="preserve">最終契約締結の前提として確認を要すると考えるリスク</w:t>
      </w:r>
    </w:p>
    <w:p>
      <w:pPr>
        <w:spacing w:after="80" w:line="300"/>
        <w:ind w:left="440" w:hanging="280"/>
      </w:pPr>
      <w:r>
        <w:rPr>
          <w:rFonts w:ascii="Century" w:eastAsia="ＭＳ 明朝" w:hAnsi="Century"/>
          <w:sz w:val="21"/>
          <w:szCs w:val="21"/>
        </w:rPr>
        <w:t xml:space="preserve">① 岸田氏のご関与形態：3年間の従事の内容（勤務日数、厨房への関与の程度）と、3年経過後のご意向。</w:t>
      </w:r>
    </w:p>
    <w:p>
      <w:pPr>
        <w:spacing w:after="80" w:line="300"/>
        <w:ind w:left="440" w:hanging="280"/>
      </w:pPr>
      <w:r>
        <w:rPr>
          <w:rFonts w:ascii="Century" w:eastAsia="ＭＳ 明朝" w:hAnsi="Century"/>
          <w:sz w:val="21"/>
          <w:szCs w:val="21"/>
        </w:rPr>
        <w:t xml:space="preserve">② 後継者：現在ご在籍の方および卒業生の中から後継料理長を得られる見込みと、その具体的な手順。</w:t>
      </w:r>
    </w:p>
    <w:p>
      <w:pPr>
        <w:spacing w:after="80" w:line="300"/>
        <w:ind w:left="440" w:hanging="280"/>
      </w:pPr>
      <w:r>
        <w:rPr>
          <w:rFonts w:ascii="Century" w:eastAsia="ＭＳ 明朝" w:hAnsi="Century"/>
          <w:sz w:val="21"/>
          <w:szCs w:val="21"/>
        </w:rPr>
        <w:t xml:space="preserve">③ ミシュランの評価：評価が店舗と岸田氏個人のいずれに帰属するものと考えられるか。評価が変動した場合の収益への影響。</w:t>
      </w:r>
    </w:p>
    <w:p>
      <w:pPr>
        <w:spacing w:after="80" w:line="300"/>
        <w:ind w:left="440" w:hanging="280"/>
      </w:pPr>
      <w:r>
        <w:rPr>
          <w:rFonts w:ascii="Century" w:eastAsia="ＭＳ 明朝" w:hAnsi="Century"/>
          <w:sz w:val="21"/>
          <w:szCs w:val="21"/>
        </w:rPr>
        <w:t xml:space="preserve">④ 仕入先からの配分：希少銘柄の配分が、対象会社と岸田氏個人のいずれに帰属するものか。その根拠となる契約の有無。</w:t>
      </w:r>
    </w:p>
    <w:p>
      <w:pPr>
        <w:spacing w:after="80" w:line="300"/>
        <w:ind w:left="440" w:hanging="280"/>
      </w:pPr>
      <w:r>
        <w:rPr>
          <w:rFonts w:ascii="Century" w:eastAsia="ＭＳ 明朝" w:hAnsi="Century"/>
          <w:sz w:val="21"/>
          <w:szCs w:val="21"/>
        </w:rPr>
        <w:t xml:space="preserve">⑤ 店舗賃貸借契約：残存期間、更新条件、支配権異動に関する条項。</w:t>
      </w:r>
    </w:p>
    <w:p>
      <w:pPr>
        <w:spacing w:after="80" w:line="300"/>
        <w:ind w:left="440" w:hanging="280"/>
      </w:pPr>
      <w:r>
        <w:rPr>
          <w:rFonts w:ascii="Century" w:eastAsia="ＭＳ 明朝" w:hAnsi="Century"/>
          <w:sz w:val="21"/>
          <w:szCs w:val="21"/>
        </w:rPr>
        <w:t xml:space="preserve">⑥ 役員貸付金：精算の方法および時期。</w:t>
      </w:r>
    </w:p>
    <w:p>
      <w:pPr>
        <w:spacing w:after="80" w:line="300"/>
        <w:ind w:left="440" w:hanging="280"/>
      </w:pPr>
      <w:r>
        <w:rPr>
          <w:rFonts w:ascii="Century" w:eastAsia="ＭＳ 明朝" w:hAnsi="Century"/>
          <w:sz w:val="21"/>
          <w:szCs w:val="21"/>
        </w:rPr>
        <w:t xml:space="preserve">⑦ 株式会社BISとの関係：本件の対象外とされる理由、および岸田氏の監修業務と競業避止との関係。</w:t>
      </w:r>
    </w:p>
    <w:p>
      <w:pPr>
        <w:spacing w:after="80" w:line="300"/>
        <w:ind w:left="440" w:hanging="280"/>
      </w:pPr>
      <w:r>
        <w:rPr>
          <w:rFonts w:ascii="Century" w:eastAsia="ＭＳ 明朝" w:hAnsi="Century"/>
          <w:sz w:val="21"/>
          <w:szCs w:val="21"/>
        </w:rPr>
        <w:t xml:space="preserve">⑧ 許認可：飲食店営業許可等の承継可否。</w:t>
      </w:r>
    </w:p>
    <w:p>
      <w:pPr>
        <w:pBdr>
          <w:bottom w:val="single" w:color="333333" w:sz="6" w:space="4"/>
        </w:pBdr>
        <w:spacing w:after="160" w:before="320" w:line="300"/>
      </w:pPr>
      <w:r>
        <w:rPr>
          <w:rFonts w:ascii="Arial" w:eastAsia="ＭＳ ゴシック" w:hAnsi="Arial"/>
          <w:b/>
          <w:bCs/>
          <w:sz w:val="22"/>
          <w:szCs w:val="22"/>
        </w:rPr>
        <w:t xml:space="preserve">11．今後の意思決定プロセス</w:t>
      </w:r>
    </w:p>
    <w:p>
      <w:pPr>
        <w:spacing w:after="100" w:before="200" w:line="300"/>
      </w:pPr>
      <w:r>
        <w:rPr>
          <w:rFonts w:ascii="Arial" w:eastAsia="ＭＳ ゴシック" w:hAnsi="Arial"/>
          <w:b/>
          <w:bCs/>
          <w:sz w:val="21"/>
          <w:szCs w:val="21"/>
        </w:rPr>
        <w:t xml:space="preserve">(1) 本書の提出までに行われた意思決定</w:t>
      </w:r>
    </w:p>
    <w:p>
      <w:pPr>
        <w:spacing w:after="120" w:before="0" w:line="300"/>
      </w:pPr>
      <w:r>
        <w:rPr>
          <w:rFonts w:ascii="Century" w:eastAsia="ＭＳ 明朝" w:hAnsi="Century"/>
          <w:color w:val="595959"/>
          <w:sz w:val="21"/>
          <w:szCs w:val="21"/>
        </w:rPr>
        <w:t xml:space="preserve">【要ご記入：本書提出に係る社内手続をご記載ください。例：2026年●月●日開催の取締役会において、本件の検討およびDDの実施について決議しております。】</w:t>
      </w:r>
    </w:p>
    <w:p>
      <w:pPr>
        <w:spacing w:after="100" w:before="200" w:line="300"/>
      </w:pPr>
      <w:r>
        <w:rPr>
          <w:rFonts w:ascii="Arial" w:eastAsia="ＭＳ ゴシック" w:hAnsi="Arial"/>
          <w:b/>
          <w:bCs/>
          <w:sz w:val="21"/>
          <w:szCs w:val="21"/>
        </w:rPr>
        <w:t xml:space="preserve">(2) 今後必要となる意思決定</w:t>
      </w:r>
    </w:p>
    <w:p>
      <w:pPr>
        <w:spacing w:after="80" w:line="300"/>
        <w:ind w:left="440" w:hanging="280"/>
      </w:pPr>
      <w:r>
        <w:rPr>
          <w:rFonts w:ascii="Century" w:eastAsia="ＭＳ 明朝" w:hAnsi="Century"/>
          <w:sz w:val="21"/>
          <w:szCs w:val="21"/>
        </w:rPr>
        <w:t xml:space="preserve">① DD結果を踏まえた最終契約の締結について、当社取締役会の決議を要します（2026年11月下旬を予定）。</w:t>
      </w:r>
    </w:p>
    <w:p>
      <w:pPr>
        <w:spacing w:after="80" w:line="300"/>
        <w:ind w:left="440" w:hanging="280"/>
      </w:pPr>
      <w:r>
        <w:rPr>
          <w:rFonts w:ascii="Century" w:eastAsia="ＭＳ 明朝" w:hAnsi="Century"/>
          <w:sz w:val="21"/>
          <w:szCs w:val="21"/>
        </w:rPr>
        <w:t xml:space="preserve">② 本件の資金調達に係る増資について、当社の株主総会または取締役会の決議を要します。</w:t>
      </w:r>
    </w:p>
    <w:p>
      <w:pPr>
        <w:spacing w:after="80" w:line="300"/>
        <w:ind w:left="440" w:hanging="280"/>
      </w:pPr>
      <w:r>
        <w:rPr>
          <w:rFonts w:ascii="Century" w:eastAsia="ＭＳ 明朝" w:hAnsi="Century"/>
          <w:sz w:val="21"/>
          <w:szCs w:val="21"/>
        </w:rPr>
        <w:t xml:space="preserve">③ 金融機関における与信審査および正式な承認を要します。</w:t>
      </w:r>
    </w:p>
    <w:p>
      <w:pPr>
        <w:spacing w:after="60"/>
      </w:pPr>
    </w:p>
    <w:p>
      <w:pPr>
        <w:spacing w:after="120" w:before="0" w:line="300"/>
      </w:pPr>
      <w:r>
        <w:rPr>
          <w:rFonts w:ascii="Century" w:eastAsia="ＭＳ 明朝" w:hAnsi="Century"/>
          <w:sz w:val="21"/>
          <w:szCs w:val="21"/>
        </w:rPr>
        <w:t xml:space="preserve">いずれの手続についても、本ご案内に示されたスケジュールに支障が生じないよう進行させる所存です。</w:t>
      </w:r>
    </w:p>
    <w:p>
      <w:pPr>
        <w:pBdr>
          <w:bottom w:val="single" w:color="333333" w:sz="6" w:space="4"/>
        </w:pBdr>
        <w:spacing w:after="160" w:before="320" w:line="300"/>
      </w:pPr>
      <w:r>
        <w:rPr>
          <w:rFonts w:ascii="Arial" w:eastAsia="ＭＳ ゴシック" w:hAnsi="Arial"/>
          <w:b/>
          <w:bCs/>
          <w:sz w:val="22"/>
          <w:szCs w:val="22"/>
        </w:rPr>
        <w:t xml:space="preserve">12．当社の情報（本件取引の取組体制）</w:t>
      </w:r>
    </w:p>
    <w:p>
      <w:pPr>
        <w:spacing w:after="100" w:before="200" w:line="300"/>
      </w:pPr>
      <w:r>
        <w:rPr>
          <w:rFonts w:ascii="Arial" w:eastAsia="ＭＳ ゴシック" w:hAnsi="Arial"/>
          <w:b/>
          <w:bCs/>
          <w:sz w:val="21"/>
          <w:szCs w:val="21"/>
        </w:rPr>
        <w:t xml:space="preserve">(1) 当社の担当者</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000"/>
        <w:gridCol w:w="1800"/>
        <w:gridCol w:w="1900"/>
        <w:gridCol w:w="2000"/>
      </w:tblGrid>
      <w:tr>
        <w:trPr>
          <w:cantSplit/>
        </w:trPr>
        <w:tc>
          <w:tcPr>
            <w:tcW w:type="dxa" w:w="15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氏名</w:t>
            </w:r>
          </w:p>
        </w:tc>
        <w:tc>
          <w:tcPr>
            <w:tcW w:type="dxa" w:w="2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所属・役職</w:t>
            </w:r>
          </w:p>
        </w:tc>
        <w:tc>
          <w:tcPr>
            <w:tcW w:type="dxa" w:w="18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所在地</w:t>
            </w:r>
          </w:p>
        </w:tc>
        <w:tc>
          <w:tcPr>
            <w:tcW w:type="dxa" w:w="19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電話番号</w:t>
            </w:r>
          </w:p>
        </w:tc>
        <w:tc>
          <w:tcPr>
            <w:tcW w:type="dxa" w:w="2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E-mail</w:t>
            </w:r>
          </w:p>
        </w:tc>
      </w:tr>
      <w:tr>
        <w:trPr>
          <w:cantSplit/>
        </w:trPr>
        <w:tc>
          <w:tcPr>
            <w:tcW w:type="dxa" w:w="1500"/>
            <w:tcMar>
              <w:top w:type="dxa" w:w="70"/>
              <w:left w:type="dxa" w:w="110"/>
              <w:bottom w:type="dxa" w:w="70"/>
              <w:right w:type="dxa" w:w="110"/>
            </w:tcMar>
          </w:tcPr>
          <w:p>
            <w:pPr>
              <w:spacing w:after="0" w:line="280"/>
              <w:jc w:val="left"/>
            </w:pPr>
            <w:r>
              <w:rPr>
                <w:rFonts w:ascii="Century" w:eastAsia="ＭＳ 明朝" w:hAnsi="Century"/>
                <w:sz w:val="19"/>
                <w:szCs w:val="19"/>
              </w:rPr>
              <w:t xml:space="preserve">中野　邦人</w:t>
            </w:r>
          </w:p>
        </w:tc>
        <w:tc>
          <w:tcPr>
            <w:tcW w:type="dxa" w:w="2000"/>
            <w:tcMar>
              <w:top w:type="dxa" w:w="70"/>
              <w:left w:type="dxa" w:w="110"/>
              <w:bottom w:type="dxa" w:w="70"/>
              <w:right w:type="dxa" w:w="110"/>
            </w:tcMar>
          </w:tcPr>
          <w:p>
            <w:pPr>
              <w:spacing w:after="0" w:line="280"/>
              <w:jc w:val="left"/>
            </w:pPr>
            <w:r>
              <w:rPr>
                <w:rFonts w:ascii="Century" w:eastAsia="ＭＳ 明朝" w:hAnsi="Century"/>
                <w:sz w:val="19"/>
                <w:szCs w:val="19"/>
              </w:rPr>
              <w:t xml:space="preserve">代表取締役</w:t>
            </w:r>
          </w:p>
        </w:tc>
        <w:tc>
          <w:tcPr>
            <w:tcW w:type="dxa" w:w="1800"/>
            <w:tcMar>
              <w:top w:type="dxa" w:w="70"/>
              <w:left w:type="dxa" w:w="110"/>
              <w:bottom w:type="dxa" w:w="70"/>
              <w:right w:type="dxa" w:w="110"/>
            </w:tcMar>
          </w:tcPr>
          <w:p>
            <w:pPr>
              <w:spacing w:after="0" w:line="280"/>
              <w:jc w:val="left"/>
            </w:pPr>
            <w:r>
              <w:rPr>
                <w:rFonts w:ascii="Century" w:eastAsia="ＭＳ 明朝" w:hAnsi="Century"/>
                <w:sz w:val="19"/>
                <w:szCs w:val="19"/>
              </w:rPr>
              <w:t xml:space="preserve">本社</w:t>
            </w:r>
          </w:p>
        </w:tc>
        <w:tc>
          <w:tcPr>
            <w:tcW w:type="dxa" w:w="1900"/>
            <w:tcMar>
              <w:top w:type="dxa" w:w="70"/>
              <w:left w:type="dxa" w:w="110"/>
              <w:bottom w:type="dxa" w:w="70"/>
              <w:right w:type="dxa" w:w="110"/>
            </w:tcMar>
          </w:tcPr>
          <w:p>
            <w:pPr>
              <w:spacing w:after="0" w:line="280"/>
              <w:jc w:val="left"/>
            </w:pPr>
            <w:r>
              <w:rPr>
                <w:rFonts w:ascii="Century" w:eastAsia="ＭＳ 明朝" w:hAnsi="Century"/>
                <w:sz w:val="19"/>
                <w:szCs w:val="19"/>
              </w:rPr>
              <w:t xml:space="preserve">03-6416-9370</w:t>
            </w:r>
          </w:p>
        </w:tc>
        <w:tc>
          <w:tcPr>
            <w:tcW w:type="dxa" w:w="2000"/>
            <w:tcMar>
              <w:top w:type="dxa" w:w="70"/>
              <w:left w:type="dxa" w:w="110"/>
              <w:bottom w:type="dxa" w:w="70"/>
              <w:right w:type="dxa" w:w="110"/>
            </w:tcMar>
          </w:tcPr>
          <w:p>
            <w:pPr>
              <w:spacing w:after="0" w:line="280"/>
              <w:jc w:val="left"/>
            </w:pPr>
            <w:r>
              <w:rPr>
                <w:rFonts w:ascii="Century" w:eastAsia="ＭＳ 明朝" w:hAnsi="Century"/>
                <w:sz w:val="19"/>
                <w:szCs w:val="19"/>
              </w:rPr>
              <w:t xml:space="preserve">nakano@wine-bank.co.jp</w:t>
            </w:r>
          </w:p>
        </w:tc>
      </w:tr>
      <w:tr>
        <w:trPr>
          <w:cantSplit/>
        </w:trPr>
        <w:tc>
          <w:tcPr>
            <w:tcW w:type="dxa" w:w="1500"/>
            <w:tcMar>
              <w:top w:type="dxa" w:w="70"/>
              <w:left w:type="dxa" w:w="110"/>
              <w:bottom w:type="dxa" w:w="70"/>
              <w:right w:type="dxa" w:w="110"/>
            </w:tcMar>
          </w:tcPr>
          <w:p>
            <w:pPr>
              <w:spacing w:after="0" w:line="280"/>
              <w:jc w:val="left"/>
            </w:pPr>
            <w:r>
              <w:rPr>
                <w:rFonts w:ascii="Century" w:eastAsia="ＭＳ 明朝" w:hAnsi="Century"/>
                <w:sz w:val="19"/>
                <w:szCs w:val="19"/>
              </w:rPr>
              <w:t xml:space="preserve">疋田　一久</w:t>
            </w:r>
          </w:p>
        </w:tc>
        <w:tc>
          <w:tcPr>
            <w:tcW w:type="dxa" w:w="20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【要ご記入：役職】</w:t>
            </w:r>
          </w:p>
        </w:tc>
        <w:tc>
          <w:tcPr>
            <w:tcW w:type="dxa" w:w="1800"/>
            <w:tcMar>
              <w:top w:type="dxa" w:w="70"/>
              <w:left w:type="dxa" w:w="110"/>
              <w:bottom w:type="dxa" w:w="70"/>
              <w:right w:type="dxa" w:w="110"/>
            </w:tcMar>
          </w:tcPr>
          <w:p>
            <w:pPr>
              <w:spacing w:after="0" w:line="280"/>
              <w:jc w:val="left"/>
            </w:pPr>
            <w:r>
              <w:rPr>
                <w:rFonts w:ascii="Century" w:eastAsia="ＭＳ 明朝" w:hAnsi="Century"/>
                <w:sz w:val="19"/>
                <w:szCs w:val="19"/>
              </w:rPr>
              <w:t xml:space="preserve">本社</w:t>
            </w:r>
          </w:p>
        </w:tc>
        <w:tc>
          <w:tcPr>
            <w:tcW w:type="dxa" w:w="1900"/>
            <w:tcMar>
              <w:top w:type="dxa" w:w="70"/>
              <w:left w:type="dxa" w:w="110"/>
              <w:bottom w:type="dxa" w:w="70"/>
              <w:right w:type="dxa" w:w="110"/>
            </w:tcMar>
          </w:tcPr>
          <w:p>
            <w:pPr>
              <w:spacing w:after="0" w:line="280"/>
              <w:jc w:val="left"/>
            </w:pPr>
            <w:r>
              <w:rPr>
                <w:rFonts w:ascii="Century" w:eastAsia="ＭＳ 明朝" w:hAnsi="Century"/>
                <w:sz w:val="19"/>
                <w:szCs w:val="19"/>
              </w:rPr>
              <w:t xml:space="preserve">03-6416-9370</w:t>
            </w:r>
          </w:p>
        </w:tc>
        <w:tc>
          <w:tcPr>
            <w:tcW w:type="dxa" w:w="2000"/>
            <w:tcMar>
              <w:top w:type="dxa" w:w="70"/>
              <w:left w:type="dxa" w:w="110"/>
              <w:bottom w:type="dxa" w:w="70"/>
              <w:right w:type="dxa" w:w="110"/>
            </w:tcMar>
          </w:tcPr>
          <w:p>
            <w:pPr>
              <w:spacing w:after="0" w:line="280"/>
              <w:jc w:val="left"/>
            </w:pPr>
            <w:r>
              <w:rPr>
                <w:rFonts w:ascii="Century" w:eastAsia="ＭＳ 明朝" w:hAnsi="Century"/>
                <w:sz w:val="19"/>
                <w:szCs w:val="19"/>
              </w:rPr>
              <w:t xml:space="preserve">kazuhisa-hikita@wine-bank.co.jp</w:t>
            </w:r>
          </w:p>
        </w:tc>
      </w:tr>
    </w:tbl>
    <w:p>
      <w:pPr>
        <w:spacing w:after="120"/>
      </w:pPr>
    </w:p>
    <w:p>
      <w:pPr>
        <w:spacing w:after="100" w:before="200" w:line="300"/>
      </w:pPr>
      <w:r>
        <w:rPr>
          <w:rFonts w:ascii="Arial" w:eastAsia="ＭＳ ゴシック" w:hAnsi="Arial"/>
          <w:b/>
          <w:bCs/>
          <w:sz w:val="21"/>
          <w:szCs w:val="21"/>
        </w:rPr>
        <w:t xml:space="preserve">(2) 起用を予定している外部専門家</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600"/>
        <w:gridCol w:w="2200"/>
        <w:gridCol w:w="2200"/>
      </w:tblGrid>
      <w:tr>
        <w:trPr>
          <w:cantSplit/>
        </w:trPr>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区分</w:t>
            </w:r>
          </w:p>
        </w:tc>
        <w:tc>
          <w:tcPr>
            <w:tcW w:type="dxa" w:w="26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事務所名</w:t>
            </w:r>
          </w:p>
        </w:tc>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担当者</w:t>
            </w:r>
          </w:p>
        </w:tc>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連絡先</w:t>
            </w:r>
          </w:p>
        </w:tc>
      </w:tr>
      <w:tr>
        <w:trPr>
          <w:cantSplit/>
        </w:trPr>
        <w:tc>
          <w:tcPr>
            <w:tcW w:type="dxa" w:w="2200"/>
            <w:tcMar>
              <w:top w:type="dxa" w:w="70"/>
              <w:left w:type="dxa" w:w="110"/>
              <w:bottom w:type="dxa" w:w="70"/>
              <w:right w:type="dxa" w:w="110"/>
            </w:tcMar>
          </w:tcPr>
          <w:p>
            <w:pPr>
              <w:spacing w:after="0" w:line="280"/>
              <w:jc w:val="left"/>
            </w:pPr>
            <w:r>
              <w:rPr>
                <w:rFonts w:ascii="Century" w:eastAsia="ＭＳ 明朝" w:hAnsi="Century"/>
                <w:sz w:val="19"/>
                <w:szCs w:val="19"/>
              </w:rPr>
              <w:t xml:space="preserve">財務・税務DD</w:t>
            </w:r>
          </w:p>
        </w:tc>
        <w:tc>
          <w:tcPr>
            <w:tcW w:type="dxa" w:w="26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r>
      <w:tr>
        <w:trPr>
          <w:cantSplit/>
        </w:trPr>
        <w:tc>
          <w:tcPr>
            <w:tcW w:type="dxa" w:w="2200"/>
            <w:tcMar>
              <w:top w:type="dxa" w:w="70"/>
              <w:left w:type="dxa" w:w="110"/>
              <w:bottom w:type="dxa" w:w="70"/>
              <w:right w:type="dxa" w:w="110"/>
            </w:tcMar>
          </w:tcPr>
          <w:p>
            <w:pPr>
              <w:spacing w:after="0" w:line="280"/>
              <w:jc w:val="left"/>
            </w:pPr>
            <w:r>
              <w:rPr>
                <w:rFonts w:ascii="Century" w:eastAsia="ＭＳ 明朝" w:hAnsi="Century"/>
                <w:sz w:val="19"/>
                <w:szCs w:val="19"/>
              </w:rPr>
              <w:t xml:space="preserve">法務DD</w:t>
            </w:r>
          </w:p>
        </w:tc>
        <w:tc>
          <w:tcPr>
            <w:tcW w:type="dxa" w:w="26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r>
    </w:tbl>
    <w:p>
      <w:pPr>
        <w:spacing w:after="80"/>
      </w:pPr>
    </w:p>
    <w:p>
      <w:pPr>
        <w:spacing w:after="120" w:before="0" w:line="300"/>
      </w:pPr>
      <w:r>
        <w:rPr>
          <w:rFonts w:ascii="Century" w:eastAsia="ＭＳ 明朝" w:hAnsi="Century"/>
          <w:color w:val="595959"/>
          <w:sz w:val="19"/>
          <w:szCs w:val="19"/>
        </w:rPr>
        <w:t xml:space="preserve">※　外部専門家につきましては、貴社アドバイザーと独立の事務所を選定しております。確定次第、速やかにご連絡申し上げます。</w:t>
      </w:r>
    </w:p>
    <w:p>
      <w:pPr>
        <w:pBdr>
          <w:bottom w:val="single" w:color="333333" w:sz="6" w:space="4"/>
        </w:pBdr>
        <w:spacing w:after="160" w:before="320" w:line="300"/>
      </w:pPr>
      <w:r>
        <w:rPr>
          <w:rFonts w:ascii="Arial" w:eastAsia="ＭＳ ゴシック" w:hAnsi="Arial"/>
          <w:b/>
          <w:bCs/>
          <w:sz w:val="22"/>
          <w:szCs w:val="22"/>
        </w:rPr>
        <w:t xml:space="preserve">13．その他ご提案またはご要望事項</w:t>
      </w:r>
    </w:p>
    <w:p>
      <w:pPr>
        <w:spacing w:after="100" w:before="200" w:line="300"/>
      </w:pPr>
      <w:r>
        <w:rPr>
          <w:rFonts w:ascii="Arial" w:eastAsia="ＭＳ ゴシック" w:hAnsi="Arial"/>
          <w:b/>
          <w:bCs/>
          <w:sz w:val="21"/>
          <w:szCs w:val="21"/>
        </w:rPr>
        <w:t xml:space="preserve">(1) 当社の実績 ― 株式会社アピシウスの承継</w:t>
      </w:r>
    </w:p>
    <w:p>
      <w:pPr>
        <w:spacing w:after="120" w:before="0" w:line="300"/>
      </w:pPr>
      <w:r>
        <w:rPr>
          <w:rFonts w:ascii="Century" w:eastAsia="ＭＳ 明朝" w:hAnsi="Century"/>
          <w:sz w:val="21"/>
          <w:szCs w:val="21"/>
        </w:rPr>
        <w:t xml:space="preserve">当社は、2024年6月に、東京・有楽町の高級フレンチレストランを運営する株式会社アピシウスを取得いたしました。同社は創業から40年を超える老舗でしたが、39年間にわたり赤字が続き、40年目にようやく黒字化したという状況にございました。</w:t>
      </w:r>
    </w:p>
    <w:p>
      <w:pPr>
        <w:spacing w:after="100" w:before="0" w:line="300"/>
      </w:pPr>
      <w:r>
        <w:rPr>
          <w:rFonts w:ascii="Century" w:eastAsia="ＭＳ 明朝" w:hAnsi="Century"/>
          <w:sz w:val="21"/>
          <w:szCs w:val="21"/>
        </w:rPr>
        <w:t xml:space="preserve">取得から2年が経過した現在、同社の状況は次のとおりです。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600"/>
      </w:tblGrid>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売上高</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取得前比 30%増</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利益</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取得前比 250%超の増加</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幹部メンバー</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全員が継続して勤務。経営陣の入替えは行っておりません。</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労働環境</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サービス残業を撤廃。12月の繁忙期を除き、残業そのものが発生しない体制を構築いたしました。</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店舗</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店内の一部改装・修繕を実施。業態および客層は変更しておりません。</w:t>
            </w:r>
          </w:p>
        </w:tc>
      </w:tr>
    </w:tbl>
    <w:p>
      <w:pPr>
        <w:spacing w:after="120"/>
      </w:pPr>
    </w:p>
    <w:p>
      <w:pPr>
        <w:spacing w:after="120" w:before="0" w:line="300"/>
      </w:pPr>
      <w:r>
        <w:rPr>
          <w:rFonts w:ascii="Century" w:eastAsia="ＭＳ 明朝" w:hAnsi="Century"/>
          <w:sz w:val="21"/>
          <w:szCs w:val="21"/>
        </w:rPr>
        <w:t xml:space="preserve">当社がこの実績を通じて申し上げたいのは、収益改善の手法ではございません。「高級レストランは、引き継いでも壊れない」ということです。</w:t>
      </w:r>
    </w:p>
    <w:p>
      <w:pPr>
        <w:spacing w:after="120" w:before="0" w:line="300"/>
      </w:pPr>
      <w:r>
        <w:rPr>
          <w:rFonts w:ascii="Century" w:eastAsia="ＭＳ 明朝" w:hAnsi="Century"/>
          <w:sz w:val="21"/>
          <w:szCs w:val="21"/>
        </w:rPr>
        <w:t xml:space="preserve">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22名の皆様に対して、当社はこの実績をもってご説明申し上げることができます。</w:t>
      </w:r>
    </w:p>
    <w:p>
      <w:pPr>
        <w:spacing w:after="160" w:before="0" w:line="300"/>
      </w:pPr>
      <w:r>
        <w:rPr>
          <w:rFonts w:ascii="Century" w:eastAsia="ＭＳ 明朝" w:hAnsi="Century"/>
          <w:sz w:val="21"/>
          <w:szCs w:val="21"/>
        </w:rPr>
        <w:t xml:space="preserve">なお、対象会社は既に高い収益性を実現されており、当社が申し上げているのは再建ではございません。必要なのは承継であり、当社は、高級レストランを実際に承継した経験を有する買主として本件に臨んでおります。</w:t>
      </w:r>
    </w:p>
    <w:p>
      <w:pPr>
        <w:spacing w:after="100" w:before="200" w:line="300"/>
      </w:pPr>
      <w:r>
        <w:rPr>
          <w:rFonts w:ascii="Arial" w:eastAsia="ＭＳ ゴシック" w:hAnsi="Arial"/>
          <w:b/>
          <w:bCs/>
          <w:sz w:val="21"/>
          <w:szCs w:val="21"/>
        </w:rPr>
        <w:t xml:space="preserve">(2) 当社をご選定いただきたい理由</w:t>
      </w:r>
    </w:p>
    <w:p>
      <w:pPr>
        <w:spacing w:after="120" w:before="0" w:line="300"/>
      </w:pPr>
      <w:r>
        <w:rPr>
          <w:rFonts w:ascii="Century" w:eastAsia="ＭＳ 明朝" w:hAnsi="Century"/>
          <w:sz w:val="21"/>
          <w:szCs w:val="21"/>
        </w:rPr>
        <w:t xml:space="preserve">本ご案内および貴社からのご回答において、後継となる料理長の招聘が本件の重要な論点とされていることを承知しております。これは、価格の多寡によって解決される性質の課題ではないと当社は考えております。</w:t>
      </w:r>
    </w:p>
    <w:p>
      <w:pPr>
        <w:spacing w:after="120" w:before="0" w:line="300"/>
      </w:pPr>
      <w:r>
        <w:rPr>
          <w:rFonts w:ascii="Century" w:eastAsia="ＭＳ 明朝" w:hAnsi="Century"/>
          <w:sz w:val="21"/>
          <w:szCs w:val="21"/>
        </w:rPr>
        <w:t xml:space="preserve">当社は、ティエリー・マルクス氏との協業をはじめとするシェフネットワークを有しており、この課題に対して具体的な手段をご提供できる数少ない買主であると考えております。また、当社は高級ワインを本業とする事業者として、対象会社が築いてこられた仕入先との関係の価値を正しく理解し、これを損なうことなく維持する立場にあります。</w:t>
      </w:r>
    </w:p>
    <w:p>
      <w:pPr>
        <w:spacing w:after="120" w:before="0" w:line="300"/>
      </w:pPr>
      <w:r>
        <w:rPr>
          <w:rFonts w:ascii="Century" w:eastAsia="ＭＳ 明朝" w:hAnsi="Century"/>
          <w:sz w:val="21"/>
          <w:szCs w:val="21"/>
        </w:rPr>
        <w:t xml:space="preserve">当社は、対象会社を短期的な収益機会として取得するものではありません。三つ星を維持し、岸田氏が築かれたものを次の世代へ引き継ぐことを、本件の目的そのものとして位置づけております。</w:t>
      </w:r>
    </w:p>
    <w:p>
      <w:pPr>
        <w:spacing w:after="100" w:before="200" w:line="300"/>
      </w:pPr>
      <w:r>
        <w:rPr>
          <w:rFonts w:ascii="Arial" w:eastAsia="ＭＳ ゴシック" w:hAnsi="Arial"/>
          <w:b/>
          <w:bCs/>
          <w:sz w:val="21"/>
          <w:szCs w:val="21"/>
        </w:rPr>
        <w:t xml:space="preserve">(3) ご要望事項</w:t>
      </w:r>
    </w:p>
    <w:p>
      <w:pPr>
        <w:spacing w:after="80" w:line="300"/>
        <w:ind w:left="440" w:hanging="280"/>
      </w:pPr>
      <w:r>
        <w:rPr>
          <w:rFonts w:ascii="Century" w:eastAsia="ＭＳ 明朝" w:hAnsi="Century"/>
          <w:sz w:val="21"/>
          <w:szCs w:val="21"/>
        </w:rPr>
        <w:t xml:space="preserve">① 本ご案内Ⅳ-5に関し、本書8項に記載のとおり、資金調達に係る協議についての書面によるご承諾を賜りたくお願い申し上げます。</w:t>
      </w:r>
    </w:p>
    <w:p>
      <w:pPr>
        <w:spacing w:after="80" w:line="300"/>
        <w:ind w:left="440" w:hanging="280"/>
      </w:pPr>
      <w:r>
        <w:rPr>
          <w:rFonts w:ascii="Century" w:eastAsia="ＭＳ 明朝" w:hAnsi="Century"/>
          <w:sz w:val="21"/>
          <w:szCs w:val="21"/>
        </w:rPr>
        <w:t xml:space="preserve">② DDの過程において、主要仕入先との取引条件および店舗賃貸借契約に関する資料をご開示いただきたく存じます。</w:t>
      </w:r>
    </w:p>
    <w:p>
      <w:pPr>
        <w:spacing w:after="80" w:line="300"/>
        <w:ind w:left="440" w:hanging="280"/>
      </w:pPr>
      <w:r>
        <w:rPr>
          <w:rFonts w:ascii="Century" w:eastAsia="ＭＳ 明朝" w:hAnsi="Century"/>
          <w:sz w:val="21"/>
          <w:szCs w:val="21"/>
        </w:rPr>
        <w:t xml:space="preserve">③ 岸田氏との面談の機会を頂戴できますと幸いです。ご関与の形態および後継者に関するお考えを直接伺いたく存じます。</w:t>
      </w:r>
    </w:p>
    <w:p>
      <w:pPr>
        <w:spacing w:after="80" w:line="300"/>
        <w:ind w:left="440" w:hanging="280"/>
      </w:pPr>
      <w:r>
        <w:rPr>
          <w:rFonts w:ascii="Century" w:eastAsia="ＭＳ 明朝" w:hAnsi="Century"/>
          <w:sz w:val="21"/>
          <w:szCs w:val="21"/>
        </w:rPr>
        <w:t xml:space="preserve">④ 当社がDDに進む場合には、一定期間の独占交渉権を賜りたくお願い申し上げます。当社の検討体制および費用負担に鑑み、ご高配を賜れますと幸いです。</w:t>
      </w:r>
    </w:p>
    <w:p>
      <w:pPr>
        <w:spacing w:after="100" w:before="200" w:line="300"/>
      </w:pPr>
      <w:r>
        <w:rPr>
          <w:rFonts w:ascii="Arial" w:eastAsia="ＭＳ ゴシック" w:hAnsi="Arial"/>
          <w:b/>
          <w:bCs/>
          <w:sz w:val="21"/>
          <w:szCs w:val="21"/>
        </w:rPr>
        <w:t xml:space="preserve">(4) 本書の位置づけ</w:t>
      </w:r>
    </w:p>
    <w:p>
      <w:pPr>
        <w:spacing w:after="200" w:before="0" w:line="300"/>
      </w:pPr>
      <w:r>
        <w:rPr>
          <w:rFonts w:ascii="Century" w:eastAsia="ＭＳ 明朝" w:hAnsi="Century"/>
          <w:sz w:val="21"/>
          <w:szCs w:val="21"/>
        </w:rPr>
        <w:t xml:space="preserve">本書は、本ご案内Ⅰに定めるとおり法的拘束力を有しません。本書に記載した内容は、本書提出時点において当社が入手可能な情報に基づく現時点の意向であり、DDの結果および当社の社内手続を経て変更される可能性がございます。もっとも、当社は合理的な理由なく本書の内容を一方的に撤回することはいたしません。</w:t>
      </w:r>
    </w:p>
    <w:p>
      <w:pPr>
        <w:spacing w:after="60"/>
      </w:pPr>
    </w:p>
    <w:p>
      <w:pPr>
        <w:spacing w:after="160" w:before="0" w:line="300"/>
        <w:jc w:val="right"/>
      </w:pPr>
      <w:r>
        <w:rPr>
          <w:rFonts w:ascii="Century" w:eastAsia="ＭＳ 明朝" w:hAnsi="Century"/>
          <w:sz w:val="21"/>
          <w:szCs w:val="21"/>
        </w:rPr>
        <w:t xml:space="preserve">以　上</w:t>
      </w:r>
    </w:p>
    <w:p>
      <w:pPr>
        <w:spacing w:after="120" w:before="0" w:line="300"/>
      </w:pPr>
      <w:r>
        <w:rPr>
          <w:rFonts w:ascii="Century" w:eastAsia="ＭＳ 明朝" w:hAnsi="Century"/>
          <w:sz w:val="20"/>
          <w:szCs w:val="20"/>
        </w:rPr>
        <w:t xml:space="preserve">別紙1　会社案内</w:t>
      </w:r>
    </w:p>
    <w:p>
      <w:pPr>
        <w:spacing w:after="120" w:before="0" w:line="300"/>
      </w:pPr>
      <w:r>
        <w:rPr>
          <w:rFonts w:ascii="Century" w:eastAsia="ＭＳ 明朝" w:hAnsi="Century"/>
          <w:sz w:val="20"/>
          <w:szCs w:val="20"/>
        </w:rPr>
        <w:t xml:space="preserve">別紙2　譲受価額の算定に関する分析資料</w:t>
      </w:r>
    </w:p>
    <w:p>
      <w:pPr>
        <w:spacing w:after="120" w:before="0" w:line="300"/>
      </w:pPr>
      <w:r>
        <w:rPr>
          <w:rFonts w:ascii="Century" w:eastAsia="ＭＳ 明朝" w:hAnsi="Century"/>
          <w:sz w:val="20"/>
          <w:szCs w:val="20"/>
        </w:rPr>
        <w:t xml:space="preserve">別紙3　株式会社アピシウスの承継実績</w:t>
      </w:r>
    </w:p>
    <w:sectPr>
      <w:footerReference w:type="default" r:id="rId7"/>
      <w:pgSz w:w="11906" w:h="16838" w:orient="portrait"/>
      <w:pgMar w:top="1418" w:right="1276" w:bottom="1418"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eastAsia="ＭＳ 明朝" w:hAnsi="Century"/>
        <w:color w:val="595959"/>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2026-09-17T08:06:32.790Z</dcterms:created>
  <dcterms:modified xsi:type="dcterms:W3CDTF">2026-09-17T08:06:32.790Z</dcterms:modified>
</cp:coreProperties>
</file>

<file path=docProps/custom.xml><?xml version="1.0" encoding="utf-8"?>
<Properties xmlns="http://schemas.openxmlformats.org/officeDocument/2006/custom-properties" xmlns:vt="http://schemas.openxmlformats.org/officeDocument/2006/docPropsVTypes"/>
</file>