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rFonts w:ascii="Cambria" w:cs="Cambria" w:eastAsia="Cambria" w:hAnsi="Cambria"/>
          <w:b/>
          <w:bCs/>
          <w:color w:val="6E5730"/>
          <w:spacing w:val="60"/>
          <w:sz w:val="20"/>
          <w:szCs w:val="20"/>
        </w:rPr>
        <w:t xml:space="preserve">WINEBANK WINE FUND</w:t>
      </w:r>
    </w:p>
    <w:p>
      <w:pPr>
        <w:spacing w:after="60" w:before="0" w:line="300"/>
        <w:jc w:val="center"/>
      </w:pPr>
      <w:r>
        <w:rPr>
          <w:rFonts w:ascii="Yu Mincho" w:cs="Yu Mincho" w:eastAsia="Yu Mincho" w:hAnsi="Yu Mincho"/>
          <w:b/>
          <w:bCs/>
          <w:color w:val="000000"/>
          <w:sz w:val="26"/>
          <w:szCs w:val="26"/>
        </w:rPr>
        <w:t xml:space="preserve">ワインファンド（SPC）組成のご提案</w:t>
      </w:r>
    </w:p>
    <w:p>
      <w:pPr>
        <w:spacing w:after="200" w:before="0" w:line="300"/>
        <w:jc w:val="center"/>
      </w:pPr>
      <w:r>
        <w:rPr>
          <w:rFonts w:ascii="Yu Mincho" w:cs="Yu Mincho" w:eastAsia="Yu Mincho" w:hAnsi="Yu Mincho"/>
          <w:b/>
          <w:bCs/>
          <w:color w:val="000000"/>
          <w:sz w:val="36"/>
          <w:szCs w:val="36"/>
        </w:rPr>
        <w:t xml:space="preserve">山本案　前回資料からの変更点</w:t>
      </w:r>
    </w:p>
    <w:p>
      <w:pPr>
        <w:spacing w:after="700" w:before="0" w:line="300"/>
        <w:jc w:val="center"/>
      </w:pPr>
      <w:r>
        <w:rPr>
          <w:rFonts w:ascii="Yu Mincho" w:cs="Yu Mincho" w:eastAsia="Yu Mincho" w:hAnsi="Yu Mincho"/>
          <w:b w:val="false"/>
          <w:bCs w:val="false"/>
          <w:color w:val="555555"/>
          <w:sz w:val="20"/>
          <w:szCs w:val="20"/>
        </w:rPr>
        <w:t xml:space="preserve">デット型（デット2億円＋エクイティ3億円）から 現物出資型（WineBank現物出資60%＋投資家出資40%）へ</w:t>
      </w:r>
    </w:p>
    <w:p>
      <w:pPr>
        <w:spacing w:after="60" w:before="0" w:line="300"/>
        <w:jc w:val="center"/>
      </w:pPr>
      <w:r>
        <w:rPr>
          <w:rFonts w:ascii="Yu Mincho" w:cs="Yu Mincho" w:eastAsia="Yu Mincho" w:hAnsi="Yu Mincho"/>
          <w:b w:val="false"/>
          <w:bCs w:val="false"/>
          <w:color w:val="555555"/>
          <w:sz w:val="20"/>
          <w:szCs w:val="20"/>
        </w:rPr>
        <w:t xml:space="preserve">2026年9月</w:t>
      </w:r>
    </w:p>
    <w:p>
      <w:pPr>
        <w:spacing w:after="700" w:before="0" w:line="300"/>
        <w:jc w:val="center"/>
      </w:pPr>
      <w:r>
        <w:rPr>
          <w:rFonts w:ascii="Yu Mincho" w:cs="Yu Mincho" w:eastAsia="Yu Mincho" w:hAnsi="Yu Mincho"/>
          <w:b/>
          <w:bCs/>
          <w:color w:val="000000"/>
          <w:sz w:val="21"/>
          <w:szCs w:val="21"/>
        </w:rPr>
        <w:t xml:space="preserve">株式会社WineBank</w:t>
      </w:r>
    </w:p>
    <w:p>
      <w:pPr>
        <w:pBdr>
          <w:bottom w:val="single" w:color="A78450" w:sz="6" w:space="6"/>
        </w:pBdr>
        <w:spacing w:after="180" w:before="360" w:line="300"/>
      </w:pPr>
      <w:r>
        <w:rPr>
          <w:rFonts w:ascii="Yu Mincho" w:cs="Yu Mincho" w:eastAsia="Yu Mincho" w:hAnsi="Yu Mincho"/>
          <w:b/>
          <w:bCs/>
          <w:sz w:val="26"/>
          <w:szCs w:val="26"/>
        </w:rPr>
        <w:t xml:space="preserve">本書の位置づけ</w:t>
      </w:r>
    </w:p>
    <w:p>
      <w:pPr>
        <w:spacing w:after="120" w:before="0" w:line="300"/>
        <w:jc w:val="left"/>
      </w:pPr>
      <w:r>
        <w:rPr>
          <w:rFonts w:ascii="Yu Mincho" w:cs="Yu Mincho" w:eastAsia="Yu Mincho" w:hAnsi="Yu Mincho"/>
          <w:b w:val="false"/>
          <w:bCs w:val="false"/>
          <w:color w:val="000000"/>
          <w:sz w:val="21"/>
          <w:szCs w:val="21"/>
        </w:rPr>
        <w:t xml:space="preserve">本書は、山本様よりご提案いただいた資本構成の変更を反映するにあたり、前回資料（2026年8月・デット型）から今回資料（現物出資型）へ何をどう変更したかを整理したものである。提案資料本体とあわせてご確認いただきたい。</w:t>
      </w:r>
    </w:p>
    <w:p>
      <w:pPr>
        <w:spacing w:after="120" w:before="0" w:line="300"/>
        <w:jc w:val="left"/>
      </w:pPr>
      <w:r>
        <w:rPr>
          <w:rFonts w:ascii="Yu Mincho" w:cs="Yu Mincho" w:eastAsia="Yu Mincho" w:hAnsi="Yu Mincho"/>
          <w:b w:val="false"/>
          <w:bCs w:val="false"/>
          <w:color w:val="000000"/>
          <w:sz w:val="21"/>
          <w:szCs w:val="21"/>
        </w:rPr>
        <w:t xml:space="preserve">金額・利回りはすべて共通の収益モデル（model.py）から算出しており、前回資料の数値も同一のモデルで再計算して対照している。前提を変えていない項目については、前回資料と完全に同じ数値になることを確認済みである。</w:t>
      </w:r>
    </w:p>
    <w:p>
      <w:pPr>
        <w:pBdr>
          <w:bottom w:val="single" w:color="A78450" w:sz="6" w:space="6"/>
        </w:pBdr>
        <w:spacing w:after="180" w:before="360" w:line="300"/>
      </w:pPr>
      <w:r>
        <w:rPr>
          <w:rFonts w:ascii="Yu Mincho" w:cs="Yu Mincho" w:eastAsia="Yu Mincho" w:hAnsi="Yu Mincho"/>
          <w:b/>
          <w:bCs/>
          <w:sz w:val="26"/>
          <w:szCs w:val="26"/>
        </w:rPr>
        <w:t xml:space="preserve">1. 変更の要旨</w:t>
      </w:r>
    </w:p>
    <w:p>
      <w:pPr>
        <w:spacing w:after="120" w:before="0" w:line="300"/>
        <w:jc w:val="left"/>
      </w:pPr>
      <w:r>
        <w:rPr>
          <w:rFonts w:ascii="Yu Mincho" w:cs="Yu Mincho" w:eastAsia="Yu Mincho" w:hAnsi="Yu Mincho"/>
          <w:b w:val="false"/>
          <w:bCs w:val="false"/>
          <w:color w:val="000000"/>
          <w:sz w:val="21"/>
          <w:szCs w:val="21"/>
        </w:rPr>
        <w:t xml:space="preserve">変更は5点である。うち①が本質的な変更であり、②〜⑤はこれに付随する。</w:t>
      </w:r>
    </w:p>
    <w:tbl>
      <w:tblPr>
        <w:tblW w:type="pct" w:w="100%"/>
        <w:tblBorders>
          <w:top w:val="single" w:color="BFB6A6" w:sz="4"/>
          <w:left w:val="single" w:color="BFB6A6" w:sz="4"/>
          <w:bottom w:val="single" w:color="BFB6A6" w:sz="4"/>
          <w:right w:val="single" w:color="BFB6A6" w:sz="4"/>
          <w:insideH w:val="single" w:color="D8D0C2" w:sz="2"/>
          <w:insideV w:val="single" w:color="D8D0C2" w:sz="2"/>
        </w:tblBorders>
      </w:tblPr>
      <w:tblGrid>
        <w:gridCol w:w="100"/>
        <w:gridCol w:w="100"/>
        <w:gridCol w:w="100"/>
      </w:tblGrid>
      <w:tr>
        <w:tc>
          <w:tcPr>
            <w:tcW w:type="pct" w:w="16%"/>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変更点</w:t>
            </w:r>
          </w:p>
        </w:tc>
        <w:tc>
          <w:tcPr>
            <w:tcW w:type="pct" w:w="42%"/>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前回（デット型）</w:t>
            </w:r>
          </w:p>
        </w:tc>
        <w:tc>
          <w:tcPr>
            <w:tcW w:type="pct" w:w="42%"/>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今回（現物出資型）</w:t>
            </w:r>
          </w:p>
        </w:tc>
      </w:tr>
      <w:tr>
        <w:tc>
          <w:tcPr>
            <w:tcW w:type="pct" w:w="1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① 資本構成</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デット2億円（金利4%・WineBank保証）＋投資家エクイティ3億円。WineBankの現金拠出はなし</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WineBankがワイン現物で総額の60%を出資し、投資家が現金で40%を出資する。デットは廃止</w:t>
            </w:r>
          </w:p>
        </w:tc>
      </w:tr>
      <w:tr>
        <w:tc>
          <w:tcPr>
            <w:tcW w:type="pct" w:w="1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② 募集総額</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総額5億円の単一クローズ</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ファーストクローズ5億円 → 年度内セカンドクローズ10億円の段階クローズ</w:t>
            </w:r>
          </w:p>
        </w:tc>
      </w:tr>
      <w:tr>
        <w:tc>
          <w:tcPr>
            <w:tcW w:type="pct" w:w="1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③ 報酬体系</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投資家帰属利益を折半する成功報酬のみ。残高比例フィーは課さない。SPC人件費360万円をSPC費用に計上</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成功報酬（折半）は従来どおり。加えて管理報酬として総額の年2%を計上し、SPC人件費360万円はこれに置き換える</w:t>
            </w:r>
          </w:p>
        </w:tc>
      </w:tr>
      <w:tr>
        <w:tc>
          <w:tcPr>
            <w:tcW w:type="pct" w:w="1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④ 分配頻度</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半期ごと</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年1回（当初3年はロックアップ、4年目以降は年1回の解約可）</w:t>
            </w:r>
          </w:p>
        </w:tc>
      </w:tr>
      <w:tr>
        <w:tc>
          <w:tcPr>
            <w:tcW w:type="pct" w:w="1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⑤ 想定利回り</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投資家利回り 21.0%（出資3億円に対して）</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投資家利回り 20.4%（1stクローズ・出資2億円に対して）</w:t>
            </w:r>
          </w:p>
        </w:tc>
      </w:tr>
    </w:tbl>
    <w:p>
      <w:pPr>
        <w:pBdr>
          <w:bottom w:val="single" w:color="A78450" w:sz="6" w:space="6"/>
        </w:pBdr>
        <w:spacing w:after="180" w:before="360" w:line="300"/>
      </w:pPr>
      <w:r>
        <w:rPr>
          <w:rFonts w:ascii="Yu Mincho" w:cs="Yu Mincho" w:eastAsia="Yu Mincho" w:hAnsi="Yu Mincho"/>
          <w:b/>
          <w:bCs/>
          <w:sz w:val="26"/>
          <w:szCs w:val="26"/>
        </w:rPr>
        <w:t xml:space="preserve">2. 変更点の詳細</w:t>
      </w:r>
    </w:p>
    <w:p>
      <w:pPr>
        <w:spacing w:after="100" w:before="240" w:line="300"/>
      </w:pPr>
      <w:r>
        <w:rPr>
          <w:rFonts w:ascii="Yu Gothic" w:cs="Yu Gothic" w:eastAsia="Yu Gothic" w:hAnsi="Yu Gothic"/>
          <w:b/>
          <w:bCs/>
          <w:color w:val="6E5730"/>
          <w:sz w:val="21"/>
          <w:szCs w:val="21"/>
        </w:rPr>
        <w:t xml:space="preserve">① 資本構成：デットを廃止し、WineBankが現物で60%を出資する</w:t>
      </w:r>
    </w:p>
    <w:p>
      <w:pPr>
        <w:spacing w:after="120" w:before="0" w:line="300"/>
        <w:jc w:val="left"/>
      </w:pPr>
      <w:r>
        <w:rPr>
          <w:rFonts w:ascii="Yu Mincho" w:cs="Yu Mincho" w:eastAsia="Yu Mincho" w:hAnsi="Yu Mincho"/>
          <w:b w:val="false"/>
          <w:bCs w:val="false"/>
          <w:color w:val="000000"/>
          <w:sz w:val="21"/>
          <w:szCs w:val="21"/>
        </w:rPr>
        <w:t xml:space="preserve">前回はWineBankが現金を拠出せず、デット2億円について金利4%と保証責任のみを負う構成であった。今回はWineBankが自己勘定のワイン現物を拠出して総額の60%を出資し、投資家と同じ持分として損益をそのまま負う。</w:t>
      </w:r>
    </w:p>
    <w:p>
      <w:pPr>
        <w:spacing w:after="80" w:before="0" w:line="300"/>
        <w:ind w:left="431" w:hanging="259"/>
      </w:pPr>
      <w:r>
        <w:rPr>
          <w:rFonts w:ascii="Yu Mincho" w:cs="Yu Mincho" w:eastAsia="Yu Mincho" w:hAnsi="Yu Mincho"/>
          <w:sz w:val="21"/>
          <w:szCs w:val="21"/>
        </w:rPr>
        <w:t xml:space="preserve">・WineBankには優先弁済も保証もない。SPCの損益が悪化すれば、WineBankの持分もそのまま毀損する。</w:t>
      </w:r>
    </w:p>
    <w:p>
      <w:pPr>
        <w:spacing w:after="80" w:before="0" w:line="300"/>
        <w:ind w:left="431" w:hanging="259"/>
      </w:pPr>
      <w:r>
        <w:rPr>
          <w:rFonts w:ascii="Yu Mincho" w:cs="Yu Mincho" w:eastAsia="Yu Mincho" w:hAnsi="Yu Mincho"/>
          <w:sz w:val="21"/>
          <w:szCs w:val="21"/>
        </w:rPr>
        <w:t xml:space="preserve">・前回論点となっていた「保証の実効性（WineBankの保証余力）」および「投資家が5億円を拠出した場合の合成利回り」は、デットの廃止により論点そのものが消滅した。</w:t>
      </w:r>
    </w:p>
    <w:p>
      <w:pPr>
        <w:spacing w:after="80" w:before="0" w:line="300"/>
        <w:ind w:left="431" w:hanging="259"/>
      </w:pPr>
      <w:r>
        <w:rPr>
          <w:rFonts w:ascii="Yu Mincho" w:cs="Yu Mincho" w:eastAsia="Yu Mincho" w:hAnsi="Yu Mincho"/>
          <w:sz w:val="21"/>
          <w:szCs w:val="21"/>
        </w:rPr>
        <w:t xml:space="preserve">・WineBankが自ら60%を保有するため、SPCへの拠出価格を吊り上げても自己の持分利益が同額減る。値付けで抜く経済的動機が構造的に生じない点は、本変更の最大の利点である。</w:t>
      </w:r>
    </w:p>
    <w:p>
      <w:pPr>
        <w:spacing w:after="120" w:before="100" w:line="300"/>
        <w:jc w:val="left"/>
      </w:pPr>
      <w:r>
        <w:rPr>
          <w:rFonts w:ascii="Yu Mincho" w:cs="Yu Mincho" w:eastAsia="Yu Mincho" w:hAnsi="Yu Mincho"/>
          <w:b w:val="false"/>
          <w:bCs w:val="false"/>
          <w:color w:val="000000"/>
          <w:sz w:val="21"/>
          <w:szCs w:val="21"/>
        </w:rPr>
        <w:t xml:space="preserve">なお、現物出資するワインの評価方法（取得原価にどれだけ付加するか）は組成時の別途協議事項とし、本資料の試算ではSPC取得原価を前回と同じ定価比50.50（市中原価50.00＋現物譲渡1%）に置いている。評価方法が確定した時点で、全数値がそれに追随する。</w:t>
      </w:r>
    </w:p>
    <w:p>
      <w:pPr>
        <w:spacing w:after="100" w:before="240" w:line="300"/>
      </w:pPr>
      <w:r>
        <w:rPr>
          <w:rFonts w:ascii="Yu Gothic" w:cs="Yu Gothic" w:eastAsia="Yu Gothic" w:hAnsi="Yu Gothic"/>
          <w:b/>
          <w:bCs/>
          <w:color w:val="6E5730"/>
          <w:sz w:val="21"/>
          <w:szCs w:val="21"/>
        </w:rPr>
        <w:t xml:space="preserve">② 募集総額：段階クローズとする</w:t>
      </w:r>
    </w:p>
    <w:p>
      <w:pPr>
        <w:spacing w:after="120" w:before="0" w:line="300"/>
        <w:jc w:val="left"/>
      </w:pPr>
      <w:r>
        <w:rPr>
          <w:rFonts w:ascii="Yu Mincho" w:cs="Yu Mincho" w:eastAsia="Yu Mincho" w:hAnsi="Yu Mincho"/>
          <w:b w:val="false"/>
          <w:bCs w:val="false"/>
          <w:color w:val="000000"/>
          <w:sz w:val="21"/>
          <w:szCs w:val="21"/>
        </w:rPr>
        <w:t xml:space="preserve">同じ資本構成の比率を保ったまま、規模のみを2段階で拡大する。比率が同一であるため利回りはほぼ変わらない（規模拡大で固定費が薄まるぶん、わずかに改善する）。</w:t>
      </w:r>
    </w:p>
    <w:tbl>
      <w:tblPr>
        <w:tblW w:type="pct" w:w="100%"/>
        <w:tblBorders>
          <w:top w:val="single" w:color="BFB6A6" w:sz="4"/>
          <w:left w:val="single" w:color="BFB6A6" w:sz="4"/>
          <w:bottom w:val="single" w:color="BFB6A6" w:sz="4"/>
          <w:right w:val="single" w:color="BFB6A6" w:sz="4"/>
          <w:insideH w:val="single" w:color="D8D0C2" w:sz="2"/>
          <w:insideV w:val="single" w:color="D8D0C2" w:sz="2"/>
        </w:tblBorders>
      </w:tblPr>
      <w:tblGrid>
        <w:gridCol w:w="100"/>
        <w:gridCol w:w="100"/>
        <w:gridCol w:w="100"/>
      </w:tblGrid>
      <w:tr>
        <w:tc>
          <w:tcPr>
            <w:tcW w:type="pct" w:w="34%"/>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項目</w:t>
            </w:r>
          </w:p>
        </w:tc>
        <w:tc>
          <w:tcPr>
            <w:tcW w:type="pct" w:w="33%"/>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ファーストクローズ</w:t>
            </w:r>
          </w:p>
        </w:tc>
        <w:tc>
          <w:tcPr>
            <w:tcW w:type="pct" w:w="33%"/>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セカンドクローズ（年度内）</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総額</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5億円</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10億円</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WineBank現物出資（60%）</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3億円</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6億円</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投資家出資（40%）</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2億円</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4億円</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必要な年間販売額（回転12ヶ月）</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7.48億円</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9C3D28"/>
                <w:sz w:val="19"/>
                <w:szCs w:val="19"/>
              </w:rPr>
              <w:t xml:space="preserve">14.96億円</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投資家利回り（定常年間）</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20.4%</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20.5%</w:t>
            </w:r>
          </w:p>
        </w:tc>
      </w:tr>
    </w:tbl>
    <w:p>
      <w:pPr>
        <w:spacing w:after="120" w:before="140" w:line="300"/>
        <w:jc w:val="left"/>
      </w:pPr>
      <w:r>
        <w:rPr>
          <w:rFonts w:ascii="Yu Mincho" w:cs="Yu Mincho" w:eastAsia="Yu Mincho" w:hAnsi="Yu Mincho"/>
          <w:b w:val="false"/>
          <w:bCs w:val="false"/>
          <w:color w:val="000000"/>
          <w:sz w:val="21"/>
          <w:szCs w:val="21"/>
        </w:rPr>
        <w:t xml:space="preserve">ただし必要な年間販売額は倍増する。現状の販売実力（年5〜7億円）に対しセカンドクローズは2倍を超える水準となるため、セカンドクローズはファーストクローズの回転実績を確認したうえで判断する設計としている。</w:t>
      </w:r>
    </w:p>
    <w:p>
      <w:pPr>
        <w:spacing w:after="100" w:before="240" w:line="300"/>
      </w:pPr>
      <w:r>
        <w:rPr>
          <w:rFonts w:ascii="Yu Gothic" w:cs="Yu Gothic" w:eastAsia="Yu Gothic" w:hAnsi="Yu Gothic"/>
          <w:b/>
          <w:bCs/>
          <w:color w:val="6E5730"/>
          <w:sz w:val="21"/>
          <w:szCs w:val="21"/>
        </w:rPr>
        <w:t xml:space="preserve">③ 報酬体系：管理報酬 年2% を新設する</w:t>
      </w:r>
    </w:p>
    <w:p>
      <w:pPr>
        <w:spacing w:after="120" w:before="0" w:line="300"/>
        <w:jc w:val="left"/>
      </w:pPr>
      <w:r>
        <w:rPr>
          <w:rFonts w:ascii="Yu Mincho" w:cs="Yu Mincho" w:eastAsia="Yu Mincho" w:hAnsi="Yu Mincho"/>
          <w:b w:val="false"/>
          <w:bCs w:val="false"/>
          <w:color w:val="000000"/>
          <w:sz w:val="21"/>
          <w:szCs w:val="21"/>
        </w:rPr>
        <w:t xml:space="preserve">折半（投資家帰属利益の50%をWineBankが受け取る成功報酬）の定義は一切変更していない。今回新設したのは、これとは別の管理報酬である。</w:t>
      </w:r>
    </w:p>
    <w:p>
      <w:pPr>
        <w:spacing w:after="80" w:before="0" w:line="300"/>
        <w:ind w:left="431" w:hanging="259"/>
      </w:pPr>
      <w:r>
        <w:rPr>
          <w:rFonts w:ascii="Yu Mincho" w:cs="Yu Mincho" w:eastAsia="Yu Mincho" w:hAnsi="Yu Mincho"/>
          <w:sz w:val="21"/>
          <w:szCs w:val="21"/>
        </w:rPr>
        <w:t xml:space="preserve">・管理報酬は総額の年2%（ファーストクローズで年1,000万円、セカンドクローズで年2,000万円）をSPC費用として計上する。</w:t>
      </w:r>
    </w:p>
    <w:p>
      <w:pPr>
        <w:spacing w:after="80" w:before="0" w:line="300"/>
        <w:ind w:left="431" w:hanging="259"/>
      </w:pPr>
      <w:r>
        <w:rPr>
          <w:rFonts w:ascii="Yu Mincho" w:cs="Yu Mincho" w:eastAsia="Yu Mincho" w:hAnsi="Yu Mincho"/>
          <w:sz w:val="21"/>
          <w:szCs w:val="21"/>
        </w:rPr>
        <w:t xml:space="preserve">・従来SPC費用に計上していたSPC人件費360万円は、これに置き換えて廃止する。</w:t>
      </w:r>
    </w:p>
    <w:p>
      <w:pPr>
        <w:spacing w:after="80" w:before="0" w:line="300"/>
        <w:ind w:left="431" w:hanging="259"/>
      </w:pPr>
      <w:r>
        <w:rPr>
          <w:rFonts w:ascii="Yu Mincho" w:cs="Yu Mincho" w:eastAsia="Yu Mincho" w:hAnsi="Yu Mincho"/>
          <w:sz w:val="21"/>
          <w:szCs w:val="21"/>
        </w:rPr>
        <w:t xml:space="preserve">・管理報酬はWineBankが全額を受領するが、そのうち60%はWineBank自身の出資分に対応する自己負担分の還流である。さらに投資家帰属分は折半されるため、管理報酬を課さない場合と比べたWineBankの純増は年2百万円（1stクローズ）にとどまる。</w:t>
      </w:r>
    </w:p>
    <w:p>
      <w:pPr>
        <w:spacing w:after="80" w:before="0" w:line="300"/>
        <w:ind w:left="431" w:hanging="259"/>
      </w:pPr>
      <w:r>
        <w:rPr>
          <w:rFonts w:ascii="Yu Mincho" w:cs="Yu Mincho" w:eastAsia="Yu Mincho" w:hAnsi="Yu Mincho"/>
          <w:sz w:val="21"/>
          <w:szCs w:val="21"/>
        </w:rPr>
        <w:t xml:space="preserve">・一方で投資家利回りは 21.4% から 20.4% へ 1.0ポイント低下する。</w:t>
      </w:r>
    </w:p>
    <w:p>
      <w:pPr>
        <w:spacing w:after="100" w:before="240" w:line="300"/>
      </w:pPr>
      <w:r>
        <w:rPr>
          <w:rFonts w:ascii="Yu Gothic" w:cs="Yu Gothic" w:eastAsia="Yu Gothic" w:hAnsi="Yu Gothic"/>
          <w:b/>
          <w:bCs/>
          <w:color w:val="6E5730"/>
          <w:sz w:val="21"/>
          <w:szCs w:val="21"/>
        </w:rPr>
        <w:t xml:space="preserve">④ 分配頻度：半期ごと から 年1回 へ</w:t>
      </w:r>
    </w:p>
    <w:p>
      <w:pPr>
        <w:spacing w:after="120" w:before="0" w:line="300"/>
        <w:jc w:val="left"/>
      </w:pPr>
      <w:r>
        <w:rPr>
          <w:rFonts w:ascii="Yu Mincho" w:cs="Yu Mincho" w:eastAsia="Yu Mincho" w:hAnsi="Yu Mincho"/>
          <w:b w:val="false"/>
          <w:bCs w:val="false"/>
          <w:color w:val="000000"/>
          <w:sz w:val="21"/>
          <w:szCs w:val="21"/>
        </w:rPr>
        <w:t xml:space="preserve">当初3年間はロックアップ、4年目以降は年度ごとの解約日に解約可という設計は前回から変更していない。分配のみ半期から年1回へ変更した。5年通算の累計分配額に対する影響はない。</w:t>
      </w:r>
    </w:p>
    <w:p>
      <w:pPr>
        <w:spacing w:after="100" w:before="240" w:line="300"/>
      </w:pPr>
      <w:r>
        <w:rPr>
          <w:rFonts w:ascii="Yu Gothic" w:cs="Yu Gothic" w:eastAsia="Yu Gothic" w:hAnsi="Yu Gothic"/>
          <w:b/>
          <w:bCs/>
          <w:color w:val="6E5730"/>
          <w:sz w:val="21"/>
          <w:szCs w:val="21"/>
        </w:rPr>
        <w:t xml:space="preserve">⑤ 想定利回り：20%目標に対する水準</w:t>
      </w:r>
    </w:p>
    <w:p>
      <w:pPr>
        <w:spacing w:after="120" w:before="0" w:line="300"/>
        <w:jc w:val="left"/>
      </w:pPr>
      <w:r>
        <w:rPr>
          <w:rFonts w:ascii="Yu Mincho" w:cs="Yu Mincho" w:eastAsia="Yu Mincho" w:hAnsi="Yu Mincho"/>
          <w:b w:val="false"/>
          <w:bCs w:val="false"/>
          <w:color w:val="000000"/>
          <w:sz w:val="21"/>
          <w:szCs w:val="21"/>
        </w:rPr>
        <w:t xml:space="preserve">前回の21.0%から今回20.4%へ、0.6ポイント低下した。内訳は次のとおりである。</w:t>
      </w:r>
    </w:p>
    <w:tbl>
      <w:tblPr>
        <w:tblW w:type="pct" w:w="100%"/>
        <w:tblBorders>
          <w:top w:val="single" w:color="BFB6A6" w:sz="4"/>
          <w:left w:val="single" w:color="BFB6A6" w:sz="4"/>
          <w:bottom w:val="single" w:color="BFB6A6" w:sz="4"/>
          <w:right w:val="single" w:color="BFB6A6" w:sz="4"/>
          <w:insideH w:val="single" w:color="D8D0C2" w:sz="2"/>
          <w:insideV w:val="single" w:color="D8D0C2" w:sz="2"/>
        </w:tblBorders>
      </w:tblPr>
      <w:tblGrid>
        <w:gridCol w:w="100"/>
        <w:gridCol w:w="100"/>
        <w:gridCol w:w="100"/>
      </w:tblGrid>
      <w:tr>
        <w:tc>
          <w:tcPr>
            <w:tcW w:type="pct" w:w="30%"/>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段階</w:t>
            </w:r>
          </w:p>
        </w:tc>
        <w:tc>
          <w:tcPr>
            <w:tcW w:type="pct" w:w="18%"/>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投資家利回り</w:t>
            </w:r>
          </w:p>
        </w:tc>
        <w:tc>
          <w:tcPr>
            <w:tcW w:type="pct" w:w="52%"/>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内容</w:t>
            </w:r>
          </w:p>
        </w:tc>
      </w:tr>
      <w:tr>
        <w:tc>
          <w:tcPr>
            <w:tcW w:type="pct" w:w="30%"/>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前回（デット型）</w:t>
            </w:r>
          </w:p>
        </w:tc>
        <w:tc>
          <w:tcPr>
            <w:tcW w:type="pct" w:w="18%"/>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21.0%</w:t>
            </w:r>
          </w:p>
        </w:tc>
        <w:tc>
          <w:tcPr>
            <w:tcW w:type="pct" w:w="5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SPC税前利益 × 出資比率60% × 折半50% ÷ 出資3億円</w:t>
            </w:r>
          </w:p>
        </w:tc>
      </w:tr>
      <w:tr>
        <w:tc>
          <w:tcPr>
            <w:tcW w:type="pct" w:w="30%"/>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デットを廃し現物出資60%へ</w:t>
            </w:r>
          </w:p>
        </w:tc>
        <w:tc>
          <w:tcPr>
            <w:tcW w:type="pct" w:w="18%"/>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21.4%</w:t>
            </w:r>
          </w:p>
        </w:tc>
        <w:tc>
          <w:tcPr>
            <w:tcW w:type="pct" w:w="5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SPC人件費360万円を廃止したぶん、いったん上昇する</w:t>
            </w:r>
          </w:p>
        </w:tc>
      </w:tr>
      <w:tr>
        <w:tc>
          <w:tcPr>
            <w:tcW w:type="pct" w:w="30%"/>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管理報酬 年2% を新設</w:t>
            </w:r>
          </w:p>
        </w:tc>
        <w:tc>
          <w:tcPr>
            <w:tcW w:type="pct" w:w="18%"/>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20.4%</w:t>
            </w:r>
          </w:p>
        </w:tc>
        <w:tc>
          <w:tcPr>
            <w:tcW w:type="pct" w:w="5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管理報酬をSPC費用に計上したぶん低下する（▲1.0pt）</w:t>
            </w:r>
          </w:p>
        </w:tc>
      </w:tr>
    </w:tbl>
    <w:p>
      <w:pPr>
        <w:pBdr>
          <w:bottom w:val="single" w:color="A78450" w:sz="6" w:space="6"/>
        </w:pBdr>
        <w:spacing w:after="180" w:before="360" w:line="300"/>
      </w:pPr>
      <w:r>
        <w:rPr>
          <w:rFonts w:ascii="Yu Mincho" w:cs="Yu Mincho" w:eastAsia="Yu Mincho" w:hAnsi="Yu Mincho"/>
          <w:b/>
          <w:bCs/>
          <w:sz w:val="26"/>
          <w:szCs w:val="26"/>
        </w:rPr>
        <w:t xml:space="preserve">3. 数値の対照（在庫回転12ヶ月・ニュートラル・ワイン価格上昇 年6%）</w:t>
      </w:r>
    </w:p>
    <w:tbl>
      <w:tblPr>
        <w:tblW w:type="pct" w:w="100%"/>
        <w:tblBorders>
          <w:top w:val="single" w:color="BFB6A6" w:sz="4"/>
          <w:left w:val="single" w:color="BFB6A6" w:sz="4"/>
          <w:bottom w:val="single" w:color="BFB6A6" w:sz="4"/>
          <w:right w:val="single" w:color="BFB6A6" w:sz="4"/>
          <w:insideH w:val="single" w:color="D8D0C2" w:sz="2"/>
          <w:insideV w:val="single" w:color="D8D0C2" w:sz="2"/>
        </w:tblBorders>
      </w:tblPr>
      <w:tblGrid>
        <w:gridCol w:w="100"/>
        <w:gridCol w:w="100"/>
        <w:gridCol w:w="100"/>
        <w:gridCol w:w="100"/>
      </w:tblGrid>
      <w:tr>
        <w:tc>
          <w:tcPr>
            <w:tcW w:type="pct" w:w="26%"/>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項目</w:t>
            </w:r>
          </w:p>
        </w:tc>
        <w:tc>
          <w:tcPr>
            <w:tcW w:type="pct" w:w="26%"/>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前回（デット型・5億円）</w:t>
            </w:r>
          </w:p>
        </w:tc>
        <w:tc>
          <w:tcPr>
            <w:tcW w:type="pct" w:w="24%"/>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今回1stクローズ（5億円）</w:t>
            </w:r>
          </w:p>
        </w:tc>
        <w:tc>
          <w:tcPr>
            <w:tcW w:type="pct" w:w="24%"/>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今回2ndクローズ（10億円）</w:t>
            </w:r>
          </w:p>
        </w:tc>
      </w:tr>
      <w:tr>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投資家の拠出</w:t>
            </w:r>
          </w:p>
        </w:tc>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エクイティ3億円＋貸付2億円</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2億円</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4億円</w:t>
            </w:r>
          </w:p>
        </w:tc>
      </w:tr>
      <w:tr>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WineBankの拠出</w:t>
            </w:r>
          </w:p>
        </w:tc>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なし（保証のみ）</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ワイン現物 3億円</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ワイン現物 6億円</w:t>
            </w:r>
          </w:p>
        </w:tc>
      </w:tr>
      <w:tr>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必要な年間販売額</w:t>
            </w:r>
          </w:p>
        </w:tc>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7.48億円</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7.48億円</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14.96億円</w:t>
            </w:r>
          </w:p>
        </w:tc>
      </w:tr>
      <w:tr>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SPC年間税前利益</w:t>
            </w:r>
          </w:p>
        </w:tc>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2.10億円</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2.04億円</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4.10億円</w:t>
            </w:r>
          </w:p>
        </w:tc>
      </w:tr>
      <w:tr>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投資家帰属分</w:t>
            </w:r>
          </w:p>
        </w:tc>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126百万円（5分の3）</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81百万円（40%）</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164百万円（40%）</w:t>
            </w:r>
          </w:p>
        </w:tc>
      </w:tr>
      <w:tr>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投資家取分（折半後）</w:t>
            </w:r>
          </w:p>
        </w:tc>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63百万円</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41百万円</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82百万円</w:t>
            </w:r>
          </w:p>
        </w:tc>
      </w:tr>
      <w:tr>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投資家利回り（定常年間）</w:t>
            </w:r>
          </w:p>
        </w:tc>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21.0%</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20.4%</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20.5%</w:t>
            </w:r>
          </w:p>
        </w:tc>
      </w:tr>
      <w:tr>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5年通算 年平均利回り</w:t>
            </w:r>
          </w:p>
        </w:tc>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16.7%</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16.0%</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16.2%</w:t>
            </w:r>
          </w:p>
        </w:tc>
      </w:tr>
      <w:tr>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WineBank受取</w:t>
            </w:r>
          </w:p>
        </w:tc>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139百万円（成功報酬＋デット分−金利）</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173百万円（持分＋成功報酬＋管理報酬）</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348百万円（同左）</w:t>
            </w:r>
          </w:p>
        </w:tc>
      </w:tr>
      <w:tr>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20%の分岐点（回転期間）</w:t>
            </w:r>
          </w:p>
        </w:tc>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12.7ヶ月</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9C3D28"/>
                <w:sz w:val="19"/>
                <w:szCs w:val="19"/>
              </w:rPr>
              <w:t xml:space="preserve">12.2ヶ月</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9C3D28"/>
                <w:sz w:val="19"/>
                <w:szCs w:val="19"/>
              </w:rPr>
              <w:t xml:space="preserve">12.3ヶ月</w:t>
            </w:r>
          </w:p>
        </w:tc>
      </w:tr>
      <w:tr>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主線12ヶ月からの余裕</w:t>
            </w:r>
          </w:p>
        </w:tc>
        <w:tc>
          <w:tcPr>
            <w:tcW w:type="pct" w:w="2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0.7ヶ月</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9C3D28"/>
                <w:sz w:val="19"/>
                <w:szCs w:val="19"/>
              </w:rPr>
              <w:t xml:space="preserve">0.2ヶ月</w:t>
            </w:r>
          </w:p>
        </w:tc>
        <w:tc>
          <w:tcPr>
            <w:tcW w:type="pct" w:w="24%"/>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9C3D28"/>
                <w:sz w:val="19"/>
                <w:szCs w:val="19"/>
              </w:rPr>
              <w:t xml:space="preserve">0.3ヶ月</w:t>
            </w:r>
          </w:p>
        </w:tc>
      </w:tr>
    </w:tbl>
    <w:p>
      <w:pPr>
        <w:pBdr>
          <w:bottom w:val="single" w:color="A78450" w:sz="6" w:space="6"/>
        </w:pBdr>
        <w:spacing w:after="180" w:before="360" w:line="300"/>
      </w:pPr>
      <w:r>
        <w:rPr>
          <w:rFonts w:ascii="Yu Mincho" w:cs="Yu Mincho" w:eastAsia="Yu Mincho" w:hAnsi="Yu Mincho"/>
          <w:b/>
          <w:bCs/>
          <w:sz w:val="26"/>
          <w:szCs w:val="26"/>
        </w:rPr>
        <w:t xml:space="preserve">4. 変更していない点</w:t>
      </w:r>
    </w:p>
    <w:p>
      <w:pPr>
        <w:spacing w:after="120" w:before="0" w:line="300"/>
        <w:jc w:val="left"/>
      </w:pPr>
      <w:r>
        <w:rPr>
          <w:rFonts w:ascii="Yu Mincho" w:cs="Yu Mincho" w:eastAsia="Yu Mincho" w:hAnsi="Yu Mincho"/>
          <w:b w:val="false"/>
          <w:bCs w:val="false"/>
          <w:color w:val="000000"/>
          <w:sz w:val="21"/>
          <w:szCs w:val="21"/>
        </w:rPr>
        <w:t xml:space="preserve">次の各項目は前回資料から一切変更していない。数値も同一のモデルから再計算し、前回と完全に一致することを確認している。</w:t>
      </w:r>
    </w:p>
    <w:p>
      <w:pPr>
        <w:spacing w:after="80" w:before="0" w:line="300"/>
        <w:ind w:left="431" w:hanging="259"/>
      </w:pPr>
      <w:r>
        <w:rPr>
          <w:rFonts w:ascii="Yu Mincho" w:cs="Yu Mincho" w:eastAsia="Yu Mincho" w:hAnsi="Yu Mincho"/>
          <w:sz w:val="21"/>
          <w:szCs w:val="21"/>
        </w:rPr>
        <w:t xml:space="preserve">・折半の定義。折半とは「投資家が得た利益をWineBankと折半する成功報酬」であり、SPC全体の利益を50対50で割るという意味ではない。</w:t>
      </w:r>
    </w:p>
    <w:p>
      <w:pPr>
        <w:spacing w:after="80" w:before="0" w:line="300"/>
        <w:ind w:left="431" w:hanging="259"/>
      </w:pPr>
      <w:r>
        <w:rPr>
          <w:rFonts w:ascii="Yu Mincho" w:cs="Yu Mincho" w:eastAsia="Yu Mincho" w:hAnsi="Yu Mincho"/>
          <w:sz w:val="21"/>
          <w:szCs w:val="21"/>
        </w:rPr>
        <w:t xml:space="preserve">・収益モデルの前提。仕入40／60の半々、売却はB2B70とB2C80の半々、変動販売費6.44%、ワイン価格の年間上昇6%、稼働率95%、仕入展開6ヶ月、運用期間5年。</w:t>
      </w:r>
    </w:p>
    <w:p>
      <w:pPr>
        <w:spacing w:after="80" w:before="0" w:line="300"/>
        <w:ind w:left="431" w:hanging="259"/>
      </w:pPr>
      <w:r>
        <w:rPr>
          <w:rFonts w:ascii="Yu Mincho" w:cs="Yu Mincho" w:eastAsia="Yu Mincho" w:hAnsi="Yu Mincho"/>
          <w:sz w:val="21"/>
          <w:szCs w:val="21"/>
        </w:rPr>
        <w:t xml:space="preserve">・単位経済。SPC取得原価50.50・売却時の売値79.50・手取り74.38・単位粗利23.88・粗利率30.0%・投下原価利益率47.3%（保有12ヶ月・定価100あたり）。</w:t>
      </w:r>
    </w:p>
    <w:p>
      <w:pPr>
        <w:spacing w:after="80" w:before="0" w:line="300"/>
        <w:ind w:left="431" w:hanging="259"/>
      </w:pPr>
      <w:r>
        <w:rPr>
          <w:rFonts w:ascii="Yu Mincho" w:cs="Yu Mincho" w:eastAsia="Yu Mincho" w:hAnsi="Yu Mincho"/>
          <w:sz w:val="21"/>
          <w:szCs w:val="21"/>
        </w:rPr>
        <w:t xml:space="preserve">・粗利の定義。粗利は変動販売費を控除した後の金額としている。</w:t>
      </w:r>
    </w:p>
    <w:p>
      <w:pPr>
        <w:spacing w:after="80" w:before="0" w:line="300"/>
        <w:ind w:left="431" w:hanging="259"/>
      </w:pPr>
      <w:r>
        <w:rPr>
          <w:rFonts w:ascii="Yu Mincho" w:cs="Yu Mincho" w:eastAsia="Yu Mincho" w:hAnsi="Yu Mincho"/>
          <w:sz w:val="21"/>
          <w:szCs w:val="21"/>
        </w:rPr>
        <w:t xml:space="preserve">・在庫配分の原則。在庫比率によるプロラタ配分を原則とし、プロラタで決し得ない部分についてSPCを優先する。</w:t>
      </w:r>
    </w:p>
    <w:p>
      <w:pPr>
        <w:spacing w:after="80" w:before="0" w:line="300"/>
        <w:ind w:left="431" w:hanging="259"/>
      </w:pPr>
      <w:r>
        <w:rPr>
          <w:rFonts w:ascii="Yu Mincho" w:cs="Yu Mincho" w:eastAsia="Yu Mincho" w:hAnsi="Yu Mincho"/>
          <w:sz w:val="21"/>
          <w:szCs w:val="21"/>
        </w:rPr>
        <w:t xml:space="preserve">・提示指標。IRRは用いず、「投資家利回り（定常年間）」と「年平均利回り（5年通算）」の2つに統一している。</w:t>
      </w:r>
    </w:p>
    <w:p>
      <w:pPr>
        <w:spacing w:after="80" w:before="0" w:line="300"/>
        <w:ind w:left="431" w:hanging="259"/>
      </w:pPr>
      <w:r>
        <w:rPr>
          <w:rFonts w:ascii="Yu Mincho" w:cs="Yu Mincho" w:eastAsia="Yu Mincho" w:hAnsi="Yu Mincho"/>
          <w:sz w:val="21"/>
          <w:szCs w:val="21"/>
        </w:rPr>
        <w:t xml:space="preserve">・解約条件。運用期間5年、当初3年間はロックアップ、4年目以降は年度ごとの解約日に申出可。</w:t>
      </w:r>
    </w:p>
    <w:p>
      <w:pPr>
        <w:pBdr>
          <w:bottom w:val="single" w:color="A78450" w:sz="6" w:space="6"/>
        </w:pBdr>
        <w:spacing w:after="180" w:before="360" w:line="300"/>
      </w:pPr>
      <w:r>
        <w:rPr>
          <w:rFonts w:ascii="Yu Mincho" w:cs="Yu Mincho" w:eastAsia="Yu Mincho" w:hAnsi="Yu Mincho"/>
          <w:b/>
          <w:bCs/>
          <w:sz w:val="26"/>
          <w:szCs w:val="26"/>
        </w:rPr>
        <w:t xml:space="preserve">5. ご留意いただきたい点</w:t>
      </w:r>
    </w:p>
    <w:p>
      <w:pPr>
        <w:spacing w:after="100" w:before="240" w:line="300"/>
      </w:pPr>
      <w:r>
        <w:rPr>
          <w:rFonts w:ascii="Yu Gothic" w:cs="Yu Gothic" w:eastAsia="Yu Gothic" w:hAnsi="Yu Gothic"/>
          <w:b/>
          <w:bCs/>
          <w:color w:val="6E5730"/>
          <w:sz w:val="21"/>
          <w:szCs w:val="21"/>
        </w:rPr>
        <w:t xml:space="preserve">20%までの余裕がさらに小さくなっている</w:t>
      </w:r>
    </w:p>
    <w:p>
      <w:pPr>
        <w:spacing w:after="120" w:before="0" w:line="300"/>
        <w:jc w:val="left"/>
      </w:pPr>
      <w:r>
        <w:rPr>
          <w:rFonts w:ascii="Yu Mincho" w:cs="Yu Mincho" w:eastAsia="Yu Mincho" w:hAnsi="Yu Mincho"/>
          <w:b w:val="false"/>
          <w:bCs w:val="false"/>
          <w:color w:val="000000"/>
          <w:sz w:val="21"/>
          <w:szCs w:val="21"/>
        </w:rPr>
        <w:t xml:space="preserve">投資家利回りが20%を割り込む回転期間は、前回の12.7ヶ月から今回12.2ヶ月へ縮まった。主線12ヶ月からの余裕は0.7ヶ月から0.2ヶ月へと小さくなっている。管理報酬 年2% を新設したことによる。</w:t>
      </w:r>
    </w:p>
    <w:p>
      <w:pPr>
        <w:spacing w:after="120" w:before="0" w:line="300"/>
        <w:jc w:val="left"/>
      </w:pPr>
      <w:r>
        <w:rPr>
          <w:rFonts w:ascii="Yu Mincho" w:cs="Yu Mincho" w:eastAsia="Yu Mincho" w:hAnsi="Yu Mincho"/>
          <w:b w:val="false"/>
          <w:bCs w:val="false"/>
          <w:color w:val="000000"/>
          <w:sz w:val="21"/>
          <w:szCs w:val="21"/>
        </w:rPr>
        <w:t xml:space="preserve">回転12ヶ月の達成は「上振れ条件」ではなく、20%を確保するための必要条件である。回転が15ヶ月へ延びれば投資家利回りは16.7%、18ヶ月なら14.3%まで低下する。これが本ファンド最大の管理項目であることは前回から変わらない。</w:t>
      </w:r>
    </w:p>
    <w:p>
      <w:pPr>
        <w:spacing w:after="100" w:before="240" w:line="300"/>
      </w:pPr>
      <w:r>
        <w:rPr>
          <w:rFonts w:ascii="Yu Gothic" w:cs="Yu Gothic" w:eastAsia="Yu Gothic" w:hAnsi="Yu Gothic"/>
          <w:b/>
          <w:bCs/>
          <w:color w:val="6E5730"/>
          <w:sz w:val="21"/>
          <w:szCs w:val="21"/>
        </w:rPr>
        <w:t xml:space="preserve">セカンドクローズは販売実力の拡大とセットになる</w:t>
      </w:r>
    </w:p>
    <w:p>
      <w:pPr>
        <w:spacing w:after="120" w:before="0" w:line="300"/>
        <w:jc w:val="left"/>
      </w:pPr>
      <w:r>
        <w:rPr>
          <w:rFonts w:ascii="Yu Mincho" w:cs="Yu Mincho" w:eastAsia="Yu Mincho" w:hAnsi="Yu Mincho"/>
          <w:b w:val="false"/>
          <w:bCs w:val="false"/>
          <w:color w:val="000000"/>
          <w:sz w:val="21"/>
          <w:szCs w:val="21"/>
        </w:rPr>
        <w:t xml:space="preserve">総額を5億円から10億円へ倍増させると、回転12ヶ月を維持するために必要な年間販売額も7.48億円から14.96億円へ倍増する。これは現状の販売実力（年5〜7億円）の2倍を超える水準である。規模の拡大は販売チャネルの拡大とセットで判断する必要がある。</w:t>
      </w:r>
    </w:p>
    <w:p>
      <w:pPr>
        <w:spacing w:after="100" w:before="240" w:line="300"/>
      </w:pPr>
      <w:r>
        <w:rPr>
          <w:rFonts w:ascii="Yu Gothic" w:cs="Yu Gothic" w:eastAsia="Yu Gothic" w:hAnsi="Yu Gothic"/>
          <w:b/>
          <w:bCs/>
          <w:color w:val="6E5730"/>
          <w:sz w:val="21"/>
          <w:szCs w:val="21"/>
        </w:rPr>
        <w:t xml:space="preserve">今回確定していない事項</w:t>
      </w:r>
    </w:p>
    <w:p>
      <w:pPr>
        <w:spacing w:after="80" w:before="0" w:line="300"/>
        <w:ind w:left="431" w:hanging="259"/>
      </w:pPr>
      <w:r>
        <w:rPr>
          <w:rFonts w:ascii="Yu Mincho" w:cs="Yu Mincho" w:eastAsia="Yu Mincho" w:hAnsi="Yu Mincho"/>
          <w:sz w:val="21"/>
          <w:szCs w:val="21"/>
        </w:rPr>
        <w:t xml:space="preserve">・現物出資するワインの評価方法（取得原価への付加率）。本資料の試算ではSPC取得原価を前回と同じ定価比50.50に置いている。付加率を引き上げるとSPCの取得原価が上がり、投資家利回りは低下する。</w:t>
      </w:r>
    </w:p>
    <w:p>
      <w:pPr>
        <w:spacing w:after="80" w:before="0" w:line="300"/>
        <w:ind w:left="431" w:hanging="259"/>
      </w:pPr>
      <w:r>
        <w:rPr>
          <w:rFonts w:ascii="Yu Mincho" w:cs="Yu Mincho" w:eastAsia="Yu Mincho" w:hAnsi="Yu Mincho"/>
          <w:sz w:val="21"/>
          <w:szCs w:val="21"/>
        </w:rPr>
        <w:t xml:space="preserve">・酒類の現物出資に係る免許上・消費税上・法人税上の取扱い。現物出資は税務上「時価による譲渡」として扱われるため、拠出時にWineBank側で課税が生じうる点を含め、組成前に専門家と確定させる必要がある。</w:t>
      </w:r>
    </w:p>
    <w:p>
      <w:pPr>
        <w:spacing w:after="80" w:before="0" w:line="300"/>
        <w:ind w:left="431" w:hanging="259"/>
      </w:pPr>
      <w:r>
        <w:rPr>
          <w:rFonts w:ascii="Yu Mincho" w:cs="Yu Mincho" w:eastAsia="Yu Mincho" w:hAnsi="Yu Mincho"/>
          <w:sz w:val="21"/>
          <w:szCs w:val="21"/>
        </w:rPr>
        <w:t xml:space="preserve">・適格機関投資家1名以上の確保。適格機関投資家等特例業務による私募の前提条件であり、組成条件として確保する必要がある。</w:t>
      </w:r>
    </w:p>
    <w:p>
      <w:pPr>
        <w:spacing w:after="80" w:before="0" w:line="300"/>
        <w:ind w:left="431" w:hanging="259"/>
      </w:pPr>
      <w:r>
        <w:rPr>
          <w:rFonts w:ascii="Yu Mincho" w:cs="Yu Mincho" w:eastAsia="Yu Mincho" w:hAnsi="Yu Mincho"/>
          <w:sz w:val="21"/>
          <w:szCs w:val="21"/>
        </w:rPr>
        <w:t xml:space="preserve">・WineBankが現物出資する銘柄の選定基準。現物出資型では「何を拠出するか」が回転期間を大きく左右するため、拠出銘柄の選定ルールを契約上明文化することとしている。</w:t>
      </w:r>
    </w:p>
    <w:p>
      <w:pPr>
        <w:spacing w:after="100" w:before="240" w:line="300"/>
      </w:pPr>
      <w:r>
        <w:rPr>
          <w:rFonts w:ascii="Yu Gothic" w:cs="Yu Gothic" w:eastAsia="Yu Gothic" w:hAnsi="Yu Gothic"/>
          <w:b/>
          <w:bCs/>
          <w:color w:val="6E5730"/>
          <w:sz w:val="21"/>
          <w:szCs w:val="21"/>
        </w:rPr>
        <w:t xml:space="preserve">5年通算の年平均利回りについて</w:t>
      </w:r>
    </w:p>
    <w:p>
      <w:pPr>
        <w:spacing w:after="120" w:before="0" w:line="300"/>
        <w:jc w:val="left"/>
      </w:pPr>
      <w:r>
        <w:rPr>
          <w:rFonts w:ascii="Yu Mincho" w:cs="Yu Mincho" w:eastAsia="Yu Mincho" w:hAnsi="Yu Mincho"/>
          <w:b w:val="false"/>
          <w:bCs w:val="false"/>
          <w:color w:val="000000"/>
          <w:sz w:val="21"/>
          <w:szCs w:val="21"/>
        </w:rPr>
        <w:t xml:space="preserve">回転15ヶ月（12.2%）より回転18ヶ月（12.7%）のほうが高くなっている。これは運用期間5年のあいだに何回転が収まるかによる段差であり、両者とも実現回転は3.0回である一方、18ヶ月のほうが1回転あたりの値上がりが大きいために生じる。また本モデルは満期時の残存在庫を簿価で戻す保守的な計算としているため、回転15ヶ月では完了間近の回転に含まれる利益が計上されない。実務上の取扱いは満期時の売却清算条件とあわせて整理する。</w:t>
      </w:r>
    </w:p>
    <w:sectPr>
      <w:footerReference w:type="default" r:id="rId7"/>
      <w:pgSz w:w="11906" w:h="16838" w:orient="portrait"/>
      <w:pgMar w:top="1411" w:right="1353" w:bottom="1411" w:left="13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2026-09-06T09:06:16.257Z</dcterms:created>
  <dcterms:modified xsi:type="dcterms:W3CDTF">2026-09-06T09:06:16.258Z</dcterms:modified>
</cp:coreProperties>
</file>

<file path=docProps/custom.xml><?xml version="1.0" encoding="utf-8"?>
<Properties xmlns="http://schemas.openxmlformats.org/officeDocument/2006/custom-properties" xmlns:vt="http://schemas.openxmlformats.org/officeDocument/2006/docPropsVTypes"/>
</file>