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Marx（以下「甲」という。）と城戸</w:t>
      </w:r>
      <w:r>
        <w:rPr>
          <w:rFonts w:ascii="游明朝" w:eastAsia="游明朝" w:hAnsi="游明朝" w:hint="eastAsia"/>
          <w:highlight w:val="yellow"/>
        </w:rPr>
        <w:t xml:space="preserve">【　　】</w:t>
      </w:r>
      <w:r>
        <w:rPr>
          <w:rFonts w:ascii="游明朝" w:eastAsia="游明朝" w:hAnsi="游明朝" w:hint="eastAsia"/>
        </w:rPr>
        <w:t xml:space="preserve">（以下「乙」という。）とは、甲が第三者割当の方法により発行する募集株式の総数を乙が引き受けることに関し、会社法第205条第1項に基づき、以下のとおり契約（以下「本契約」という。）を締結する。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w:t>
      </w:r>
      <w:r>
        <w:rPr>
          <w:rFonts w:ascii="游明朝" w:eastAsia="游明朝" w:hAnsi="游明朝" w:hint="eastAsia"/>
          <w:highlight w:val="yellow"/>
        </w:rPr>
        <w:t xml:space="preserve">【2026年11月　日】</w:t>
      </w:r>
      <w:r>
        <w:rPr>
          <w:rFonts w:ascii="游明朝" w:eastAsia="游明朝" w:hAnsi="游明朝" w:hint="eastAsia"/>
        </w:rPr>
        <w:t xml:space="preserve">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甲の発行済株式総数2,134株（本株式と同時に第三者割当の方法により発行する募集株式を除く。）に対する株式価値（プレ・マネー評価額）を金341,440,000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ind w:left="840" w:hanging="420"/>
        <w:rPr>
          <w:rFonts w:ascii="游明朝" w:eastAsia="游明朝" w:hAnsi="游明朝" w:hint="eastAsia"/>
        </w:rPr>
      </w:pPr>
      <w:r>
        <w:rPr>
          <w:rFonts w:ascii="游明朝" w:eastAsia="游明朝" w:hAnsi="游明朝" w:hint="eastAsia"/>
        </w:rPr>
        <w:t xml:space="preserve">（３）株式会社WineBank（以下「丙」という。）と乙との間の</w:t>
      </w:r>
      <w:r>
        <w:rPr>
          <w:rFonts w:ascii="游明朝" w:eastAsia="游明朝" w:hAnsi="游明朝" w:hint="eastAsia"/>
          <w:highlight w:val="yellow"/>
        </w:rPr>
        <w:t xml:space="preserve">【2026年11月　日】</w:t>
      </w:r>
      <w:r>
        <w:rPr>
          <w:rFonts w:ascii="游明朝" w:eastAsia="游明朝" w:hAnsi="游明朝" w:hint="eastAsia"/>
        </w:rPr>
        <w:t xml:space="preserve">付合意書（以下「本合意書」という。）第１条第２項各号に定める事由が生じていないこと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甲は、本株式の払込金を、六本木ミッドタウンに出店する甲の運営店舗の開業資金及び運転資金に充当する。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（４）甲並びにその役員及び主要な株主は、反社会的勢力（第１２条第１項に定義する。）に該当しないこと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第９条（本合意書との関係）</w:t>
      </w:r>
    </w:p>
    <w:p>
      <w:pPr>
        <w:ind w:left="420" w:hanging="420"/>
        <w:rPr>
          <w:rFonts w:ascii="游明朝" w:eastAsia="游明朝" w:hAnsi="游明朝" w:hint="eastAsia"/>
        </w:rPr>
      </w:pPr>
      <w:r>
        <w:rPr>
          <w:rFonts w:ascii="游明朝" w:eastAsia="游明朝" w:hAnsi="游明朝" w:hint="eastAsia"/>
        </w:rPr>
        <w:t xml:space="preserve">１　本契約は、本株式の引受け及び払込みに関する事項を定めるものとし、株主優待、情報開示、株式の譲渡その他本合意書に定める事項については、引き続き本合意書の定めに従う。</w:t>
      </w:r>
    </w:p>
    <w:p>
      <w:pPr>
        <w:ind w:left="420" w:hanging="420"/>
        <w:rPr>
          <w:rFonts w:ascii="游明朝" w:eastAsia="游明朝" w:hAnsi="游明朝" w:hint="eastAsia"/>
        </w:rPr>
      </w:pPr>
      <w:r>
        <w:rPr>
          <w:rFonts w:ascii="游明朝" w:eastAsia="游明朝" w:hAnsi="游明朝" w:hint="eastAsia"/>
        </w:rPr>
        <w:t xml:space="preserve">２　甲、乙及び丙は、乙が本契約第１条第１項に定める払込金額の総額（金10,560,000円）を払込期日までに払い込むことをもって、本合意書に定める本件約束が履行されたものとみなすことを確認する。</w:t>
      </w:r>
    </w:p>
    <w:p>
      <w:pPr>
        <w:ind w:left="420" w:hanging="420"/>
        <w:rPr>
          <w:rFonts w:ascii="游明朝" w:eastAsia="游明朝" w:hAnsi="游明朝" w:hint="eastAsia"/>
        </w:rPr>
      </w:pPr>
      <w:r>
        <w:rPr>
          <w:rFonts w:ascii="游明朝" w:eastAsia="游明朝" w:hAnsi="游明朝" w:hint="eastAsia"/>
        </w:rPr>
        <w:t xml:space="preserve">３　本株式の引受け及び払込みに関し、本契約の定めと本合意書の定めが抵触する場合には、本契約の定めが優先する。</w:t>
      </w:r>
    </w:p>
    <w:p>
      <w:pPr>
        <w:keepNext/>
        <w:spacing w:before="200" w:after="0"/>
        <w:rPr>
          <w:rFonts w:ascii="游明朝" w:eastAsia="游明朝" w:hAnsi="游明朝" w:hint="eastAsia"/>
        </w:rPr>
      </w:pPr>
      <w:r>
        <w:rPr>
          <w:rFonts w:ascii="游明朝" w:eastAsia="游明朝" w:hAnsi="游明朝" w:hint="eastAsia"/>
          <w:b/>
          <w:bCs/>
        </w:rPr>
        <w:t xml:space="preserve">第１０条（解除）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（４）第１２条第１項又は第２項に違反したとき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第１１条（費用）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第１２条（反社会的勢力の排除）</w:t>
      </w:r>
    </w:p>
    <w:p>
      <w:pPr>
        <w:ind w:left="420" w:hanging="420"/>
        <w:rPr>
          <w:rFonts w:ascii="游明朝" w:eastAsia="游明朝" w:hAnsi="游明朝" w:hint="eastAsia"/>
        </w:rPr>
      </w:pPr>
      <w:r>
        <w:rPr>
          <w:rFonts w:ascii="游明朝" w:eastAsia="游明朝" w:hAnsi="游明朝" w:hint="eastAsia"/>
        </w:rPr>
        <w:t xml:space="preserve">１　甲及び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及び乙は、それぞれ、自ら又は第三者を利用して、暴力的な要求行為、法的な責任を超えた不当な要求行為、脅迫的な言動若しくは暴力を用いる行為、風説の流布、偽計若しくは威力を用いて相手方の信用を毀損し若しくは業務を妨害する行為その他これらに準ずる行為を行わないことを確約する。</w:t>
      </w:r>
    </w:p>
    <w:p>
      <w:pPr>
        <w:keepNext/>
        <w:spacing w:before="200" w:after="0"/>
        <w:rPr>
          <w:rFonts w:ascii="游明朝" w:eastAsia="游明朝" w:hAnsi="游明朝" w:hint="eastAsia"/>
        </w:rPr>
      </w:pPr>
      <w:r>
        <w:rPr>
          <w:rFonts w:ascii="游明朝" w:eastAsia="游明朝" w:hAnsi="游明朝" w:hint="eastAsia"/>
          <w:b/>
          <w:bCs/>
        </w:rPr>
        <w:t xml:space="preserve">第１３条（秘密保持）</w:t>
      </w:r>
    </w:p>
    <w:p>
      <w:pPr>
        <w:ind w:left="0" w:firstLine="210"/>
        <w:rPr>
          <w:rFonts w:ascii="游明朝" w:eastAsia="游明朝" w:hAnsi="游明朝" w:hint="eastAsia"/>
        </w:rPr>
      </w:pPr>
      <w:r>
        <w:rPr>
          <w:rFonts w:ascii="游明朝" w:eastAsia="游明朝" w:hAnsi="游明朝" w:hint="eastAsia"/>
        </w:rPr>
        <w:t xml:space="preserve">甲及び乙は、本契約の内容及び本契約に関連して知り得た相手方の秘密情報を、相手方の事前の書面による承諾なく第三者に開示してはならない。ただし、法令又は公的機関の命令に基づき開示する場合、守秘義務を負う弁護士、税理士その他の専門家に開示する場合、及び甲が丙又は甲の他の株主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第１４条（エンジェル税制に関する協力）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プレシード・シード特例を含む。）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第１５条（協議）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本契約に定めのない事項又は本契約の解釈について疑義が生じた事項については、甲及び乙は、誠実に協議のうえ解決する。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第１６条（準拠法及び裁判管轄）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w:t>
      </w:r>
      <w:r>
        <w:rPr>
          <w:rFonts w:ascii="游明朝" w:eastAsia="游明朝" w:hAnsi="游明朝" w:hint="eastAsia"/>
          <w:highlight w:val="yellow"/>
        </w:rPr>
        <w:t xml:space="preserve">【11】</w:t>
      </w:r>
      <w:r>
        <w:rPr>
          <w:rFonts w:ascii="游明朝" w:eastAsia="游明朝" w:hAnsi="游明朝" w:hint="eastAsia"/>
        </w:rPr>
        <w:t xml:space="preserve">月　　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城戸　</w:t>
      </w:r>
      <w:r>
        <w:rPr>
          <w:rFonts w:ascii="游明朝" w:eastAsia="游明朝" w:hAnsi="游明朝" w:hint="eastAsia"/>
          <w:highlight w:val="yellow"/>
        </w:rPr>
        <w:t xml:space="preserve">【　　】</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r>
              <w:rPr>
                <w:rFonts w:ascii="游明朝" w:eastAsia="游明朝" w:hAnsi="游明朝" w:hint="eastAsia"/>
              </w:rPr>
              <w:t xml:space="preserve">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highlight w:val="yellow"/>
              </w:rPr>
              <w:t xml:space="preserve">【　　　　　】</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株式会社Brasserie Thierry Marx　代表取締役　中野邦人</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