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生産能力の確保：ご共有いただいた質疑応答により、チーズケーキの売上が年間約7,000万円に達し、レストラン内での製造が生産能力の上限にあること、直近の抽選販売では約470名のご応募に対して販売枠が318個であったことを承知いたしました。需要が供給を大きく上回っている状態であり、当社が最も直接的にお役に立てる領域であると考えております。当社は自社EC（楽天・Yahoo!・寺田ワインマーケット）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であり、本書において海外販売を価額算定の前提とはしておりません。</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設備更新・移転に係る資金力：本書3項(4)に記載のとおりです。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・サービス料の料率（現行10%）。変更を検討する場合には、必ず事前に岸田様にご相談いたします。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・サービス体制および接客の方針。海外からのご予約の受入れ方針を含め、現行の運用を維持いたします。変更を検討する場合には、必ず事前に岸田様のご意見を伺います。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料理・ブランドに関する意思決定</w:t>
      </w:r>
    </w:p>
    <w:p>
      <w:pPr>
        <w:spacing w:after="120" w:before="0" w:line="300"/>
      </w:pPr>
      <w:r>
        <w:rPr>
          <w:rFonts w:ascii="Century" w:eastAsia="ＭＳ 明朝" w:hAnsi="Century"/>
          <w:sz w:val="21"/>
          <w:szCs w:val="21"/>
        </w:rPr>
        <w:t xml:space="preserve">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spacing w:after="100" w:before="0" w:line="300"/>
      </w:pPr>
      <w:r>
        <w:rPr>
          <w:rFonts w:ascii="Century" w:eastAsia="ＭＳ 明朝" w:hAnsi="Century"/>
          <w:sz w:val="21"/>
          <w:szCs w:val="21"/>
        </w:rPr>
        <w:t xml:space="preserve">当社は、いずれのお考えにも賛同いたします。そのうえで、次の2点を最終契約においてお約束する用意がございます。</w:t>
      </w:r>
    </w:p>
    <w:p>
      <w:pPr>
        <w:spacing w:after="80" w:line="300"/>
        <w:ind w:left="440" w:hanging="280"/>
      </w:pPr>
      <w:r>
        <w:rPr>
          <w:rFonts w:ascii="Century" w:eastAsia="ＭＳ 明朝" w:hAnsi="Century"/>
          <w:sz w:val="21"/>
          <w:szCs w:val="21"/>
        </w:rPr>
        <w:t xml:space="preserve">① 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また、岸田様が明確にご反対された事項を、ご在任中に当社が押し切って実施することはいたしません。</w:t>
      </w:r>
    </w:p>
    <w:p>
      <w:pPr>
        <w:spacing w:after="80" w:line="300"/>
        <w:ind w:left="440" w:hanging="280"/>
      </w:pPr>
      <w:r>
        <w:rPr>
          <w:rFonts w:ascii="Century" w:eastAsia="ＭＳ 明朝" w:hAnsi="Century"/>
          <w:sz w:val="21"/>
          <w:szCs w:val="21"/>
        </w:rPr>
        <w:t xml:space="preserve">② カンテサンス本体の多店舗化は行いません。展開は、本店とは切り離した別商品・別業態において、段階的に検証を重ねる方法によります。</w:t>
      </w:r>
    </w:p>
    <w:p>
      <w:pPr>
        <w:spacing w:after="60"/>
      </w:pPr>
    </w:p>
    <w:p>
      <w:pPr>
        <w:spacing w:after="120" w:before="0" w:line="300"/>
      </w:pPr>
      <w:r>
        <w:rPr>
          <w:rFonts w:ascii="Century" w:eastAsia="ＭＳ 明朝" w:hAnsi="Century"/>
          <w:sz w:val="21"/>
          <w:szCs w:val="21"/>
        </w:rPr>
        <w:t xml:space="preserve">あわせて、意思決定の考え方を率直に申し上げます。譲受後は当社が対象会社の株主となりますので、会社としての最終的な意思決定は当社が行うこととなります。岸田様に拒否権をお持ちいただく形は、ご在任の3年間が経過した後に意思決定が滞る要因となりかねず、対象会社にとってかえって望ましくないと考えております。</w:t>
      </w:r>
    </w:p>
    <w:p>
      <w:pPr>
        <w:spacing w:after="120" w:before="0" w:line="300"/>
      </w:pPr>
      <w:r>
        <w:rPr>
          <w:rFonts w:ascii="Century" w:eastAsia="ＭＳ 明朝" w:hAnsi="Century"/>
          <w:sz w:val="21"/>
          <w:szCs w:val="21"/>
        </w:rPr>
        <w:t xml:space="preserve">もっとも、それは現場にお諮りすることなく物事を決めるという意味では全くございません。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4点でございます。</w:t>
      </w:r>
    </w:p>
    <w:p>
      <w:pPr>
        <w:spacing w:after="120" w:before="0" w:line="300"/>
      </w:pPr>
      <w:r>
        <w:rPr>
          <w:rFonts w:ascii="Century" w:eastAsia="ＭＳ 明朝" w:hAnsi="Century"/>
          <w:sz w:val="21"/>
          <w:szCs w:val="21"/>
        </w:rPr>
        <w:t xml:space="preserve">そもそも、前記(1)のとおり当社は譲受後3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7項）。当社に現状を変更する動機がないことは、算定根拠をもってお示しできるものと存じます。</w:t>
      </w:r>
    </w:p>
    <w:p>
      <w:pPr>
        <w:spacing w:after="100" w:before="200" w:line="300"/>
      </w:pPr>
      <w:r>
        <w:rPr>
          <w:rFonts w:ascii="Arial" w:eastAsia="ＭＳ ゴシック" w:hAnsi="Arial"/>
          <w:b/>
          <w:bCs/>
          <w:sz w:val="21"/>
          <w:szCs w:val="21"/>
        </w:rPr>
        <w:t xml:space="preserve">(3) 企業価値向上施策</w:t>
      </w:r>
    </w:p>
    <w:p>
      <w:pPr>
        <w:spacing w:after="100" w:before="0" w:line="300"/>
      </w:pPr>
      <w:r>
        <w:rPr>
          <w:rFonts w:ascii="Century" w:eastAsia="ＭＳ 明朝" w:hAnsi="Century"/>
          <w:sz w:val="21"/>
          <w:szCs w:val="21"/>
        </w:rPr>
        <w:t xml:space="preserve">いずれも、着手前に岸田様にご相談し、ご意見を伺ったうえで進めます。三つ星の維持と両立しない施策は行いません。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いたします。適否の評価にあたっては岸田様のご意見を最も重視いたしますが、選定の決定は当社が行います。岸田様がご懸念を示された候補者について、そのご懸念が解消されないまま当社が起用を強行することはいたしません。</w:t>
      </w:r>
    </w:p>
    <w:p>
      <w:pPr>
        <w:spacing w:after="80" w:line="300"/>
        <w:ind w:left="440" w:hanging="280"/>
      </w:pPr>
      <w:r>
        <w:rPr>
          <w:rFonts w:ascii="Century" w:eastAsia="ＭＳ 明朝" w:hAnsi="Century"/>
          <w:sz w:val="21"/>
          <w:szCs w:val="21"/>
        </w:rPr>
        <w:t xml:space="preserve">② 物販の拡大：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ECおよび海外発送の運営基盤を用いますが、洋菓子の輸出に係る許認可は当社が現に有するものではなく、その取得および整備は当社の負担で行い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(4)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優先順位を岸田様とご相談のうえ、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(5)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ご開示いただいた従業員名簿（基準日2026年9月17日）により、承継対象となるスタッフは、支配人1名・キッチン11名・サービス6名の計18名（岸田様を除く）と拝見しております。この皆様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の2社。株式会社BISが本件の対象外であることは、ご共有いただいた質疑応答により確認いたしました。なお、カンテサンスプラス株式会社は監修・コンサルティングを営む会社であり、第10期（2026年6月期）の売上高は593万円、純資産は3,607万円、現預金は4,291万円と承知しております。物販（ガトー）の売上は対象会社本体に計上されていることも確認いたしました。</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20" w:before="0" w:line="300"/>
      </w:pPr>
      <w:r>
        <w:rPr>
          <w:rFonts w:ascii="Century" w:eastAsia="ＭＳ 明朝" w:hAnsi="Century"/>
          <w:sz w:val="21"/>
          <w:szCs w:val="21"/>
        </w:rPr>
        <w:t xml:space="preserve">なお、ご開示いただいた第16期（2026年1月〜7月）の月次試算表により、2026年7月末時点の現預金が16億858万円、長期貸付金が5億円、有利子負債がゼロであることを確認いたしました。8月以降の稼得利益から法人税の中間納付および7月の役員賞与に係る源泉預り金の支払を控除すると、12月末の現預金は17億4,000万円前後となる見込みであり、上記の想定ネットキャッシュは実績によって裏づけられているものと理解し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物販事業について、商標およびレシピが対象会社に帰属し、レストラン外に製造拠点を設けることに支障がないことが確認される場合。なお、ワイン在庫につきましては第15期末の簿価1.19億円（2026年7月末は1.15億円）と承知しており、時価評価による含み益は生じうるものの、価額全体に与える影響は限定的であると理解しております。</w:t>
      </w:r>
    </w:p>
    <w:p>
      <w:pPr>
        <w:spacing w:after="80" w:line="300"/>
        <w:ind w:left="440" w:hanging="280"/>
      </w:pPr>
      <w:r>
        <w:rPr>
          <w:rFonts w:ascii="Century" w:eastAsia="ＭＳ 明朝" w:hAnsi="Century"/>
          <w:sz w:val="21"/>
          <w:szCs w:val="21"/>
        </w:rPr>
        <w:t xml:space="preserve">⑥ カンテサンスプラス株式会社の純資産3,607万円および中小企業倒産防止共済の解約手当金相当額が、実質的に対象会社グループに帰属することが確認される場合。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本書3項(4)に記載の各事項（移転・誘致、賃貸借契約の変更、一定額を超える設備投資）について、クロージングまでの間、事前協議の枠組みにつきご了解をいただけること。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ご共有いただいた質疑応答および第15期の勘定科目内訳明細書により、同貸付金5億円は岸田様個人に対するもので、年利0.900%の利息（第15期430万円）が雑収入として適正に計上されていること、担保は同氏が保有される対象会社株式であることを確認いたしました。また、第15期の月次残高推移により、同貸付金が2025年3月に4億円から5億円へ増額されていることを確認いたしました。本件により当該株式は当社へ移転し担保としての機能を失うため、クロージング時の現金精算を最終契約上の前提条件とさせていただきたく存じます。</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物販事業：粗利率、商標およびレシピの帰属、レストラン外に製造拠点を設ける場合の許認可および人員の手当て（年商約7,000万円、抽選販売、生産能力が上限にあることは承知しております）。</w:t>
      </w:r>
    </w:p>
    <w:p>
      <w:pPr>
        <w:spacing w:after="80" w:line="300"/>
        <w:ind w:left="440" w:hanging="280"/>
      </w:pPr>
      <w:r>
        <w:rPr>
          <w:rFonts w:ascii="Century" w:eastAsia="ＭＳ 明朝" w:hAnsi="Century"/>
          <w:sz w:val="21"/>
          <w:szCs w:val="21"/>
        </w:rPr>
        <w:t xml:space="preserve">⑧ 労務：36協定の運用状況、固定残業給の設計と実労働時間との関係、勤怠記録の保存状況。本書13項(2)に記載のとおり、当社は是正を価額の減額要素とは考えておりません。</w:t>
      </w:r>
    </w:p>
    <w:p>
      <w:pPr>
        <w:spacing w:after="80" w:line="300"/>
        <w:ind w:left="440" w:hanging="280"/>
      </w:pPr>
      <w:r>
        <w:rPr>
          <w:rFonts w:ascii="Century" w:eastAsia="ＭＳ 明朝" w:hAnsi="Century"/>
          <w:sz w:val="21"/>
          <w:szCs w:val="21"/>
        </w:rPr>
        <w:t xml:space="preserve">⑨ カンテサンスプラス株式会社：監修・コンサルティングの取引先および契約期間、岸田様からの役員借入金554万円の精算方法、本店を岸田様のご自宅に置かれていることに伴う地代家賃19.5万円の取扱い。</w:t>
      </w:r>
    </w:p>
    <w:p>
      <w:pPr>
        <w:spacing w:after="80" w:line="300"/>
        <w:ind w:left="440" w:hanging="280"/>
      </w:pPr>
      <w:r>
        <w:rPr>
          <w:rFonts w:ascii="Century" w:eastAsia="ＭＳ 明朝" w:hAnsi="Century"/>
          <w:sz w:val="21"/>
          <w:szCs w:val="21"/>
        </w:rPr>
        <w:t xml:space="preserve">⑩ 関連当事者取引および社宅：第15期の地代家賃のうち社宅分393万7,000円について、給与控除による回収額393万円がほぼ同額であり損益への影響が生じていないことを確認しております。賃貸借契約の名義、対象者および本件後の取扱いをご教示ください。</w:t>
      </w:r>
    </w:p>
    <w:p>
      <w:pPr>
        <w:spacing w:after="80" w:line="300"/>
        <w:ind w:left="440" w:hanging="280"/>
      </w:pPr>
      <w:r>
        <w:rPr>
          <w:rFonts w:ascii="Century" w:eastAsia="ＭＳ 明朝" w:hAnsi="Century"/>
          <w:sz w:val="21"/>
          <w:szCs w:val="21"/>
        </w:rPr>
        <w:t xml:space="preserve">⑪ 予約サイトとの関係：第15期末に株式会社GHO（OMAKASE）に対する未収入金538万円が計上されていることと、質疑応答における「どことも契約しておらず手数料の支払はない」とのご説明との関係。</w:t>
      </w:r>
    </w:p>
    <w:p>
      <w:pPr>
        <w:spacing w:after="80" w:line="300"/>
        <w:ind w:left="440" w:hanging="280"/>
      </w:pPr>
      <w:r>
        <w:rPr>
          <w:rFonts w:ascii="Century" w:eastAsia="ＭＳ 明朝" w:hAnsi="Century"/>
          <w:sz w:val="21"/>
          <w:szCs w:val="21"/>
        </w:rPr>
        <w:t xml:space="preserve">⑫ 役員貸付金：精算の方法および時期。</w:t>
      </w:r>
    </w:p>
    <w:p>
      <w:pPr>
        <w:spacing w:after="80" w:line="300"/>
        <w:ind w:left="440" w:hanging="280"/>
      </w:pPr>
      <w:r>
        <w:rPr>
          <w:rFonts w:ascii="Century" w:eastAsia="ＭＳ 明朝" w:hAnsi="Century"/>
          <w:sz w:val="21"/>
          <w:szCs w:val="21"/>
        </w:rPr>
        <w:t xml:space="preserve">⑬ 許認可：飲食店営業許可等の承継可否。</w:t>
      </w:r>
    </w:p>
    <w:p>
      <w:pPr>
        <w:spacing w:after="80" w:line="300"/>
        <w:ind w:left="440" w:hanging="280"/>
      </w:pPr>
      <w:r>
        <w:rPr>
          <w:rFonts w:ascii="Century" w:eastAsia="ＭＳ 明朝" w:hAnsi="Century"/>
          <w:sz w:val="21"/>
          <w:szCs w:val="21"/>
        </w:rPr>
        <w:t xml:space="preserve">⑭ 非継続の収益：第15期の売上高9億7,640万円には、月額100万円の業務受託収入が9か月分（900万円）含まれており、2025年9月をもって終了しているものと拝見しております。当該取引の内容と終了の経緯をご教示ください。なお当社は、これを除いた継続事業ベースで2026年1〜7月の売上が前年同期比6.1%増であると理解しており、本件の評価においてはこの実勢を用いております。</w:t>
      </w:r>
    </w:p>
    <w:p>
      <w:pPr>
        <w:spacing w:after="80" w:line="300"/>
        <w:ind w:left="440" w:hanging="280"/>
      </w:pPr>
      <w:r>
        <w:rPr>
          <w:rFonts w:ascii="Century" w:eastAsia="ＭＳ 明朝" w:hAnsi="Century"/>
          <w:sz w:val="21"/>
          <w:szCs w:val="21"/>
        </w:rPr>
        <w:t xml:space="preserve">⑮ 店舗家賃の期間差異：地代家賃（店舗分）が第13期2,435万円に対し第14期・第15期は1,534万円と、約900万円の差異が生じております。契約条件の変更、賃料改定または計上区分の変更の有無をご教示ください。</w:t>
      </w:r>
    </w:p>
    <w:p>
      <w:pPr>
        <w:spacing w:after="80" w:line="300"/>
        <w:ind w:left="440" w:hanging="280"/>
      </w:pPr>
      <w:r>
        <w:rPr>
          <w:rFonts w:ascii="Century" w:eastAsia="ＭＳ 明朝" w:hAnsi="Century"/>
          <w:sz w:val="21"/>
          <w:szCs w:val="21"/>
        </w:rPr>
        <w:t xml:space="preserve">⑯ 勤怠記録：ご開示いただいた支給控除一覧表において、就労時間が1日8時間×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労務に関するご説明</w:t>
      </w:r>
    </w:p>
    <w:p>
      <w:pPr>
        <w:spacing w:after="120" w:before="0" w:line="300"/>
      </w:pPr>
      <w:r>
        <w:rPr>
          <w:rFonts w:ascii="Century" w:eastAsia="ＭＳ 明朝" w:hAnsi="Century"/>
          <w:sz w:val="21"/>
          <w:szCs w:val="21"/>
        </w:rPr>
        <w:t xml:space="preserve">ご共有いただいた質疑応答において、36協定の運用面で確認を要する事項がある旨、および出退勤の記録が手書きで管理されている旨のご説明を拝見いたしました。</w:t>
      </w:r>
    </w:p>
    <w:p>
      <w:pPr>
        <w:spacing w:after="120" w:before="0" w:line="300"/>
      </w:pPr>
      <w:r>
        <w:rPr>
          <w:rFonts w:ascii="Century" w:eastAsia="ＭＳ 明朝" w:hAnsi="Century"/>
          <w:sz w:val="21"/>
          <w:szCs w:val="21"/>
        </w:rPr>
        <w:t xml:space="preserve">当社は、株式会社アピシウスの承継に際して、常態化していたサービス残業を撤廃し、勤怠管理を整備した実績を有しております。飲食業における労務管理の実務を、当社は現に経験しております。</w:t>
      </w:r>
    </w:p>
    <w:p>
      <w:pPr>
        <w:spacing w:after="100" w:before="0" w:line="300"/>
      </w:pPr>
      <w:r>
        <w:rPr>
          <w:rFonts w:ascii="Century" w:eastAsia="ＭＳ 明朝" w:hAnsi="Century"/>
          <w:sz w:val="21"/>
          <w:szCs w:val="21"/>
        </w:rPr>
        <w:t xml:space="preserve">そのうえで、ご開示いただいた賃金台帳（2025年9月〜2026年8月・全社計）および正社員賃金規程を拝見し、次のとおり理解しております。</w:t>
      </w:r>
    </w:p>
    <w:p>
      <w:pPr>
        <w:spacing w:after="80" w:line="300"/>
        <w:ind w:left="440" w:hanging="220"/>
      </w:pPr>
      <w:r>
        <w:rPr>
          <w:rFonts w:ascii="Century" w:eastAsia="ＭＳ 明朝" w:hAnsi="Century"/>
          <w:sz w:val="21"/>
          <w:szCs w:val="21"/>
        </w:rPr>
        <w:t xml:space="preserve">・固定残業手当の年額は1,234万円である一方、同期間の時間外労働は全社で417時間です。1人あたりに引き直すと月1.7時間であり、固定残業手当が実際の時間外労働を大きく上回っています。</w:t>
      </w:r>
    </w:p>
    <w:p>
      <w:pPr>
        <w:spacing w:after="80" w:line="300"/>
        <w:ind w:left="440" w:hanging="220"/>
      </w:pPr>
      <w:r>
        <w:rPr>
          <w:rFonts w:ascii="Century" w:eastAsia="ＭＳ 明朝" w:hAnsi="Century"/>
          <w:sz w:val="21"/>
          <w:szCs w:val="21"/>
        </w:rPr>
        <w:t xml:space="preserve">・1日あたりの就労時間は7.97時間、1人あたりの年間出勤日数は194日です。高価格帯のフランス料理店として、極めて良好な水準です。</w:t>
      </w:r>
    </w:p>
    <w:p>
      <w:pPr>
        <w:spacing w:after="80" w:line="300"/>
        <w:ind w:left="440" w:hanging="220"/>
      </w:pPr>
      <w:r>
        <w:rPr>
          <w:rFonts w:ascii="Century" w:eastAsia="ＭＳ 明朝" w:hAnsi="Century"/>
          <w:sz w:val="21"/>
          <w:szCs w:val="21"/>
        </w:rPr>
        <w:t xml:space="preserve">・正社員賃金規程第9条には、固定残業時間を超過した場合に差額を支払う旨（第4項）および固定残業に含まれる時間外は45時間以内とする旨（第5項）が明記されており、固定残業手当の設計は適正であると理解しております。</w:t>
      </w:r>
    </w:p>
    <w:p>
      <w:pPr>
        <w:spacing w:after="60"/>
      </w:pPr>
    </w:p>
    <w:p>
      <w:pPr>
        <w:spacing w:after="120" w:before="0" w:line="300"/>
      </w:pPr>
      <w:r>
        <w:rPr>
          <w:rFonts w:ascii="Century" w:eastAsia="ＭＳ 明朝" w:hAnsi="Century"/>
          <w:sz w:val="21"/>
          <w:szCs w:val="21"/>
        </w:rPr>
        <w:t xml:space="preserve">仮に、個別の労働契約書における固定残業時間数の記載が不十分であるなどの理由により、固定残業手当の全部が無効と判断された場合であっても、既払額を充当しない前提で試算した未払残業代は年80万円程度、3年遡及で240万円程度にとどまります。譲受価額に対する影響は0.1%未満です。</w:t>
      </w:r>
    </w:p>
    <w:p>
      <w:pPr>
        <w:spacing w:after="120" w:before="0" w:line="300"/>
      </w:pPr>
      <w:r>
        <w:rPr>
          <w:rFonts w:ascii="Century" w:eastAsia="ＭＳ 明朝" w:hAnsi="Century"/>
          <w:sz w:val="21"/>
          <w:szCs w:val="21"/>
        </w:rPr>
        <w:t xml:space="preserve">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spacing w:after="160" w:before="0" w:line="300"/>
      </w:pPr>
      <w:r>
        <w:rPr>
          <w:rFonts w:ascii="Century" w:eastAsia="ＭＳ 明朝" w:hAnsi="Century"/>
          <w:sz w:val="21"/>
          <w:szCs w:val="21"/>
        </w:rPr>
        <w:t xml:space="preserve">36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spacing w:after="100" w:before="200" w:line="300"/>
      </w:pPr>
      <w:r>
        <w:rPr>
          <w:rFonts w:ascii="Arial" w:eastAsia="ＭＳ ゴシック" w:hAnsi="Arial"/>
          <w:b/>
          <w:bCs/>
          <w:sz w:val="21"/>
          <w:szCs w:val="21"/>
        </w:rPr>
        <w:t xml:space="preserve">(3)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(4)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本書3項(4)に記載の事前協議の枠組みにつき、ご了解を賜りたくお願い申し上げます。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(5)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2026-09-26T08:37:58.968Z</dcterms:created>
  <dcterms:modified xsi:type="dcterms:W3CDTF">2026-09-26T08:37:58.978Z</dcterms:modified>
</cp:coreProperties>
</file>

<file path=docProps/custom.xml><?xml version="1.0" encoding="utf-8"?>
<Properties xmlns="http://schemas.openxmlformats.org/officeDocument/2006/custom-properties" xmlns:vt="http://schemas.openxmlformats.org/officeDocument/2006/docPropsVTypes"/>
</file>