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誠にありがとうございます。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【要ご記入：資本金（資本準備金を含む）】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【要ご記入：主要株主および持株比率】</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高級ワインの保管・売買・オークション運営、ワインEC、会員向けセラーサービス等。ワインを軸とした富裕層向けサービスを展開。2027年4月には、ティエリー・マルクス氏監修によるレストラン事業の開業を準備中。</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株式会社アピシウス（2024年6月取得）。東京・銀座にて、創業40年を超えるグランメゾンを運営。詳細は本書13項をご参照ください。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当社は、高級ワインの保管・売買・オークションを軸に事業を営んでおり、日本における高級ワインの流通と、それを享受される顧客層を最もよく理解する事業者の一つであると自負しております。</w:t>
      </w:r>
    </w:p>
    <w:p>
      <w:pPr>
        <w:spacing w:after="120" w:before="0" w:line="300"/>
      </w:pPr>
      <w:r>
        <w:rPr>
          <w:rFonts w:ascii="Century" w:eastAsia="ＭＳ 明朝" w:hAnsi="Century"/>
          <w:sz w:val="21"/>
          <w:szCs w:val="21"/>
        </w:rPr>
        <w:t xml:space="preserve">その視点から見たとき、対象会社は単に国内最高峰のガストロノミーであるにとどまらず、19年連続でミシュラン三つ星を保持してこられた信頼のもとに、正規の仕入先から希少銘柄の配分を継続的に受けてこられた、国内でも稀有な「ワインの消費と調達の結節点」であると理解しております。年間約1.4万名のご来店と、これに伴うドリンク売上は、当社の知る限り国内の単一店舗として最大級の規模です。</w:t>
      </w:r>
    </w:p>
    <w:p>
      <w:pPr>
        <w:spacing w:after="120" w:before="0" w:line="300"/>
      </w:pPr>
      <w:r>
        <w:rPr>
          <w:rFonts w:ascii="Century" w:eastAsia="ＭＳ 明朝" w:hAnsi="Century"/>
          <w:sz w:val="21"/>
          <w:szCs w:val="21"/>
        </w:rPr>
        <w:t xml:space="preserve">20年にわたり一度も減収減益なく、無借金でこの水準を築いてこられた岸田周三氏の経営と、その背後にある規律に、当社は深い敬意を抱いております。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岸田周三氏のご在任期間中に、後継となる料理長を確保し、対象会社を特定の個人に依存しない体制へ移行させること。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当社の有するワイン調達網・顧客基盤・シェフネットワークを対象会社に提供し、店舗売上以外の収益機会を新たに創出すること。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招聘：当社は、ティエリー・マルクス氏（2027年4月開業予定のレストラン事業において協業）およびフランス本国のシェフネットワークを有しております。本ご案内および初期開示資料において、後継シェフの招聘が本件の重要な論点とされていることを踏まえ、当社はこの課題に対して具体的な解を提供できる買主であると考えております。加えて、当社は株式会社アピシウスにおいてグランメゾンの運営を現に行っており、料理人の方々のネットワークを実務として有しております。</w:t>
      </w:r>
    </w:p>
    <w:p>
      <w:pPr>
        <w:spacing w:after="80" w:line="300"/>
        <w:ind w:left="440" w:hanging="280"/>
      </w:pPr>
      <w:r>
        <w:rPr>
          <w:rFonts w:ascii="Century" w:eastAsia="ＭＳ 明朝" w:hAnsi="Century"/>
          <w:sz w:val="21"/>
          <w:szCs w:val="21"/>
        </w:rPr>
        <w:t xml:space="preserve">② ワインリストの拡充：当社が保有・仲介する希少銘柄を、対象会社のワインリストに補完的に供給いたします。なお、当社が既存の仕入経路の中間に入り、対象会社の仕入原価を引き上げることは一切想定しておりません。サントリー株式会社、株式会社ファインズ等の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顧客情報の資産化：現在紙媒体で管理されているご来店・ご注文の情報をデジタル化し、対象会社の資産として整備いたします。営業現場のオペレーションを変更するものではありません。</w:t>
      </w:r>
    </w:p>
    <w:p>
      <w:pPr>
        <w:spacing w:after="80" w:line="300"/>
        <w:ind w:left="440" w:hanging="280"/>
      </w:pPr>
      <w:r>
        <w:rPr>
          <w:rFonts w:ascii="Century" w:eastAsia="ＭＳ 明朝" w:hAnsi="Century"/>
          <w:sz w:val="21"/>
          <w:szCs w:val="21"/>
        </w:rPr>
        <w:t xml:space="preserve">④ 子会社事業の拡大：カンテサンスプラス株式会社の高級スイーツEC事業について、当社のEC運営基盤および顧客基盤を活用した販路拡大が可能と考えております。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当社が取り扱う高級ワインについて、国内最高峰のレストランという確度の高い出口を得られること。</w:t>
      </w:r>
    </w:p>
    <w:p>
      <w:pPr>
        <w:spacing w:after="80" w:line="300"/>
        <w:ind w:left="440" w:hanging="280"/>
      </w:pPr>
      <w:r>
        <w:rPr>
          <w:rFonts w:ascii="Century" w:eastAsia="ＭＳ 明朝" w:hAnsi="Century"/>
          <w:sz w:val="21"/>
          <w:szCs w:val="21"/>
        </w:rPr>
        <w:t xml:space="preserve">② 対象会社のご来店者層との接点を通じ、当社のセラーサービス・オークション事業の顧客基盤が拡大すること。</w:t>
      </w:r>
    </w:p>
    <w:p>
      <w:pPr>
        <w:spacing w:after="80" w:line="300"/>
        <w:ind w:left="440" w:hanging="280"/>
      </w:pPr>
      <w:r>
        <w:rPr>
          <w:rFonts w:ascii="Century" w:eastAsia="ＭＳ 明朝" w:hAnsi="Century"/>
          <w:sz w:val="21"/>
          <w:szCs w:val="21"/>
        </w:rPr>
        <w:t xml:space="preserve">③ 対象会社との資本関係により、当社のブランド価値および仕入交渉力が向上すること。</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・料理・メニューの内容および価格帯、サービス料の設定</w:t>
      </w:r>
    </w:p>
    <w:p>
      <w:pPr>
        <w:spacing w:after="80" w:line="300"/>
        <w:ind w:left="440" w:hanging="220"/>
      </w:pPr>
      <w:r>
        <w:rPr>
          <w:rFonts w:ascii="Century" w:eastAsia="ＭＳ 明朝" w:hAnsi="Century"/>
          <w:sz w:val="21"/>
          <w:szCs w:val="21"/>
        </w:rPr>
        <w:t xml:space="preserve">・席数（54席）および1日あたりの回転数、営業日数</w:t>
      </w:r>
    </w:p>
    <w:p>
      <w:pPr>
        <w:spacing w:after="80" w:line="300"/>
        <w:ind w:left="440" w:hanging="220"/>
      </w:pPr>
      <w:r>
        <w:rPr>
          <w:rFonts w:ascii="Century" w:eastAsia="ＭＳ 明朝" w:hAnsi="Century"/>
          <w:sz w:val="21"/>
          <w:szCs w:val="21"/>
        </w:rPr>
        <w:t xml:space="preserve">・食材・ワインの仕入先および仕入条件（サントリー株式会社、株式会社ファインズ、および契約農家各位との取引関係を含む）</w:t>
      </w:r>
    </w:p>
    <w:p>
      <w:pPr>
        <w:spacing w:after="80" w:line="300"/>
        <w:ind w:left="440" w:hanging="220"/>
      </w:pPr>
      <w:r>
        <w:rPr>
          <w:rFonts w:ascii="Century" w:eastAsia="ＭＳ 明朝" w:hAnsi="Century"/>
          <w:sz w:val="21"/>
          <w:szCs w:val="21"/>
        </w:rPr>
        <w:t xml:space="preserve">・サービス体制および接客の方針</w:t>
      </w:r>
    </w:p>
    <w:p>
      <w:pPr>
        <w:spacing w:after="80" w:line="300"/>
        <w:ind w:left="440" w:hanging="220"/>
      </w:pPr>
      <w:r>
        <w:rPr>
          <w:rFonts w:ascii="Century" w:eastAsia="ＭＳ 明朝" w:hAnsi="Century"/>
          <w:sz w:val="21"/>
          <w:szCs w:val="21"/>
        </w:rPr>
        <w:t xml:space="preserve">・店舗の所在地（ガーデンシティ品川御殿山1F）</w:t>
      </w:r>
    </w:p>
    <w:p>
      <w:pPr>
        <w:spacing w:after="60"/>
      </w:pPr>
    </w:p>
    <w:p>
      <w:pPr>
        <w:spacing w:after="12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00" w:before="200" w:line="300"/>
      </w:pPr>
      <w:r>
        <w:rPr>
          <w:rFonts w:ascii="Arial" w:eastAsia="ＭＳ ゴシック" w:hAnsi="Arial"/>
          <w:b/>
          <w:bCs/>
          <w:sz w:val="21"/>
          <w:szCs w:val="21"/>
        </w:rPr>
        <w:t xml:space="preserve">(2) 企業価値向上施策</w:t>
      </w:r>
    </w:p>
    <w:p>
      <w:pPr>
        <w:spacing w:after="80" w:line="300"/>
        <w:ind w:left="440" w:hanging="280"/>
      </w:pPr>
      <w:r>
        <w:rPr>
          <w:rFonts w:ascii="Century" w:eastAsia="ＭＳ 明朝" w:hAnsi="Century"/>
          <w:sz w:val="21"/>
          <w:szCs w:val="21"/>
        </w:rPr>
        <w:t xml:space="preserve">① 後継料理長の招聘（最優先事項）：岸田氏のご在任3年間のうちに、当社のシェフネットワークを通じて候補者を探索し、岸田氏ご自身のご判断とご納得を前提に招聘を進めます。候補者の最終的な適否は、岸田氏のご判断を尊重いたします。</w:t>
      </w:r>
    </w:p>
    <w:p>
      <w:pPr>
        <w:spacing w:after="80" w:line="300"/>
        <w:ind w:left="440" w:hanging="280"/>
      </w:pPr>
      <w:r>
        <w:rPr>
          <w:rFonts w:ascii="Century" w:eastAsia="ＭＳ 明朝" w:hAnsi="Century"/>
          <w:sz w:val="21"/>
          <w:szCs w:val="21"/>
        </w:rPr>
        <w:t xml:space="preserve">② 顧客情報のデジタル化：ご来店履歴・ご注文履歴を整備し、記念日やお好みに応じたご提案を可能にいたします。</w:t>
      </w:r>
    </w:p>
    <w:p>
      <w:pPr>
        <w:spacing w:after="80" w:line="300"/>
        <w:ind w:left="440" w:hanging="280"/>
      </w:pPr>
      <w:r>
        <w:rPr>
          <w:rFonts w:ascii="Century" w:eastAsia="ＭＳ 明朝" w:hAnsi="Century"/>
          <w:sz w:val="21"/>
          <w:szCs w:val="21"/>
        </w:rPr>
        <w:t xml:space="preserve">③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④ 子会社ECの販路拡大：カンテサンスプラス株式会社について、当社のEC基盤・顧客基盤を活用いたします。</w:t>
      </w:r>
    </w:p>
    <w:p>
      <w:pPr>
        <w:spacing w:after="80" w:line="300"/>
        <w:ind w:left="440" w:hanging="280"/>
      </w:pPr>
      <w:r>
        <w:rPr>
          <w:rFonts w:ascii="Century" w:eastAsia="ＭＳ 明朝" w:hAnsi="Century"/>
          <w:sz w:val="21"/>
          <w:szCs w:val="21"/>
        </w:rPr>
        <w:t xml:space="preserve">⑤ 中長期のブランド展開：カジュアル業態やスイーツ等への展開可能性については、岸田氏がご納得される形でのみ検討いたします。三つ星の維持と両立しない展開は行いません。</w:t>
      </w:r>
    </w:p>
    <w:p>
      <w:pPr>
        <w:spacing w:after="100" w:before="200" w:line="300"/>
      </w:pPr>
      <w:r>
        <w:rPr>
          <w:rFonts w:ascii="Arial" w:eastAsia="ＭＳ ゴシック" w:hAnsi="Arial"/>
          <w:b/>
          <w:bCs/>
          <w:sz w:val="21"/>
          <w:szCs w:val="21"/>
        </w:rPr>
        <w:t xml:space="preserve">(3) 資本戦略の方向性</w:t>
      </w:r>
    </w:p>
    <w:p>
      <w:pPr>
        <w:spacing w:after="120" w:before="0" w:line="300"/>
      </w:pPr>
      <w:r>
        <w:rPr>
          <w:rFonts w:ascii="Century" w:eastAsia="ＭＳ 明朝" w:hAnsi="Century"/>
          <w:sz w:val="21"/>
          <w:szCs w:val="21"/>
        </w:rPr>
        <w:t xml:space="preserve">対象会社は当社の100%子会社として保有し、第三者への再売却（いわゆる転売）は想定しておりません。対象会社からの配当は、本件取得に係る借入の返済に必要な範囲に限定し、対象会社には運転資金および取引先との信用維持のため、常時6億円以上の現預金を留保する方針で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岸田周三氏の処遇</w:t>
      </w:r>
    </w:p>
    <w:p>
      <w:pPr>
        <w:spacing w:after="120" w:before="0" w:line="300"/>
      </w:pPr>
      <w:r>
        <w:rPr>
          <w:rFonts w:ascii="Century" w:eastAsia="ＭＳ 明朝" w:hAnsi="Century"/>
          <w:sz w:val="21"/>
          <w:szCs w:val="21"/>
        </w:rPr>
        <w:t xml:space="preserve">譲受後3年間、岸田氏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3年経過後のご関与の形態につきましては、岸田氏のご意向を最優先に、改めてご相談させていただきたく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支配人1名、キッチン13名、サービス7名の計22名の皆様について、給与・賞与・役職・勤務条件のいずれについても、譲受を理由とする不利益な変更は行いません。雇用はそのまま承継いたします。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・後継料理長の招聘後を見据えた、若手の皆様のキャリアパスの明示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20年間で12名以上の方が独立され、ミシュランの評価を得ておられると承知しておりま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対象会社および同社の完全子会社であるカンテサンスプラス株式会社。株式会社BISは本件の対象外と理解しております。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または同社が本件のために設立する完全子会社（買収目的会社）。金融機関との協議の結果によっては、買収目的会社が株式を取得したうえで対象会社と合併する形態を採る可能性がございます。いずれの場合も、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53億0,000万円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本件のクロージング予定日（2026年11月末）は対象会社の決算期末（12月末）の直前に位置してお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11月末をクロージング日とした場合の想定ネットキャッシュは約22億2,000万円であり、株式価値は約50億0,000万円となります。仮にクロージングが2026年12月末となる場合には、想定ネットキャッシュは約22億4,000万円、株式価値は約50億2,000万円となります。すなわち本方式は、クロージングが後ろ倒しとなる場合に売主の皆様が不利益を被らない設計となっております。</w:t>
      </w:r>
    </w:p>
    <w:p>
      <w:pPr>
        <w:spacing w:after="100" w:before="200" w:line="300"/>
      </w:pPr>
      <w:r>
        <w:rPr>
          <w:rFonts w:ascii="Arial" w:eastAsia="ＭＳ ゴシック" w:hAnsi="Arial"/>
          <w:b/>
          <w:bCs/>
          <w:sz w:val="21"/>
          <w:szCs w:val="21"/>
        </w:rPr>
        <w:t xml:space="preserve">(2) 上限価額（53億円）までの追加評価要素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下限価額50億円に対し、次の各事項がDDまたは最終契約交渉において確認された場合、当社は最大3億円の追加評価を行う用意がございます。</w:t>
      </w:r>
    </w:p>
    <w:p>
      <w:pPr>
        <w:spacing w:after="80" w:line="300"/>
        <w:ind w:left="440" w:hanging="280"/>
      </w:pPr>
      <w:r>
        <w:rPr>
          <w:rFonts w:ascii="Century" w:eastAsia="ＭＳ 明朝" w:hAnsi="Century"/>
          <w:sz w:val="21"/>
          <w:szCs w:val="21"/>
        </w:rPr>
        <w:t xml:space="preserve">① 後継料理長の招聘に関し、岸田氏ご自身が候補者への働きかけにご協力いただけることが確約される場合（最も評価の大きい項目です）</w:t>
      </w:r>
    </w:p>
    <w:p>
      <w:pPr>
        <w:spacing w:after="80" w:line="300"/>
        <w:ind w:left="440" w:hanging="280"/>
      </w:pPr>
      <w:r>
        <w:rPr>
          <w:rFonts w:ascii="Century" w:eastAsia="ＭＳ 明朝" w:hAnsi="Century"/>
          <w:sz w:val="21"/>
          <w:szCs w:val="21"/>
        </w:rPr>
        <w:t xml:space="preserve">②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③ 主要仕入先からの希少銘柄の配分が、岸田氏個人ではなく対象会社に帰属するものであることが確認される場合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④ 店舗賃貸借契約について、十分な残存期間が確保され、かつ支配権異動による解除事由が存在しないことが確認される場合</w:t>
      </w:r>
    </w:p>
    <w:p>
      <w:pPr>
        <w:spacing w:after="80" w:line="300"/>
        <w:ind w:left="440" w:hanging="280"/>
      </w:pPr>
      <w:r>
        <w:rPr>
          <w:rFonts w:ascii="Century" w:eastAsia="ＭＳ 明朝" w:hAnsi="Century"/>
          <w:sz w:val="21"/>
          <w:szCs w:val="21"/>
        </w:rPr>
        <w:t xml:space="preserve">⑤ ワイン在庫の時価が帳簿価額を相当程度上回ることが確認される場合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120"/>
      </w:pP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氏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あり、評価の前提としては保守的なもので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譲受代金は、金融機関からの借入、当社の自己資金、および当社の増資により調達する予定です。現時点で想定している構成は次のとおりです。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20億円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買収ファイナンス。タームローンA 14億円（元金均等・7年）およびタームローンB 6億円（期限一括）を想定。初年度のDSCRは1.35倍を確保する設計です。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対象会社保有現預金</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11億円程度</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取得後、運転資金として6億円以上を留保したうえでの活用を想定しております。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自己資金・増資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19億円程度</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bl>
    <w:p>
      <w:pPr>
        <w:spacing w:after="80"/>
      </w:pPr>
    </w:p>
    <w:p>
      <w:pPr>
        <w:spacing w:after="160" w:before="0" w:line="300"/>
      </w:pPr>
      <w:r>
        <w:rPr>
          <w:rFonts w:ascii="Century" w:eastAsia="ＭＳ 明朝" w:hAnsi="Century"/>
          <w:color w:val="595959"/>
          <w:sz w:val="19"/>
          <w:szCs w:val="19"/>
        </w:rPr>
        <w:t xml:space="preserve">※　上記のほか、DD費用、アドバイザリー費用、登記費用等の取得関連費用（1億5,000万円程度を見込んでおります）につきましては、当社の自己資金にて負担いたします。</w:t>
      </w:r>
    </w:p>
    <w:p>
      <w:pPr>
        <w:spacing w:after="16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 1.35倍から1.56倍で推移し、累積の余剰キャッシュ・フロー7億5,600万円が期限一括返済分6億円を上回ることを確認しております。詳細は別紙2に記載しております。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岸田周三氏が、クロージング後3年間にわたり、現行と同様の形態（毎日厨房にお立ちいただくこと）で対象会社の業務に従事される旨の契約が締結されること。</w:t>
      </w:r>
    </w:p>
    <w:p>
      <w:pPr>
        <w:spacing w:after="80" w:line="300"/>
        <w:ind w:left="440" w:hanging="280"/>
      </w:pPr>
      <w:r>
        <w:rPr>
          <w:rFonts w:ascii="Century" w:eastAsia="ＭＳ 明朝" w:hAnsi="Century"/>
          <w:sz w:val="21"/>
          <w:szCs w:val="21"/>
        </w:rPr>
        <w:t xml:space="preserve">③ 後継料理長の招聘に関し、岸田氏のご協力を得られることについて、契約上の手当てがなされること。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役員貸付金がクロージング時に全額現金にて精算されること。</w:t>
      </w:r>
    </w:p>
    <w:p>
      <w:pPr>
        <w:spacing w:after="80" w:line="300"/>
        <w:ind w:left="440" w:hanging="280"/>
      </w:pPr>
      <w:r>
        <w:rPr>
          <w:rFonts w:ascii="Century" w:eastAsia="ＭＳ 明朝" w:hAnsi="Century"/>
          <w:sz w:val="21"/>
          <w:szCs w:val="21"/>
        </w:rPr>
        <w:t xml:space="preserve">⑤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⑥ 主要仕入先との取引関係がクロージング後も継続されること。</w:t>
      </w:r>
    </w:p>
    <w:p>
      <w:pPr>
        <w:spacing w:after="80" w:line="300"/>
        <w:ind w:left="440" w:hanging="280"/>
      </w:pPr>
      <w:r>
        <w:rPr>
          <w:rFonts w:ascii="Century" w:eastAsia="ＭＳ 明朝" w:hAnsi="Century"/>
          <w:sz w:val="21"/>
          <w:szCs w:val="21"/>
        </w:rPr>
        <w:t xml:space="preserve">⑦ 岸田氏との間で、合理的な範囲の競業避止に関する合意が成立すること（同価格帯のガストロノミーの新規開業の制限、および他店舗の監修に関する事前協議を想定しております。過度にご活動を制約する意図はございません）。</w:t>
      </w:r>
    </w:p>
    <w:p>
      <w:pPr>
        <w:spacing w:after="80" w:line="300"/>
        <w:ind w:left="440" w:hanging="280"/>
      </w:pPr>
      <w:r>
        <w:rPr>
          <w:rFonts w:ascii="Century" w:eastAsia="ＭＳ 明朝" w:hAnsi="Century"/>
          <w:sz w:val="21"/>
          <w:szCs w:val="21"/>
        </w:rPr>
        <w:t xml:space="preserve">⑧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⑨ 金融機関から、本件に係る融資の正式な承認が得られること。</w:t>
      </w:r>
    </w:p>
    <w:p>
      <w:pPr>
        <w:spacing w:after="80" w:line="300"/>
        <w:ind w:left="440" w:hanging="280"/>
      </w:pPr>
      <w:r>
        <w:rPr>
          <w:rFonts w:ascii="Century" w:eastAsia="ＭＳ 明朝" w:hAnsi="Century"/>
          <w:sz w:val="21"/>
          <w:szCs w:val="21"/>
        </w:rPr>
        <w:t xml:space="preserve">⑩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本ご案内Ⅰに示された想定スケジュールに沿って進めることが可能です。当社が想定するプロセスは次のとおりです。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岸田周三氏および支配人の方を対象に、半日程度を2回。営業に支障のない時間帯を希望いたします。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2026年11月上旬〜11月下旬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岸田氏のご関与形態：3年間の従事の内容（勤務日数、厨房への関与の程度）と、3年経過後のご意向。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② 後継者：現在ご在籍の方および卒業生の中から後継料理長を得られる見込みと、その具体的な手順。</w:t>
      </w:r>
    </w:p>
    <w:p>
      <w:pPr>
        <w:spacing w:after="80" w:line="300"/>
        <w:ind w:left="440" w:hanging="280"/>
      </w:pPr>
      <w:r>
        <w:rPr>
          <w:rFonts w:ascii="Century" w:eastAsia="ＭＳ 明朝" w:hAnsi="Century"/>
          <w:sz w:val="21"/>
          <w:szCs w:val="21"/>
        </w:rPr>
        <w:t xml:space="preserve">③ ミシュランの評価：評価が店舗と岸田氏個人のいずれに帰属するものと考えられるか。評価が変動した場合の収益への影響。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④ 仕入先からの配分：希少銘柄の配分が、対象会社と岸田氏個人のいずれに帰属するものか。その根拠となる契約の有無。</w:t>
      </w:r>
    </w:p>
    <w:p>
      <w:pPr>
        <w:spacing w:after="80" w:line="300"/>
        <w:ind w:left="440" w:hanging="280"/>
      </w:pPr>
      <w:r>
        <w:rPr>
          <w:rFonts w:ascii="Century" w:eastAsia="ＭＳ 明朝" w:hAnsi="Century"/>
          <w:sz w:val="21"/>
          <w:szCs w:val="21"/>
        </w:rPr>
        <w:t xml:space="preserve">⑤ 店舗賃貸借契約：残存期間、更新条件、支配権異動に関する条項。</w:t>
      </w:r>
    </w:p>
    <w:p>
      <w:pPr>
        <w:spacing w:after="80" w:line="300"/>
        <w:ind w:left="440" w:hanging="280"/>
      </w:pPr>
      <w:r>
        <w:rPr>
          <w:rFonts w:ascii="Century" w:eastAsia="ＭＳ 明朝" w:hAnsi="Century"/>
          <w:sz w:val="21"/>
          <w:szCs w:val="21"/>
        </w:rPr>
        <w:t xml:space="preserve">⑥ 役員貸付金：精算の方法および時期。</w:t>
      </w:r>
    </w:p>
    <w:p>
      <w:pPr>
        <w:spacing w:after="80" w:line="300"/>
        <w:ind w:left="440" w:hanging="280"/>
      </w:pPr>
      <w:r>
        <w:rPr>
          <w:rFonts w:ascii="Century" w:eastAsia="ＭＳ 明朝" w:hAnsi="Century"/>
          <w:sz w:val="21"/>
          <w:szCs w:val="21"/>
        </w:rPr>
        <w:t xml:space="preserve">⑦ 株式会社BISとの関係：本件の対象外とされる理由、および岸田氏の監修業務と競業避止との関係。</w:t>
      </w:r>
    </w:p>
    <w:p>
      <w:pPr>
        <w:spacing w:after="80" w:line="300"/>
        <w:ind w:left="440" w:hanging="280"/>
      </w:pPr>
      <w:r>
        <w:rPr>
          <w:rFonts w:ascii="Century" w:eastAsia="ＭＳ 明朝" w:hAnsi="Century"/>
          <w:sz w:val="21"/>
          <w:szCs w:val="21"/>
        </w:rPr>
        <w:t xml:space="preserve">⑧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DD結果を踏まえた最終契約の締結について、当社取締役会の決議を要します（2026年11月下旬を予定）。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22名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当社をご選定いただきたい理由</w:t>
      </w:r>
    </w:p>
    <w:p>
      <w:pPr>
        <w:spacing w:after="120" w:before="0" w:line="300"/>
      </w:pPr>
      <w:r>
        <w:rPr>
          <w:rFonts w:ascii="Century" w:eastAsia="ＭＳ 明朝" w:hAnsi="Century"/>
          <w:sz w:val="21"/>
          <w:szCs w:val="21"/>
        </w:rPr>
        <w:t xml:space="preserve">本ご案内および貴社からのご回答において、後継となる料理長の招聘が本件の重要な論点とされていることを承知しております。これは、価格の多寡によって解決される性質の課題ではないと当社は考えております。</w:t>
      </w:r>
    </w:p>
    <w:p>
      <w:pPr>
        <w:spacing w:after="120" w:before="0" w:line="300"/>
      </w:pPr>
      <w:r>
        <w:rPr>
          <w:rFonts w:ascii="Century" w:eastAsia="ＭＳ 明朝" w:hAnsi="Century"/>
          <w:sz w:val="21"/>
          <w:szCs w:val="21"/>
        </w:rPr>
        <w:t xml:space="preserve">当社は、ティエリー・マルクス氏との協業をはじめとするシェフネットワークを有しており、この課題に対して具体的な手段をご提供できる数少ない買主であると考えております。また、当社は高級ワインを本業とする事業者として、対象会社が築いてこられた仕入先との関係の価値を正しく理解し、これを損なうことなく維持する立場にあります。</w:t>
      </w:r>
    </w:p>
    <w:p>
      <w:pPr>
        <w:spacing w:after="120" w:before="0" w:line="300"/>
      </w:pPr>
      <w:r>
        <w:rPr>
          <w:rFonts w:ascii="Century" w:eastAsia="ＭＳ 明朝" w:hAnsi="Century"/>
          <w:sz w:val="21"/>
          <w:szCs w:val="21"/>
        </w:rPr>
        <w:t xml:space="preserve">当社は、対象会社を短期的な収益機会として取得するものではありません。三つ星を維持し、岸田氏が築かれたものを次の世代へ引き継ぐことを、本件の目的そのものとして位置づけております。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(3)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DDの過程において、主要仕入先との取引条件および店舗賃貸借契約に関する資料をご開示いただきたく存じます。</w:t>
      </w:r>
    </w:p>
    <w:p>
      <w:pPr>
        <w:spacing w:after="80" w:line="300"/>
        <w:ind w:left="440" w:hanging="280"/>
      </w:pPr>
      <w:r>
        <w:rPr>
          <w:rFonts w:ascii="Century" w:eastAsia="ＭＳ 明朝" w:hAnsi="Century"/>
          <w:sz w:val="21"/>
          <w:szCs w:val="21"/>
        </w:rPr>
        <w:t xml:space="preserve">③ 岸田氏との面談の機会を頂戴できますと幸いです。ご関与の形態および後継者に関するお考えを直接伺いたく存じます。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(4) 本書の位置づけ</w:t>
      </w:r>
    </w:p>
    <w:p>
      <w:pPr>
        <w:spacing w:after="20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に基づく現時点の意向であり、DDの結果および当社の社内手続を経て変更される可能性がございます。もっとも、当社は合理的な理由なく本書の内容を一方的に撤回することはいたしません。</w:t>
      </w:r>
    </w:p>
    <w:p>
      <w:pPr>
        <w:spacing w:after="60"/>
      </w:pPr>
    </w:p>
    <w:p>
      <w:pPr>
        <w:spacing w:after="160" w:before="0" w:line="300"/>
        <w:jc w:val="right"/>
      </w:pPr>
      <w:r>
        <w:rPr>
          <w:rFonts w:ascii="Century" w:eastAsia="ＭＳ 明朝" w:hAnsi="Century"/>
          <w:sz w:val="21"/>
          <w:szCs w:val="21"/>
        </w:rPr>
        <w:t xml:space="preserve">以　上</w:t>
      </w:r>
    </w:p>
    <w:p>
      <w:pPr>
        <w:spacing w:after="120" w:before="0" w:line="300"/>
      </w:pPr>
      <w:r>
        <w:rPr>
          <w:rFonts w:ascii="Century" w:eastAsia="ＭＳ 明朝" w:hAnsi="Century"/>
          <w:sz w:val="20"/>
          <w:szCs w:val="20"/>
        </w:rPr>
        <w:t xml:space="preserve">別紙1　会社案内</w:t>
      </w:r>
    </w:p>
    <w:p>
      <w:pPr>
        <w:spacing w:after="120" w:before="0" w:line="300"/>
      </w:pPr>
      <w:r>
        <w:rPr>
          <w:rFonts w:ascii="Century" w:eastAsia="ＭＳ 明朝" w:hAnsi="Century"/>
          <w:sz w:val="20"/>
          <w:szCs w:val="20"/>
        </w:rPr>
        <w:t xml:space="preserve">別紙2　譲受価額の算定に関する分析資料</w:t>
      </w:r>
    </w:p>
    <w:p>
      <w:pPr>
        <w:spacing w:after="120" w:before="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2026-09-17T08:14:51.499Z</dcterms:created>
  <dcterms:modified xsi:type="dcterms:W3CDTF">2026-09-17T08:14:51.499Z</dcterms:modified>
</cp:coreProperties>
</file>

<file path=docProps/custom.xml><?xml version="1.0" encoding="utf-8"?>
<Properties xmlns="http://schemas.openxmlformats.org/officeDocument/2006/custom-properties" xmlns:vt="http://schemas.openxmlformats.org/officeDocument/2006/docPropsVTypes"/>
</file>