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line="300"/>
        <w:jc w:val="right"/>
      </w:pPr>
      <w:r>
        <w:rPr>
          <w:rFonts w:ascii="Century" w:eastAsia="ＭＳ 明朝" w:hAnsi="Century"/>
          <w:sz w:val="21"/>
          <w:szCs w:val="21"/>
        </w:rPr>
        <w:t xml:space="preserve">2026年9月30日</w:t>
      </w:r>
    </w:p>
    <w:p>
      <w:pPr>
        <w:spacing w:after="60" w:before="0" w:line="300"/>
      </w:pPr>
      <w:r>
        <w:rPr>
          <w:rFonts w:ascii="Arial" w:eastAsia="ＭＳ ゴシック" w:hAnsi="Arial"/>
          <w:sz w:val="22"/>
          <w:szCs w:val="22"/>
        </w:rPr>
        <w:t xml:space="preserve">株式会社プティ・ボノム　御中</w:t>
      </w:r>
    </w:p>
    <w:p>
      <w:pPr>
        <w:spacing w:after="400" w:before="0" w:line="300"/>
      </w:pPr>
      <w:r>
        <w:rPr>
          <w:rFonts w:ascii="Arial" w:eastAsia="ＭＳ ゴシック" w:hAnsi="Arial"/>
          <w:sz w:val="22"/>
          <w:szCs w:val="22"/>
        </w:rPr>
        <w:t xml:space="preserve">デロイトトーマツベンチャーサポート株式会社　御中</w:t>
      </w:r>
    </w:p>
    <w:p>
      <w:pPr>
        <w:spacing w:after="80" w:line="400"/>
        <w:jc w:val="center"/>
      </w:pPr>
      <w:r>
        <w:rPr>
          <w:rFonts w:ascii="Arial" w:eastAsia="ＭＳ ゴシック" w:hAnsi="Arial"/>
          <w:b/>
          <w:bCs/>
          <w:sz w:val="32"/>
          <w:szCs w:val="32"/>
        </w:rPr>
        <w:t xml:space="preserve">意　向　表　明　書</w:t>
      </w:r>
    </w:p>
    <w:p>
      <w:pPr>
        <w:spacing w:after="400" w:before="0" w:line="300"/>
        <w:jc w:val="center"/>
      </w:pPr>
      <w:r>
        <w:rPr>
          <w:rFonts w:ascii="Century" w:eastAsia="ＭＳ 明朝" w:hAnsi="Century"/>
          <w:color w:val="595959"/>
          <w:sz w:val="19"/>
          <w:szCs w:val="19"/>
        </w:rPr>
        <w:t xml:space="preserve">（法的拘束力を有しないもの）</w:t>
      </w:r>
    </w:p>
    <w:p>
      <w:pPr>
        <w:spacing w:after="40" w:before="0" w:line="300"/>
        <w:jc w:val="right"/>
      </w:pPr>
      <w:r>
        <w:rPr>
          <w:rFonts w:ascii="Century" w:eastAsia="ＭＳ 明朝" w:hAnsi="Century"/>
          <w:sz w:val="20"/>
          <w:szCs w:val="20"/>
        </w:rPr>
        <w:t xml:space="preserve">東京都港区六本木4-12-8　第六DMJビル2階</w:t>
      </w:r>
    </w:p>
    <w:p>
      <w:pPr>
        <w:spacing w:after="40" w:before="0" w:line="300"/>
        <w:jc w:val="right"/>
      </w:pPr>
      <w:r>
        <w:rPr>
          <w:rFonts w:ascii="Arial" w:eastAsia="ＭＳ ゴシック" w:hAnsi="Arial"/>
          <w:b/>
          <w:bCs/>
          <w:sz w:val="22"/>
          <w:szCs w:val="22"/>
        </w:rPr>
        <w:t xml:space="preserve">株式会社WineBank</w:t>
      </w:r>
    </w:p>
    <w:p>
      <w:pPr>
        <w:spacing w:after="400" w:before="0" w:line="300"/>
        <w:jc w:val="right"/>
      </w:pPr>
      <w:r>
        <w:rPr>
          <w:rFonts w:ascii="Century" w:eastAsia="ＭＳ 明朝" w:hAnsi="Century"/>
          <w:sz w:val="21"/>
          <w:szCs w:val="21"/>
        </w:rPr>
        <w:t xml:space="preserve">代表取締役　中野　邦人　　　　　　印</w:t>
      </w:r>
    </w:p>
    <w:p>
      <w:pPr>
        <w:spacing w:after="120" w:before="0" w:line="300"/>
      </w:pPr>
      <w:r>
        <w:rPr>
          <w:rFonts w:ascii="Century" w:eastAsia="ＭＳ 明朝" w:hAnsi="Century"/>
          <w:sz w:val="21"/>
          <w:szCs w:val="21"/>
        </w:rPr>
        <w:t xml:space="preserve">拝啓　時下ますますご清栄のこととお慶び申し上げます。平素は格別のご高配を賜り、厚く御礼申し上げます。</w:t>
      </w:r>
    </w:p>
    <w:p>
      <w:pPr>
        <w:spacing w:after="120" w:before="0" w:line="300"/>
      </w:pPr>
      <w:r>
        <w:rPr>
          <w:rFonts w:ascii="Century" w:eastAsia="ＭＳ 明朝" w:hAnsi="Century"/>
          <w:sz w:val="21"/>
          <w:szCs w:val="21"/>
        </w:rPr>
        <w:t xml:space="preserve">このたびは、株式会社プティ・ボノム（以下「対象会社」といいます。）の株式譲渡に関する検討の機会を賜り、また2026年9月22日には岸田周三様との面談の機会を頂戴し、誠にありがとうございました。当社は、2026年8月付「意向表明書ご提出に関するご案内」（以下「本ご案内」といいます。）の内容をすべて了承したうえで、本件取引（以下「本件」といいます。）への参加を強く希望し、本書を提出いたします。</w:t>
      </w:r>
    </w:p>
    <w:p>
      <w:pPr>
        <w:spacing w:after="120" w:before="0" w:line="300"/>
      </w:pPr>
      <w:r>
        <w:rPr>
          <w:rFonts w:ascii="Century" w:eastAsia="ＭＳ 明朝" w:hAnsi="Century"/>
          <w:sz w:val="21"/>
          <w:szCs w:val="21"/>
        </w:rPr>
        <w:t xml:space="preserve">本書は、本ご案内Ⅰに定めるとおり法的拘束力を有するものではなく、最終的な意思決定はデュー・ディリジェンス（以下「DD」といいます。）の結果および当社の社内手続を経て行われるものであることを、念のため申し添えます。</w:t>
      </w:r>
    </w:p>
    <w:p>
      <w:pPr>
        <w:spacing w:after="200" w:before="0" w:line="300"/>
        <w:jc w:val="right"/>
      </w:pPr>
      <w:r>
        <w:rPr>
          <w:rFonts w:ascii="Century" w:eastAsia="ＭＳ 明朝" w:hAnsi="Century"/>
          <w:sz w:val="21"/>
          <w:szCs w:val="21"/>
        </w:rPr>
        <w:t xml:space="preserve">敬具</w:t>
      </w:r>
    </w:p>
    <w:p>
      <w:pPr>
        <w:pBdr>
          <w:bottom w:val="single" w:color="333333" w:sz="6" w:space="4"/>
        </w:pBdr>
        <w:spacing w:after="160" w:before="320" w:line="300"/>
      </w:pPr>
      <w:r>
        <w:rPr>
          <w:rFonts w:ascii="Arial" w:eastAsia="ＭＳ ゴシック" w:hAnsi="Arial"/>
          <w:b/>
          <w:bCs/>
          <w:sz w:val="22"/>
          <w:szCs w:val="22"/>
        </w:rPr>
        <w:t xml:space="preserve">1．当社概要</w:t>
      </w:r>
    </w:p>
    <w:tbl>
      <w:tblPr>
        <w:tblW w:type="dxa" w:w="9200"/>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7300"/>
      </w:tblGrid>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商号</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株式会社WineBank（旧商号：有限会社中村）</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所在地</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〒106-0032　東京都港区六本木4-12-8　第六DMJビル2階</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代表者</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代表取締役　中野　邦人</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創業</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1970年10月（北海道札幌市）</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設立</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【要ご記入：設立年月】</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資本金</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4億3,716万9千円（資本準備金を含む）</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主要株主</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マネーフォワードベンチャーパートナーズ株式会社、株式会社ベクトル、寺田倉庫株式会社、株式会社PrivateBANK、および当社代表取締役 中野邦人ほか（持株比率は【要ご記入】）</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事業概要</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ワインを中心とした酒類販売、レストラン／ワイン卸事業、Wine×Technology事業（所有ワインのクラウド管理、マーケットプレイス、ワインファンド）、会員制ワインサロン事業。自社および管理在庫としてワイン32億円相当を保有しております。</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グループ業績</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2025年12月期 グループ売上高65億円、2026年12月期 同70億円超の見込み</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グループ会社</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株式会社アピシウス（2024年6月に100%取得）。東京・銀座にて、創業40年を超えるグランメゾンを運営しております。承継の実績は本書13項をご参照ください。</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直近業績</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【要ご記入：直近期の売上高・営業利益・純資産（単体）】</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URL</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https://corp.wine-bank.co.jp/company/</w:t>
            </w:r>
          </w:p>
        </w:tc>
      </w:tr>
    </w:tbl>
    <w:p>
      <w:pPr>
        <w:spacing w:after="80"/>
      </w:pPr>
    </w:p>
    <w:p>
      <w:pPr>
        <w:spacing w:after="120" w:before="0" w:line="300"/>
      </w:pPr>
      <w:r>
        <w:rPr>
          <w:rFonts w:ascii="Century" w:eastAsia="ＭＳ 明朝" w:hAnsi="Century"/>
          <w:color w:val="595959"/>
          <w:sz w:val="19"/>
          <w:szCs w:val="19"/>
        </w:rPr>
        <w:t xml:space="preserve">※　当社の会社案内を別紙1として添付いたします。</w:t>
      </w:r>
    </w:p>
    <w:p>
      <w:pPr>
        <w:pBdr>
          <w:bottom w:val="single" w:color="333333" w:sz="6" w:space="4"/>
        </w:pBdr>
        <w:spacing w:after="160" w:before="320" w:line="300"/>
      </w:pPr>
      <w:r>
        <w:rPr>
          <w:rFonts w:ascii="Arial" w:eastAsia="ＭＳ ゴシック" w:hAnsi="Arial"/>
          <w:b/>
          <w:bCs/>
          <w:sz w:val="22"/>
          <w:szCs w:val="22"/>
        </w:rPr>
        <w:t xml:space="preserve">2．本件取引に関する意向表明</w:t>
      </w:r>
    </w:p>
    <w:p>
      <w:pPr>
        <w:spacing w:after="160" w:before="0" w:line="300"/>
      </w:pPr>
      <w:r>
        <w:rPr>
          <w:rFonts w:ascii="Century" w:eastAsia="ＭＳ 明朝" w:hAnsi="Century"/>
          <w:sz w:val="21"/>
          <w:szCs w:val="21"/>
        </w:rPr>
        <w:t xml:space="preserve">当社は、本ご案内の内容をすべて了承したうえで、本件に強い興味を有しており、対象会社の全株式を譲り受けることを希望いたします。</w:t>
      </w:r>
    </w:p>
    <w:p>
      <w:pPr>
        <w:spacing w:after="100" w:before="200" w:line="300"/>
      </w:pPr>
      <w:r>
        <w:rPr>
          <w:rFonts w:ascii="Arial" w:eastAsia="ＭＳ ゴシック" w:hAnsi="Arial"/>
          <w:b/>
          <w:bCs/>
          <w:sz w:val="21"/>
          <w:szCs w:val="21"/>
        </w:rPr>
        <w:t xml:space="preserve">(1) 対象会社に興味・関心を持った理由・背景</w:t>
      </w:r>
    </w:p>
    <w:p>
      <w:pPr>
        <w:spacing w:after="120" w:before="0" w:line="300"/>
      </w:pPr>
      <w:r>
        <w:rPr>
          <w:rFonts w:ascii="Century" w:eastAsia="ＭＳ 明朝" w:hAnsi="Century"/>
          <w:sz w:val="21"/>
          <w:szCs w:val="21"/>
        </w:rPr>
        <w:t xml:space="preserve">当社は、ワインの仕入・流通を本業としつつ、自らもレストランを運営する事業者です。その立場から見たとき、対象会社は国内最高峰のガストロノミーであるにとどまらず、19年連続でミシュラン三つ星を保持してこられた信頼のもとに、正規の仕入先から希少銘柄の配分を継続的に受けてこられた、国内でも稀有な存在であると理解しております。</w:t>
      </w:r>
    </w:p>
    <w:p>
      <w:pPr>
        <w:spacing w:after="120" w:before="0" w:line="300"/>
      </w:pPr>
      <w:r>
        <w:rPr>
          <w:rFonts w:ascii="Century" w:eastAsia="ＭＳ 明朝" w:hAnsi="Century"/>
          <w:sz w:val="21"/>
          <w:szCs w:val="21"/>
        </w:rPr>
        <w:t xml:space="preserve">先般の面談において、岸田様ご自身から、三つ星を19年連続で維持してきたことがワインのアロケーションにおいて大きな意味を持つ旨のご説明を賜りました。また、客単価に占める飲料の比重が相応に大きいことも伺いました。ワインを本業とする当社にとって、この意味は十分に理解できるものです。</w:t>
      </w:r>
    </w:p>
    <w:p>
      <w:pPr>
        <w:spacing w:after="120" w:before="0" w:line="300"/>
      </w:pPr>
      <w:r>
        <w:rPr>
          <w:rFonts w:ascii="Century" w:eastAsia="ＭＳ 明朝" w:hAnsi="Century"/>
          <w:sz w:val="21"/>
          <w:szCs w:val="21"/>
        </w:rPr>
        <w:t xml:space="preserve">ご共有いただいた質疑応答により、リピートのご希望が7割に達する一方、新規のお客様を受け入れるために意図的に調整されていること、海外からのお問い合わせが半数以上ありながらこれも絞っておられることを承知いたしました。需要を抑えることで品質を保つという判断は、規模の拡大を是とする一般的な事業運営とは逆の考え方であり、当社はこれを尊重いたします。</w:t>
      </w:r>
    </w:p>
    <w:p>
      <w:pPr>
        <w:spacing w:after="120" w:before="0" w:line="300"/>
      </w:pPr>
      <w:r>
        <w:rPr>
          <w:rFonts w:ascii="Century" w:eastAsia="ＭＳ 明朝" w:hAnsi="Century"/>
          <w:sz w:val="21"/>
          <w:szCs w:val="21"/>
        </w:rPr>
        <w:t xml:space="preserve">同時に、当社が最も強く印象を受けましたのは、数字そのものではなく、その数字を成立させている考え方でした。力を入れるのは料理であり、それ以外には意図的にコストをかけない。やること・やらないことを明確に区分することで、フランス料理店として稀有な利益率を実現しておられる。20年にわたり増収増益を継続し、宣伝費を一度もかけることなくこの水準を築いてこられたことに、当社は深い敬意を抱いております。</w:t>
      </w:r>
    </w:p>
    <w:p>
      <w:pPr>
        <w:spacing w:after="120" w:before="0" w:line="300"/>
      </w:pPr>
      <w:r>
        <w:rPr>
          <w:rFonts w:ascii="Century" w:eastAsia="ＭＳ 明朝" w:hAnsi="Century"/>
          <w:sz w:val="21"/>
          <w:szCs w:val="21"/>
        </w:rPr>
        <w:t xml:space="preserve">当社にとって対象会社は、収益を目的として取得する事業であると同時に、日本の食文化として守るべき資産であると考えております。</w:t>
      </w:r>
    </w:p>
    <w:p>
      <w:pPr>
        <w:spacing w:after="100" w:before="200" w:line="300"/>
      </w:pPr>
      <w:r>
        <w:rPr>
          <w:rFonts w:ascii="Arial" w:eastAsia="ＭＳ ゴシック" w:hAnsi="Arial"/>
          <w:b/>
          <w:bCs/>
          <w:sz w:val="21"/>
          <w:szCs w:val="21"/>
        </w:rPr>
        <w:t xml:space="preserve">(2) 当社の本件取引の目的</w:t>
      </w:r>
    </w:p>
    <w:p>
      <w:pPr>
        <w:spacing w:after="100" w:before="0" w:line="300"/>
      </w:pPr>
      <w:r>
        <w:rPr>
          <w:rFonts w:ascii="Century" w:eastAsia="ＭＳ 明朝" w:hAnsi="Century"/>
          <w:sz w:val="21"/>
          <w:szCs w:val="21"/>
        </w:rPr>
        <w:t xml:space="preserve">当社の目的は、次の3点に集約されます。</w:t>
      </w:r>
    </w:p>
    <w:p>
      <w:pPr>
        <w:spacing w:after="80" w:line="300"/>
        <w:ind w:left="440" w:hanging="280"/>
      </w:pPr>
      <w:r>
        <w:rPr>
          <w:rFonts w:ascii="Century" w:eastAsia="ＭＳ 明朝" w:hAnsi="Century"/>
          <w:sz w:val="21"/>
          <w:szCs w:val="21"/>
        </w:rPr>
        <w:t xml:space="preserve">① ミシュラン三つ星の維持を最優先に据え、対象会社の現行の事業運営を変更することなく承継すること。</w:t>
      </w:r>
    </w:p>
    <w:p>
      <w:pPr>
        <w:spacing w:after="80" w:line="300"/>
        <w:ind w:left="440" w:hanging="280"/>
      </w:pPr>
      <w:r>
        <w:rPr>
          <w:rFonts w:ascii="Century" w:eastAsia="ＭＳ 明朝" w:hAnsi="Century"/>
          <w:sz w:val="21"/>
          <w:szCs w:val="21"/>
        </w:rPr>
        <w:t xml:space="preserve">② 岸田様のご在任期間中に、後継となる料理長を共同で確保し、対象会社を特定の個人に依存しない体制へ移行させること。</w:t>
      </w:r>
    </w:p>
    <w:p>
      <w:pPr>
        <w:spacing w:after="80" w:line="300"/>
        <w:ind w:left="440" w:hanging="280"/>
      </w:pPr>
      <w:r>
        <w:rPr>
          <w:rFonts w:ascii="Century" w:eastAsia="ＭＳ 明朝" w:hAnsi="Century"/>
          <w:sz w:val="21"/>
          <w:szCs w:val="21"/>
        </w:rPr>
        <w:t xml:space="preserve">③ 岸田様が拡張余地としてお示しになった領域のうち、対象会社の本業と三つ星の維持を損なわないものについて、当社の経営資源をもって実現を支援すること。</w:t>
      </w:r>
    </w:p>
    <w:p>
      <w:pPr>
        <w:spacing w:after="60"/>
      </w:pPr>
    </w:p>
    <w:p>
      <w:pPr>
        <w:spacing w:after="120" w:before="0" w:line="300"/>
      </w:pPr>
      <w:r>
        <w:rPr>
          <w:rFonts w:ascii="Century" w:eastAsia="ＭＳ 明朝" w:hAnsi="Century"/>
          <w:sz w:val="21"/>
          <w:szCs w:val="21"/>
        </w:rPr>
        <w:t xml:space="preserve">当社は、短期的な投資回収や、原価・人件費の削減を目的として本件を検討しているものではありません。また、席数の増加や営業日数の増加による増収も企図しておりません。この点は、本書全体を通じてご確認いただけるものと存じます。</w:t>
      </w:r>
    </w:p>
    <w:p>
      <w:pPr>
        <w:spacing w:after="100" w:before="200" w:line="300"/>
      </w:pPr>
      <w:r>
        <w:rPr>
          <w:rFonts w:ascii="Arial" w:eastAsia="ＭＳ ゴシック" w:hAnsi="Arial"/>
          <w:b/>
          <w:bCs/>
          <w:sz w:val="21"/>
          <w:szCs w:val="21"/>
        </w:rPr>
        <w:t xml:space="preserve">(3) 本件取引を通じて想定されるシナジー効果</w:t>
      </w:r>
    </w:p>
    <w:p>
      <w:pPr>
        <w:spacing w:after="120" w:before="0" w:line="300"/>
      </w:pPr>
      <w:r>
        <w:rPr>
          <w:rFonts w:ascii="Century" w:eastAsia="ＭＳ 明朝" w:hAnsi="Century"/>
          <w:sz w:val="21"/>
          <w:szCs w:val="21"/>
        </w:rPr>
        <w:t xml:space="preserve">はじめに申し上げます。当社は、本件において劇的なシナジーが存在するとは考えておりません。岸田様が築かれた対象会社のブランドと運営は既に完成度が高く、外部から加えられるものは限られております。面談の場でも同様に申し上げたとおりです。</w:t>
      </w:r>
    </w:p>
    <w:p>
      <w:pPr>
        <w:spacing w:after="120" w:before="0" w:line="300"/>
      </w:pPr>
      <w:r>
        <w:rPr>
          <w:rFonts w:ascii="Century" w:eastAsia="ＭＳ 明朝" w:hAnsi="Century"/>
          <w:sz w:val="21"/>
          <w:szCs w:val="21"/>
        </w:rPr>
        <w:t xml:space="preserve">そのうえで、当社がご提供できると考えているものは、次のとおりです。</w:t>
      </w:r>
    </w:p>
    <w:p>
      <w:pPr>
        <w:spacing w:after="80" w:before="0" w:line="300"/>
      </w:pPr>
      <w:r>
        <w:rPr>
          <w:rFonts w:ascii="Arial" w:eastAsia="ＭＳ ゴシック" w:hAnsi="Arial"/>
          <w:sz w:val="20"/>
          <w:szCs w:val="20"/>
        </w:rPr>
        <w:t xml:space="preserve">【対象会社側から見たシナジー】</w:t>
      </w:r>
    </w:p>
    <w:p>
      <w:pPr>
        <w:spacing w:after="80" w:line="300"/>
        <w:ind w:left="440" w:hanging="280"/>
      </w:pPr>
      <w:r>
        <w:rPr>
          <w:rFonts w:ascii="Century" w:eastAsia="ＭＳ 明朝" w:hAnsi="Century"/>
          <w:sz w:val="21"/>
          <w:szCs w:val="21"/>
        </w:rPr>
        <w:t xml:space="preserve">① 後継料理長の探索（最優先事項）：面談において、3〜4年後に後任となる人材が現時点ではいらっしゃらないこと、候補として現ご在籍の方、卒業生の方、外部からの招聘の3通りをお考えであることを伺いました。当社は、その探索を岸田様とご一緒に行いたいと考えております。当社は株式会社アピシウスにおいてグランメゾンの運営を現に行っており、料理人の方々のネットワークを実務として有しております。加えて、ティエリー・マルクス氏との協業を通じたフランス本国のネットワークも活用可能です。ただし、候補者の最終的な適否は、岸田様のご判断を尊重いたします。</w:t>
      </w:r>
    </w:p>
    <w:p>
      <w:pPr>
        <w:spacing w:after="80" w:line="300"/>
        <w:ind w:left="440" w:hanging="280"/>
      </w:pPr>
      <w:r>
        <w:rPr>
          <w:rFonts w:ascii="Century" w:eastAsia="ＭＳ 明朝" w:hAnsi="Century"/>
          <w:sz w:val="21"/>
          <w:szCs w:val="21"/>
        </w:rPr>
        <w:t xml:space="preserve">② ワインリストの補完：当社が保有・調達する希少銘柄およびバックヴィンテージを、対象会社のワインリストに補完的に供給いたします。なお、当社が既存の仕入経路の中間に入り、対象会社の仕入原価を引き上げることは一切想定しておりません。正規仕入先との直接取引関係は、現状のまま維持されるべきものと考えております。</w:t>
      </w:r>
    </w:p>
    <w:p>
      <w:pPr>
        <w:spacing w:after="80" w:line="300"/>
        <w:ind w:left="440" w:hanging="280"/>
      </w:pPr>
      <w:r>
        <w:rPr>
          <w:rFonts w:ascii="Century" w:eastAsia="ＭＳ 明朝" w:hAnsi="Century"/>
          <w:sz w:val="21"/>
          <w:szCs w:val="21"/>
        </w:rPr>
        <w:t xml:space="preserve">③ 物販の生産能力の確保：ご共有いただいた質疑応答により、チーズケーキの売上が年間約7,000万円に達し、レストラン内での製造が生産能力の上限にあること、直近の抽選販売では約470名のご応募に対して販売枠が318個であったことを承知いたしました。需要が供給を大きく上回っている状態であり、当社が最も直接的にお役に立てる領域であると考えております。当社は自社EC（楽天・Yahoo!・寺田ワインマーケット）の運営実績と海外輸出入ライセンスを有しており、製造拠点の確保、受注・物流の運営、および海外販売の実務をご提供できます。</w:t>
      </w:r>
    </w:p>
    <w:p>
      <w:pPr>
        <w:spacing w:after="80" w:line="300"/>
        <w:ind w:left="440" w:hanging="280"/>
      </w:pPr>
      <w:r>
        <w:rPr>
          <w:rFonts w:ascii="Century" w:eastAsia="ＭＳ 明朝" w:hAnsi="Century"/>
          <w:sz w:val="21"/>
          <w:szCs w:val="21"/>
        </w:rPr>
        <w:t xml:space="preserve">④ 顧客情報の資産化：20年分のご来店・ご注文の情報について、営業現場のオペレーションを変更することなく、参照可能な形に整備いたします。</w:t>
      </w:r>
    </w:p>
    <w:p>
      <w:pPr>
        <w:spacing w:after="80" w:line="300"/>
        <w:ind w:left="440" w:hanging="280"/>
      </w:pPr>
      <w:r>
        <w:rPr>
          <w:rFonts w:ascii="Century" w:eastAsia="ＭＳ 明朝" w:hAnsi="Century"/>
          <w:sz w:val="21"/>
          <w:szCs w:val="21"/>
        </w:rPr>
        <w:t xml:space="preserve">⑤ 設備更新・移転に係る資金力：本書3項(4)に記載のとおりです。</w:t>
      </w:r>
    </w:p>
    <w:p>
      <w:pPr>
        <w:spacing w:after="60"/>
      </w:pPr>
    </w:p>
    <w:p>
      <w:pPr>
        <w:spacing w:after="80" w:before="0" w:line="300"/>
      </w:pPr>
      <w:r>
        <w:rPr>
          <w:rFonts w:ascii="Arial" w:eastAsia="ＭＳ ゴシック" w:hAnsi="Arial"/>
          <w:sz w:val="20"/>
          <w:szCs w:val="20"/>
        </w:rPr>
        <w:t xml:space="preserve">【当社側から見たシナジー】</w:t>
      </w:r>
    </w:p>
    <w:p>
      <w:pPr>
        <w:spacing w:after="80" w:line="300"/>
        <w:ind w:left="440" w:hanging="280"/>
      </w:pPr>
      <w:r>
        <w:rPr>
          <w:rFonts w:ascii="Century" w:eastAsia="ＭＳ 明朝" w:hAnsi="Century"/>
          <w:sz w:val="21"/>
          <w:szCs w:val="21"/>
        </w:rPr>
        <w:t xml:space="preserve">① 対象会社との資本関係により、当社のワイン仕入における信用および交渉力が向上すること。</w:t>
      </w:r>
    </w:p>
    <w:p>
      <w:pPr>
        <w:spacing w:after="80" w:line="300"/>
        <w:ind w:left="440" w:hanging="280"/>
      </w:pPr>
      <w:r>
        <w:rPr>
          <w:rFonts w:ascii="Century" w:eastAsia="ＭＳ 明朝" w:hAnsi="Century"/>
          <w:sz w:val="21"/>
          <w:szCs w:val="21"/>
        </w:rPr>
        <w:t xml:space="preserve">② 当社グループが運営するグランメゾンにおいて、対象会社の人材育成の考え方に学ぶ機会を得られること。</w:t>
      </w:r>
    </w:p>
    <w:p>
      <w:pPr>
        <w:spacing w:after="60"/>
      </w:pPr>
    </w:p>
    <w:p>
      <w:pPr>
        <w:spacing w:after="120" w:before="0" w:line="300"/>
      </w:pPr>
      <w:r>
        <w:rPr>
          <w:rFonts w:ascii="Century" w:eastAsia="ＭＳ 明朝" w:hAnsi="Century"/>
          <w:sz w:val="21"/>
          <w:szCs w:val="21"/>
        </w:rPr>
        <w:t xml:space="preserve">当社は、対象会社の仕入・運営に当社の都合を持ち込むことはいたしません。価値は対象会社から当社へ流れるものであり、その逆ではないと考えております。</w:t>
      </w:r>
    </w:p>
    <w:p>
      <w:pPr>
        <w:pBdr>
          <w:bottom w:val="single" w:color="333333" w:sz="6" w:space="4"/>
        </w:pBdr>
        <w:spacing w:after="160" w:before="320" w:line="300"/>
      </w:pPr>
      <w:r>
        <w:rPr>
          <w:rFonts w:ascii="Arial" w:eastAsia="ＭＳ ゴシック" w:hAnsi="Arial"/>
          <w:b/>
          <w:bCs/>
          <w:sz w:val="22"/>
          <w:szCs w:val="22"/>
        </w:rPr>
        <w:t xml:space="preserve">3．譲受後の事業運営方針</w:t>
      </w:r>
    </w:p>
    <w:p>
      <w:pPr>
        <w:spacing w:after="100" w:before="200" w:line="300"/>
      </w:pPr>
      <w:r>
        <w:rPr>
          <w:rFonts w:ascii="Arial" w:eastAsia="ＭＳ ゴシック" w:hAnsi="Arial"/>
          <w:b/>
          <w:bCs/>
          <w:sz w:val="21"/>
          <w:szCs w:val="21"/>
        </w:rPr>
        <w:t xml:space="preserve">(1) 既存事業の方向性</w:t>
      </w:r>
    </w:p>
    <w:p>
      <w:pPr>
        <w:spacing w:after="120" w:before="0" w:line="300"/>
      </w:pPr>
      <w:r>
        <w:rPr>
          <w:rFonts w:ascii="Century" w:eastAsia="ＭＳ 明朝" w:hAnsi="Century"/>
          <w:sz w:val="21"/>
          <w:szCs w:val="21"/>
        </w:rPr>
        <w:t xml:space="preserve">当社は、2024年6月に取得した株式会社アピシウスにおいて、グランメゾンの承継を実際に経験しております。そこで得た最も重要な教訓は、店の価値を支えているのは人と長年積み重ねられた運営であり、外部から急いで手を入れるべきではないということです。</w:t>
      </w:r>
    </w:p>
    <w:p>
      <w:pPr>
        <w:spacing w:after="100" w:before="0" w:line="300"/>
      </w:pPr>
      <w:r>
        <w:rPr>
          <w:rFonts w:ascii="Century" w:eastAsia="ＭＳ 明朝" w:hAnsi="Century"/>
          <w:sz w:val="21"/>
          <w:szCs w:val="21"/>
        </w:rPr>
        <w:t xml:space="preserve">譲受後3年間は、対象会社の事業運営に実質的な変更を加えないことを基本方針といたします。具体的には、次の各項目について現行を維持いたします。</w:t>
      </w:r>
    </w:p>
    <w:p>
      <w:pPr>
        <w:spacing w:after="80" w:line="300"/>
        <w:ind w:left="440" w:hanging="220"/>
      </w:pPr>
      <w:r>
        <w:rPr>
          <w:rFonts w:ascii="Century" w:eastAsia="ＭＳ 明朝" w:hAnsi="Century"/>
          <w:sz w:val="21"/>
          <w:szCs w:val="21"/>
        </w:rPr>
        <w:t xml:space="preserve">・料理・メニューの内容および価格帯</w:t>
      </w:r>
    </w:p>
    <w:p>
      <w:pPr>
        <w:spacing w:after="80" w:line="300"/>
        <w:ind w:left="440" w:hanging="220"/>
      </w:pPr>
      <w:r>
        <w:rPr>
          <w:rFonts w:ascii="Century" w:eastAsia="ＭＳ 明朝" w:hAnsi="Century"/>
          <w:sz w:val="21"/>
          <w:szCs w:val="21"/>
        </w:rPr>
        <w:t xml:space="preserve">・サービス料の料率（現行10%）。変更は岸田様のご判断による場合に限ります。</w:t>
      </w:r>
    </w:p>
    <w:p>
      <w:pPr>
        <w:spacing w:after="80" w:line="300"/>
        <w:ind w:left="440" w:hanging="220"/>
      </w:pPr>
      <w:r>
        <w:rPr>
          <w:rFonts w:ascii="Century" w:eastAsia="ＭＳ 明朝" w:hAnsi="Century"/>
          <w:sz w:val="21"/>
          <w:szCs w:val="21"/>
        </w:rPr>
        <w:t xml:space="preserve">・席数（34席）。面談にて、34席が品質を維持できる限界値であり、増席は推奨されない旨のご説明を賜りました。当社は増席を求めません。</w:t>
      </w:r>
    </w:p>
    <w:p>
      <w:pPr>
        <w:spacing w:after="80" w:line="300"/>
        <w:ind w:left="440" w:hanging="220"/>
      </w:pPr>
      <w:r>
        <w:rPr>
          <w:rFonts w:ascii="Century" w:eastAsia="ＭＳ 明朝" w:hAnsi="Century"/>
          <w:sz w:val="21"/>
          <w:szCs w:val="21"/>
        </w:rPr>
        <w:t xml:space="preserve">・営業日数および休日。当社は営業日数の増加を求めません。</w:t>
      </w:r>
    </w:p>
    <w:p>
      <w:pPr>
        <w:spacing w:after="80" w:line="300"/>
        <w:ind w:left="440" w:hanging="220"/>
      </w:pPr>
      <w:r>
        <w:rPr>
          <w:rFonts w:ascii="Century" w:eastAsia="ＭＳ 明朝" w:hAnsi="Century"/>
          <w:sz w:val="21"/>
          <w:szCs w:val="21"/>
        </w:rPr>
        <w:t xml:space="preserve">・食材・ワインの仕入先および仕入条件（正規仕入先および契約農家各位との取引関係を含みます）</w:t>
      </w:r>
    </w:p>
    <w:p>
      <w:pPr>
        <w:spacing w:after="80" w:line="300"/>
        <w:ind w:left="440" w:hanging="220"/>
      </w:pPr>
      <w:r>
        <w:rPr>
          <w:rFonts w:ascii="Century" w:eastAsia="ＭＳ 明朝" w:hAnsi="Century"/>
          <w:sz w:val="21"/>
          <w:szCs w:val="21"/>
        </w:rPr>
        <w:t xml:space="preserve">・サービス体制および接客の方針。海外からのご予約の受入れ方針を含め、岸田様のご判断を尊重いたします。</w:t>
      </w:r>
    </w:p>
    <w:p>
      <w:pPr>
        <w:spacing w:after="60"/>
      </w:pPr>
    </w:p>
    <w:p>
      <w:pPr>
        <w:spacing w:after="100" w:before="0" w:line="300"/>
      </w:pPr>
      <w:r>
        <w:rPr>
          <w:rFonts w:ascii="Century" w:eastAsia="ＭＳ 明朝" w:hAnsi="Century"/>
          <w:sz w:val="21"/>
          <w:szCs w:val="21"/>
        </w:rPr>
        <w:t xml:space="preserve">三つ星の評価は、これらの要素が一体となって成立しているものと理解しております。当社が最も避けるべきと考えているのは、譲受後の性急な変更によってこの均衡が損なわれることです。</w:t>
      </w:r>
    </w:p>
    <w:p>
      <w:pPr>
        <w:spacing w:after="120" w:before="0" w:line="300"/>
      </w:pPr>
      <w:r>
        <w:rPr>
          <w:rFonts w:ascii="Century" w:eastAsia="ＭＳ 明朝" w:hAnsi="Century"/>
          <w:sz w:val="21"/>
          <w:szCs w:val="21"/>
        </w:rPr>
        <w:t xml:space="preserve">なお、当社は本件の価額算定において、値上げ、増席、営業日数の増加その他の施策による増収を織り込んでおりません。算定根拠は本書7項に記載のとおり、現行の収益水準を前提としております。</w:t>
      </w:r>
    </w:p>
    <w:p>
      <w:pPr>
        <w:spacing w:after="100" w:before="200" w:line="300"/>
      </w:pPr>
      <w:r>
        <w:rPr>
          <w:rFonts w:ascii="Arial" w:eastAsia="ＭＳ ゴシック" w:hAnsi="Arial"/>
          <w:b/>
          <w:bCs/>
          <w:sz w:val="21"/>
          <w:szCs w:val="21"/>
        </w:rPr>
        <w:t xml:space="preserve">(2) 料理・ブランドに関する意思決定</w:t>
      </w:r>
    </w:p>
    <w:p>
      <w:pPr>
        <w:spacing w:after="120" w:before="0" w:line="300"/>
      </w:pPr>
      <w:r>
        <w:rPr>
          <w:rFonts w:ascii="Century" w:eastAsia="ＭＳ 明朝" w:hAnsi="Century"/>
          <w:sz w:val="21"/>
          <w:szCs w:val="21"/>
        </w:rPr>
        <w:t xml:space="preserve">ご共有いただいた質疑応答において、料理・ブランドに関する一定の自主性と品質承認プロセスの確保をご要望である旨を拝見いたしました。また、短期間の多店舗化や大量販売はブランド毀損につながるため、本店を守り、別商品・別業態で検証を重ねる進め方が望ましいとのお考えも承知いたしました。</w:t>
      </w:r>
    </w:p>
    <w:p>
      <w:pPr>
        <w:spacing w:after="100" w:before="0" w:line="300"/>
      </w:pPr>
      <w:r>
        <w:rPr>
          <w:rFonts w:ascii="Century" w:eastAsia="ＭＳ 明朝" w:hAnsi="Century"/>
          <w:sz w:val="21"/>
          <w:szCs w:val="21"/>
        </w:rPr>
        <w:t xml:space="preserve">当社は、いずれのお考えにも全面的に賛同いたします。そのうえで、次の2点を最終契約においてお約束する用意がございます。</w:t>
      </w:r>
    </w:p>
    <w:p>
      <w:pPr>
        <w:spacing w:after="80" w:line="300"/>
        <w:ind w:left="440" w:hanging="280"/>
      </w:pPr>
      <w:r>
        <w:rPr>
          <w:rFonts w:ascii="Century" w:eastAsia="ＭＳ 明朝" w:hAnsi="Century"/>
          <w:sz w:val="21"/>
          <w:szCs w:val="21"/>
        </w:rPr>
        <w:t xml:space="preserve">① 料理、メニュー、価格、食材・ワインの仕入、店舗の意匠その他ブランドに関わる事項は、岸田様ご在任中は岸田様の、ご退任後は後継の料理長の承認を要するものとし、当社が一方的に決定することはいたしません。</w:t>
      </w:r>
    </w:p>
    <w:p>
      <w:pPr>
        <w:spacing w:after="80" w:line="300"/>
        <w:ind w:left="440" w:hanging="280"/>
      </w:pPr>
      <w:r>
        <w:rPr>
          <w:rFonts w:ascii="Century" w:eastAsia="ＭＳ 明朝" w:hAnsi="Century"/>
          <w:sz w:val="21"/>
          <w:szCs w:val="21"/>
        </w:rPr>
        <w:t xml:space="preserve">② カンテサンス本体の多店舗化は行いません。展開は、本店とは切り離した別商品・別業態において、段階的に検証を重ねる方法によります。</w:t>
      </w:r>
    </w:p>
    <w:p>
      <w:pPr>
        <w:spacing w:after="100" w:before="200" w:line="300"/>
      </w:pPr>
      <w:r>
        <w:rPr>
          <w:rFonts w:ascii="Arial" w:eastAsia="ＭＳ ゴシック" w:hAnsi="Arial"/>
          <w:b/>
          <w:bCs/>
          <w:sz w:val="21"/>
          <w:szCs w:val="21"/>
        </w:rPr>
        <w:t xml:space="preserve">(3) 企業価値向上施策</w:t>
      </w:r>
    </w:p>
    <w:p>
      <w:pPr>
        <w:spacing w:after="100" w:before="0" w:line="300"/>
      </w:pPr>
      <w:r>
        <w:rPr>
          <w:rFonts w:ascii="Century" w:eastAsia="ＭＳ 明朝" w:hAnsi="Century"/>
          <w:sz w:val="21"/>
          <w:szCs w:val="21"/>
        </w:rPr>
        <w:t xml:space="preserve">いずれも、岸田様がご納得される形でのみ実施するものです。三つ星の維持と両立しない施策は行いません。</w:t>
      </w:r>
    </w:p>
    <w:p>
      <w:pPr>
        <w:spacing w:after="80" w:line="300"/>
        <w:ind w:left="440" w:hanging="280"/>
      </w:pPr>
      <w:r>
        <w:rPr>
          <w:rFonts w:ascii="Century" w:eastAsia="ＭＳ 明朝" w:hAnsi="Century"/>
          <w:sz w:val="21"/>
          <w:szCs w:val="21"/>
        </w:rPr>
        <w:t xml:space="preserve">① 後継料理長の探索（最優先事項）：岸田様のご在任3年間のうちに、現ご在籍の方、卒業生の方、外部からの招聘という3つの選択肢を並行して検討し、最も適任の方を共同で選定いたします。当社は候補者の探索と交渉を実務として担当し、最終的な適否の判断は岸田様に委ねます。</w:t>
      </w:r>
    </w:p>
    <w:p>
      <w:pPr>
        <w:spacing w:after="80" w:line="300"/>
        <w:ind w:left="440" w:hanging="280"/>
      </w:pPr>
      <w:r>
        <w:rPr>
          <w:rFonts w:ascii="Century" w:eastAsia="ＭＳ 明朝" w:hAnsi="Century"/>
          <w:sz w:val="21"/>
          <w:szCs w:val="21"/>
        </w:rPr>
        <w:t xml:space="preserve">② 物販の拡大：面談において、対象会社で製造されたものと工場で製造されたものが併存し、後者が劣化版として受け取られる事態を避けるべきというお考えを伺いました。当社も同意見です。したがって二系統の製造は行わず、レストランの厨房から切り離した専用の製造拠点を単一の供給源として設けることを想定しております。レストランの生産能力を物販に割いている現状を解消すること自体が、厨房の負担軽減にもつながるものと考えております。海外販売は、その体制が整った段階で当社の輸出入ライセンスおよび越境ECの基盤を用いて進めます。</w:t>
      </w:r>
    </w:p>
    <w:p>
      <w:pPr>
        <w:spacing w:after="80" w:line="300"/>
        <w:ind w:left="440" w:hanging="280"/>
      </w:pPr>
      <w:r>
        <w:rPr>
          <w:rFonts w:ascii="Century" w:eastAsia="ＭＳ 明朝" w:hAnsi="Century"/>
          <w:sz w:val="21"/>
          <w:szCs w:val="21"/>
        </w:rPr>
        <w:t xml:space="preserve">③ 顧客情報のデジタル化：ご来店履歴・ご注文履歴を参照可能な形に整備いたします。営業現場の運用は変更いたしません。</w:t>
      </w:r>
    </w:p>
    <w:p>
      <w:pPr>
        <w:spacing w:after="80" w:line="300"/>
        <w:ind w:left="440" w:hanging="280"/>
      </w:pPr>
      <w:r>
        <w:rPr>
          <w:rFonts w:ascii="Century" w:eastAsia="ＭＳ 明朝" w:hAnsi="Century"/>
          <w:sz w:val="21"/>
          <w:szCs w:val="21"/>
        </w:rPr>
        <w:t xml:space="preserve">④ ワインリストの拡充：当社の調達網を通じ、現行の仕入経路を補完する形でリストを厚くいたします。</w:t>
      </w:r>
    </w:p>
    <w:p>
      <w:pPr>
        <w:spacing w:after="80" w:line="300"/>
        <w:ind w:left="440" w:hanging="280"/>
      </w:pPr>
      <w:r>
        <w:rPr>
          <w:rFonts w:ascii="Century" w:eastAsia="ＭＳ 明朝" w:hAnsi="Century"/>
          <w:sz w:val="21"/>
          <w:szCs w:val="21"/>
        </w:rPr>
        <w:t xml:space="preserve">⑤ 中長期のブランド展開：カフェ・デザート業態等への展開は、人材育成が前提であると伺っております。後継料理長の確保が完了し、岸田様に時間的な余裕が生じた段階で、改めてご相談させていただきます。</w:t>
      </w:r>
    </w:p>
    <w:p>
      <w:pPr>
        <w:spacing w:after="60"/>
      </w:pPr>
    </w:p>
    <w:p>
      <w:pPr>
        <w:spacing w:after="120" w:before="0" w:line="300"/>
      </w:pPr>
      <w:r>
        <w:rPr>
          <w:rFonts w:ascii="Century" w:eastAsia="ＭＳ 明朝" w:hAnsi="Century"/>
          <w:sz w:val="21"/>
          <w:szCs w:val="21"/>
        </w:rPr>
        <w:t xml:space="preserve">面談において、岸田様が現場を離れることは望ましくなく、横展開の打合せはオンラインまたはご来店の形が望ましい旨のご示唆を賜りました。スタッフの皆様が混乱されないことを最優先とするそのお考えに、当社は全面的に賛同いたします。</w:t>
      </w:r>
    </w:p>
    <w:p>
      <w:pPr>
        <w:spacing w:after="100" w:before="200" w:line="300"/>
      </w:pPr>
      <w:r>
        <w:rPr>
          <w:rFonts w:ascii="Arial" w:eastAsia="ＭＳ ゴシック" w:hAnsi="Arial"/>
          <w:b/>
          <w:bCs/>
          <w:sz w:val="21"/>
          <w:szCs w:val="21"/>
        </w:rPr>
        <w:t xml:space="preserve">(4) 店舗に関する方針（設備更新および移転・誘致のお話について）</w:t>
      </w:r>
    </w:p>
    <w:p>
      <w:pPr>
        <w:spacing w:after="120" w:before="0" w:line="300"/>
      </w:pPr>
      <w:r>
        <w:rPr>
          <w:rFonts w:ascii="Century" w:eastAsia="ＭＳ 明朝" w:hAnsi="Century"/>
          <w:sz w:val="21"/>
          <w:szCs w:val="21"/>
        </w:rPr>
        <w:t xml:space="preserve">面談において、現店舗が十数年を経過し設備の更新時期を迎えていること、および複数の商業施設から誘致のお話が来ていることを伺いました。この点について、当社の考えを申し上げます。</w:t>
      </w:r>
    </w:p>
    <w:p>
      <w:pPr>
        <w:spacing w:after="80" w:line="300"/>
        <w:ind w:left="440" w:hanging="280"/>
      </w:pPr>
      <w:r>
        <w:rPr>
          <w:rFonts w:ascii="Century" w:eastAsia="ＭＳ 明朝" w:hAnsi="Century"/>
          <w:sz w:val="21"/>
          <w:szCs w:val="21"/>
        </w:rPr>
        <w:t xml:space="preserve">① 設備の更新・修繕：当社は、必要な修繕および設備更新について、当社の資金により対応する用意がございます。株式会社アピシウスにおいても、店内の傷んでいた部分について当社の資金で改装・修繕を実施しており、同様の対応が可能です。譲受後、岸田様のご判断のもとで速やかに着手できるよう準備いたします。</w:t>
      </w:r>
    </w:p>
    <w:p>
      <w:pPr>
        <w:spacing w:after="80" w:line="300"/>
        <w:ind w:left="440" w:hanging="280"/>
      </w:pPr>
      <w:r>
        <w:rPr>
          <w:rFonts w:ascii="Century" w:eastAsia="ＭＳ 明朝" w:hAnsi="Century"/>
          <w:sz w:val="21"/>
          <w:szCs w:val="21"/>
        </w:rPr>
        <w:t xml:space="preserve">② 移転・誘致：移転は賃料水準を通じて対象会社の収益構造に直接影響するものであり、本件の価額算定の前提にも関わります。他方、有利な条件での移転が実現すれば、設備の刷新と収益性の向上が同時に達成される可能性もございます。当社は、移転の是非について反対も賛成も予断しておらず、岸田様とご一緒に検討させていただきたいと考えております。誘致条件の交渉および移転に要する資金の負担についても、当社が支援いたします。</w:t>
      </w:r>
    </w:p>
    <w:p>
      <w:pPr>
        <w:spacing w:after="60"/>
      </w:pPr>
    </w:p>
    <w:p>
      <w:pPr>
        <w:spacing w:after="100" w:before="0" w:line="300"/>
      </w:pPr>
      <w:r>
        <w:rPr>
          <w:rFonts w:ascii="Century" w:eastAsia="ＭＳ 明朝" w:hAnsi="Century"/>
          <w:sz w:val="21"/>
          <w:szCs w:val="21"/>
        </w:rPr>
        <w:t xml:space="preserve">つきましては、本書提出日からクロージングまでの間、次の各事項につきましては、事前にご協議の機会を賜りたくお願い申し上げます。対象会社の通常の事業運営を制約する趣旨ではございません。</w:t>
      </w:r>
    </w:p>
    <w:p>
      <w:pPr>
        <w:spacing w:after="80" w:line="300"/>
        <w:ind w:left="440" w:hanging="220"/>
      </w:pPr>
      <w:r>
        <w:rPr>
          <w:rFonts w:ascii="Century" w:eastAsia="ＭＳ 明朝" w:hAnsi="Century"/>
          <w:sz w:val="21"/>
          <w:szCs w:val="21"/>
        </w:rPr>
        <w:t xml:space="preserve">・移転・誘致に関する意向表明、覚書の締結その他の実質的な意思決定</w:t>
      </w:r>
    </w:p>
    <w:p>
      <w:pPr>
        <w:spacing w:after="80" w:line="300"/>
        <w:ind w:left="440" w:hanging="220"/>
      </w:pPr>
      <w:r>
        <w:rPr>
          <w:rFonts w:ascii="Century" w:eastAsia="ＭＳ 明朝" w:hAnsi="Century"/>
          <w:sz w:val="21"/>
          <w:szCs w:val="21"/>
        </w:rPr>
        <w:t xml:space="preserve">・店舗賃貸借契約の変更、更新または解約</w:t>
      </w:r>
    </w:p>
    <w:p>
      <w:pPr>
        <w:spacing w:after="80" w:line="300"/>
        <w:ind w:left="440" w:hanging="220"/>
      </w:pPr>
      <w:r>
        <w:rPr>
          <w:rFonts w:ascii="Century" w:eastAsia="ＭＳ 明朝" w:hAnsi="Century"/>
          <w:sz w:val="21"/>
          <w:szCs w:val="21"/>
        </w:rPr>
        <w:t xml:space="preserve">・1件あたり3,000万円を超える設備投資の意思決定</w:t>
      </w:r>
    </w:p>
    <w:p>
      <w:pPr>
        <w:spacing w:after="60"/>
      </w:pPr>
    </w:p>
    <w:p>
      <w:pPr>
        <w:spacing w:after="120" w:before="0" w:line="300"/>
      </w:pPr>
      <w:r>
        <w:rPr>
          <w:rFonts w:ascii="Century" w:eastAsia="ＭＳ 明朝" w:hAnsi="Century"/>
          <w:sz w:val="21"/>
          <w:szCs w:val="21"/>
        </w:rPr>
        <w:t xml:space="preserve">なお、これらの事項について、クロージングまでにご決定が必要となるやむを得ない事情がある場合には、当社は速やかに検討のうえ回答いたします。本件のプロセスを理由として、対象会社の事業機会が失われることがあってはならないと考えております。</w:t>
      </w:r>
    </w:p>
    <w:p>
      <w:pPr>
        <w:spacing w:after="100" w:before="200" w:line="300"/>
      </w:pPr>
      <w:r>
        <w:rPr>
          <w:rFonts w:ascii="Arial" w:eastAsia="ＭＳ ゴシック" w:hAnsi="Arial"/>
          <w:b/>
          <w:bCs/>
          <w:sz w:val="21"/>
          <w:szCs w:val="21"/>
        </w:rPr>
        <w:t xml:space="preserve">(5) 資本戦略の方向性</w:t>
      </w:r>
    </w:p>
    <w:p>
      <w:pPr>
        <w:spacing w:after="120" w:before="0" w:line="300"/>
      </w:pPr>
      <w:r>
        <w:rPr>
          <w:rFonts w:ascii="Century" w:eastAsia="ＭＳ 明朝" w:hAnsi="Century"/>
          <w:sz w:val="21"/>
          <w:szCs w:val="21"/>
        </w:rPr>
        <w:t xml:space="preserve">対象会社は当社グループにおいて保有し、第三者への再売却（いわゆる転売）は想定しておりません。対象会社からの配当は、本件取得に係る借入の返済に必要な範囲に限定いたします。対象会社には、運転資金および仕入先各位との信用維持に必要な水準の現預金を留保し、万一不足が生じる場合には当社が補填いたします。仕入先各位との与信関係に影響を与えることのないよう配慮いたします。</w:t>
      </w:r>
    </w:p>
    <w:p>
      <w:pPr>
        <w:pBdr>
          <w:bottom w:val="single" w:color="333333" w:sz="6" w:space="4"/>
        </w:pBdr>
        <w:spacing w:after="160" w:before="320" w:line="300"/>
      </w:pPr>
      <w:r>
        <w:rPr>
          <w:rFonts w:ascii="Arial" w:eastAsia="ＭＳ ゴシック" w:hAnsi="Arial"/>
          <w:b/>
          <w:bCs/>
          <w:sz w:val="22"/>
          <w:szCs w:val="22"/>
        </w:rPr>
        <w:t xml:space="preserve">4．役員及び従業員の処遇</w:t>
      </w:r>
    </w:p>
    <w:p>
      <w:pPr>
        <w:spacing w:after="100" w:before="200" w:line="300"/>
      </w:pPr>
      <w:r>
        <w:rPr>
          <w:rFonts w:ascii="Arial" w:eastAsia="ＭＳ ゴシック" w:hAnsi="Arial"/>
          <w:b/>
          <w:bCs/>
          <w:sz w:val="21"/>
          <w:szCs w:val="21"/>
        </w:rPr>
        <w:t xml:space="preserve">(1) 岸田周三様の処遇</w:t>
      </w:r>
    </w:p>
    <w:p>
      <w:pPr>
        <w:spacing w:after="120" w:before="0" w:line="300"/>
      </w:pPr>
      <w:r>
        <w:rPr>
          <w:rFonts w:ascii="Century" w:eastAsia="ＭＳ 明朝" w:hAnsi="Century"/>
          <w:sz w:val="21"/>
          <w:szCs w:val="21"/>
        </w:rPr>
        <w:t xml:space="preserve">譲受後3年間、岸田様には引き続き代表取締役としてご在任いただき、現在と同一の条件（役員報酬および役員賞与を含みます）を継続してお支払いすることを想定しております。毎日厨房にお立ちいただくという現行の関与形態を、当社は最大限尊重いたします。</w:t>
      </w:r>
    </w:p>
    <w:p>
      <w:pPr>
        <w:spacing w:after="120" w:before="0" w:line="300"/>
      </w:pPr>
      <w:r>
        <w:rPr>
          <w:rFonts w:ascii="Century" w:eastAsia="ＭＳ 明朝" w:hAnsi="Century"/>
          <w:sz w:val="21"/>
          <w:szCs w:val="21"/>
        </w:rPr>
        <w:t xml:space="preserve">面談において、フランス料理は他のジャンルと比べて仕事量が圧倒的に多く、体力の限界を迎えてから考えるのでは遅いとのお考えから本件をご検討されている旨を伺いました。当社は、このお考えを正面から受け止めております。ご在任中の勤務日数および関与の程度につきましては、対象会社の運営に支障のない範囲で、岸田様のご負担が過度とならない形を柔軟にご相談させていただきたく存じます。</w:t>
      </w:r>
    </w:p>
    <w:p>
      <w:pPr>
        <w:spacing w:after="120" w:before="0" w:line="300"/>
      </w:pPr>
      <w:r>
        <w:rPr>
          <w:rFonts w:ascii="Century" w:eastAsia="ＭＳ 明朝" w:hAnsi="Century"/>
          <w:sz w:val="21"/>
          <w:szCs w:val="21"/>
        </w:rPr>
        <w:t xml:space="preserve">3年経過後につきましては、岸田様のご意向を最優先といたします。そのうえで、当社としては顧問契約その他の形でのご関与を希望しております。面談において、料理の技術は教えてこられた一方、経営のノウハウについては言葉にしてお伝えになったことがないとのお話を賜りました。対象会社がこの20年で築いた収益構造は、その考え方が生んだものであると当社は理解しております。これを後継の方々へお伝えいただく場を用意することは、当社にとっても、対象会社にとっても価値のあることと存じます。</w:t>
      </w:r>
    </w:p>
    <w:p>
      <w:pPr>
        <w:spacing w:after="100" w:before="200" w:line="300"/>
      </w:pPr>
      <w:r>
        <w:rPr>
          <w:rFonts w:ascii="Arial" w:eastAsia="ＭＳ ゴシック" w:hAnsi="Arial"/>
          <w:b/>
          <w:bCs/>
          <w:sz w:val="21"/>
          <w:szCs w:val="21"/>
        </w:rPr>
        <w:t xml:space="preserve">(2) 従業員の処遇</w:t>
      </w:r>
    </w:p>
    <w:p>
      <w:pPr>
        <w:spacing w:after="120" w:before="0" w:line="300"/>
      </w:pPr>
      <w:r>
        <w:rPr>
          <w:rFonts w:ascii="Century" w:eastAsia="ＭＳ 明朝" w:hAnsi="Century"/>
          <w:sz w:val="21"/>
          <w:szCs w:val="21"/>
        </w:rPr>
        <w:t xml:space="preserve">支配人1名、キッチン13名、サービス7名の計21名の皆様について、給与・賞与・役職・勤務条件のいずれについても、譲受を理由とする不利益な変更は行いません。雇用はそのまま承継いたします。</w:t>
      </w:r>
    </w:p>
    <w:p>
      <w:pPr>
        <w:spacing w:after="120" w:before="0" w:line="300"/>
      </w:pPr>
      <w:r>
        <w:rPr>
          <w:rFonts w:ascii="Century" w:eastAsia="ＭＳ 明朝" w:hAnsi="Century"/>
          <w:sz w:val="21"/>
          <w:szCs w:val="21"/>
        </w:rPr>
        <w:t xml:space="preserve">これは方針の表明にとどまるものではございません。当社は、株式会社アピシウスの取得に際しても、幹部メンバーの全員に継続してご勤務いただいております。加えて、同社においてはサービス残業を撤廃し、12月の繁忙期を除き残業そのものが発生しない体制を実現いたしました。対象会社におきましても、同様の方針で臨む所存です。</w:t>
      </w:r>
    </w:p>
    <w:p>
      <w:pPr>
        <w:spacing w:after="100" w:before="200" w:line="300"/>
      </w:pPr>
      <w:r>
        <w:rPr>
          <w:rFonts w:ascii="Arial" w:eastAsia="ＭＳ ゴシック" w:hAnsi="Arial"/>
          <w:b/>
          <w:bCs/>
          <w:sz w:val="21"/>
          <w:szCs w:val="21"/>
        </w:rPr>
        <w:t xml:space="preserve">(3) 経営体制および役員の派遣</w:t>
      </w:r>
    </w:p>
    <w:p>
      <w:pPr>
        <w:spacing w:after="120" w:before="0" w:line="300"/>
      </w:pPr>
      <w:r>
        <w:rPr>
          <w:rFonts w:ascii="Century" w:eastAsia="ＭＳ 明朝" w:hAnsi="Century"/>
          <w:sz w:val="21"/>
          <w:szCs w:val="21"/>
        </w:rPr>
        <w:t xml:space="preserve">当社からは、経理・法務・資金管理の支援を目的として非常勤取締役1名の派遣を想定しております。厨房およびサービスの現場運営に当社から人員を派遣することは想定しておりません。社内組織の改変も、譲受後3年間は行わない方針です。</w:t>
      </w:r>
    </w:p>
    <w:p>
      <w:pPr>
        <w:spacing w:after="100" w:before="200" w:line="300"/>
      </w:pPr>
      <w:r>
        <w:rPr>
          <w:rFonts w:ascii="Arial" w:eastAsia="ＭＳ ゴシック" w:hAnsi="Arial"/>
          <w:b/>
          <w:bCs/>
          <w:sz w:val="21"/>
          <w:szCs w:val="21"/>
        </w:rPr>
        <w:t xml:space="preserve">(4) モチベーションの維持・向上に関する施策</w:t>
      </w:r>
    </w:p>
    <w:p>
      <w:pPr>
        <w:spacing w:after="80" w:line="300"/>
        <w:ind w:left="440" w:hanging="220"/>
      </w:pPr>
      <w:r>
        <w:rPr>
          <w:rFonts w:ascii="Century" w:eastAsia="ＭＳ 明朝" w:hAnsi="Century"/>
          <w:sz w:val="21"/>
          <w:szCs w:val="21"/>
        </w:rPr>
        <w:t xml:space="preserve">・後継料理長の選定を見据えた、若手の皆様のキャリアパスの明示</w:t>
      </w:r>
    </w:p>
    <w:p>
      <w:pPr>
        <w:spacing w:after="80" w:line="300"/>
        <w:ind w:left="440" w:hanging="220"/>
      </w:pPr>
      <w:r>
        <w:rPr>
          <w:rFonts w:ascii="Century" w:eastAsia="ＭＳ 明朝" w:hAnsi="Century"/>
          <w:sz w:val="21"/>
          <w:szCs w:val="21"/>
        </w:rPr>
        <w:t xml:space="preserve">・独立を志す方に対する支援制度の整備（対象会社からは、二つ星3店舗を含め十数店舗の卒業生の方々が独立されていると承知しております。東京の他の三つ星3店舗の卒業生を合わせても及ばない規模であり、これは対象会社の育成力そのものです。この文化を損なうことなく、むしろ制度として支える形を検討いたします）</w:t>
      </w:r>
    </w:p>
    <w:p>
      <w:pPr>
        <w:spacing w:after="80" w:line="300"/>
        <w:ind w:left="440" w:hanging="220"/>
      </w:pPr>
      <w:r>
        <w:rPr>
          <w:rFonts w:ascii="Century" w:eastAsia="ＭＳ 明朝" w:hAnsi="Century"/>
          <w:sz w:val="21"/>
          <w:szCs w:val="21"/>
        </w:rPr>
        <w:t xml:space="preserve">・当社が主催するワインイベント・オークションへのご参画機会の提供</w:t>
      </w:r>
    </w:p>
    <w:p>
      <w:pPr>
        <w:spacing w:after="80" w:line="300"/>
        <w:ind w:left="440" w:hanging="220"/>
      </w:pPr>
      <w:r>
        <w:rPr>
          <w:rFonts w:ascii="Century" w:eastAsia="ＭＳ 明朝" w:hAnsi="Century"/>
          <w:sz w:val="21"/>
          <w:szCs w:val="21"/>
        </w:rPr>
        <w:t xml:space="preserve">・当社グループのレストラン事業との人事交流（ご本人の希望による場合に限ります）</w:t>
      </w:r>
    </w:p>
    <w:p>
      <w:pPr>
        <w:pBdr>
          <w:bottom w:val="single" w:color="333333" w:sz="6" w:space="4"/>
        </w:pBdr>
        <w:spacing w:after="160" w:before="320" w:line="300"/>
      </w:pPr>
      <w:r>
        <w:rPr>
          <w:rFonts w:ascii="Arial" w:eastAsia="ＭＳ ゴシック" w:hAnsi="Arial"/>
          <w:b/>
          <w:bCs/>
          <w:sz w:val="22"/>
          <w:szCs w:val="22"/>
        </w:rPr>
        <w:t xml:space="preserve">5．想定されている取引スキーム</w:t>
      </w:r>
    </w:p>
    <w:tbl>
      <w:tblPr>
        <w:tblW w:type="dxa" w:w="9200"/>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7300"/>
      </w:tblGrid>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取得スキーム</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現金対価による株式譲渡</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取得希望割合</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発行済株式の100%</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取得対象</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対象会社および同社の子会社であるカンテサンスプラス株式会社の2社。株式会社BISが本件の対象外であることは、ご共有いただいた質疑応答により確認いたしました。なお、カンテサンスプラス株式会社は監修・コンサルティングを営む会社であり、第10期（2026年6月期）の売上高は593万円、純資産は3,607万円、現預金は4,291万円と承知しております。物販（ガトー）の売上は対象会社本体に計上されていることも確認いたしました。</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取得主体</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当社が本件のために設立する買収目的会社（SPC）。SPCが対象会社の全株式を取得し、クロージング後にSPCと対象会社を合併することを想定しております。SPCの株主は、当社代表取締役 中野邦人および本件の投資家です。実質的な取得主体および責任主体は当社です。</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役員貸付金の取扱い</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対象会社が計上する長期貸付金（役員貸付金）については、クロージング時に現金にて精算いただくことを前提としております。</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クロージング</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2026年12月末（貴社と合意済み）</w:t>
            </w:r>
          </w:p>
        </w:tc>
      </w:tr>
    </w:tbl>
    <w:p>
      <w:pPr>
        <w:pBdr>
          <w:bottom w:val="single" w:color="333333" w:sz="6" w:space="4"/>
        </w:pBdr>
        <w:spacing w:after="160" w:before="320" w:line="300"/>
      </w:pPr>
      <w:r>
        <w:rPr>
          <w:rFonts w:ascii="Arial" w:eastAsia="ＭＳ ゴシック" w:hAnsi="Arial"/>
          <w:b/>
          <w:bCs/>
          <w:sz w:val="22"/>
          <w:szCs w:val="22"/>
        </w:rPr>
        <w:t xml:space="preserve">6．対象会社の譲受希望価額</w:t>
      </w:r>
    </w:p>
    <w:p>
      <w:pPr>
        <w:spacing w:after="120" w:before="0" w:line="300"/>
      </w:pPr>
      <w:r>
        <w:rPr>
          <w:rFonts w:ascii="Century" w:eastAsia="ＭＳ 明朝" w:hAnsi="Century"/>
          <w:sz w:val="21"/>
          <w:szCs w:val="21"/>
        </w:rPr>
        <w:t xml:space="preserve">株式価値（100%ベース）として、下記のレンジを提示いたします。</w:t>
      </w:r>
    </w:p>
    <w:tbl>
      <w:tblPr>
        <w:tblW w:type="dxa" w:w="9200"/>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6600"/>
      </w:tblGrid>
      <w:tr>
        <w:trPr>
          <w:cantSplit/>
        </w:trPr>
        <w:tc>
          <w:tcPr>
            <w:tcW w:type="dxa" w:w="2600"/>
            <w:shd w:fill="F2F2F2" w:color="auto" w:val="clear"/>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下限価額</w:t>
            </w:r>
          </w:p>
        </w:tc>
        <w:tc>
          <w:tcPr>
            <w:tcW w:type="dxa" w:w="6600"/>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50億0,000万円</w:t>
            </w:r>
          </w:p>
        </w:tc>
      </w:tr>
      <w:tr>
        <w:trPr>
          <w:cantSplit/>
        </w:trPr>
        <w:tc>
          <w:tcPr>
            <w:tcW w:type="dxa" w:w="2600"/>
            <w:shd w:fill="F2F2F2" w:color="auto" w:val="clear"/>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上限価額</w:t>
            </w:r>
          </w:p>
        </w:tc>
        <w:tc>
          <w:tcPr>
            <w:tcW w:type="dxa" w:w="6600"/>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55億0,000万円</w:t>
            </w:r>
          </w:p>
        </w:tc>
      </w:tr>
    </w:tbl>
    <w:p>
      <w:pPr>
        <w:spacing w:after="120"/>
      </w:pPr>
    </w:p>
    <w:p>
      <w:pPr>
        <w:spacing w:after="100" w:before="200" w:line="300"/>
      </w:pPr>
      <w:r>
        <w:rPr>
          <w:rFonts w:ascii="Arial" w:eastAsia="ＭＳ ゴシック" w:hAnsi="Arial"/>
          <w:b/>
          <w:bCs/>
          <w:sz w:val="21"/>
          <w:szCs w:val="21"/>
        </w:rPr>
        <w:t xml:space="preserve">(1) 算定方式のご提案</w:t>
      </w:r>
    </w:p>
    <w:p>
      <w:pPr>
        <w:spacing w:after="120" w:before="0" w:line="300"/>
      </w:pPr>
      <w:r>
        <w:rPr>
          <w:rFonts w:ascii="Century" w:eastAsia="ＭＳ 明朝" w:hAnsi="Century"/>
          <w:sz w:val="21"/>
          <w:szCs w:val="21"/>
        </w:rPr>
        <w:t xml:space="preserve">対象会社は無借金かつ多額の現預金を保有されており、かつクロージング予定日（2026年12月末）は対象会社の決算期末と重なります。このため、固定額での提示は、クロージング日までに対象会社が稼得される利益の帰属について、売主・買主双方に不要な争点を生じさせるおそれがあると考えております。</w:t>
      </w:r>
    </w:p>
    <w:p>
      <w:pPr>
        <w:spacing w:after="100" w:before="0" w:line="300"/>
      </w:pPr>
      <w:r>
        <w:rPr>
          <w:rFonts w:ascii="Century" w:eastAsia="ＭＳ 明朝" w:hAnsi="Century"/>
          <w:sz w:val="21"/>
          <w:szCs w:val="21"/>
        </w:rPr>
        <w:t xml:space="preserve">そこで当社は、次の算定方式を提案いたします。</w:t>
      </w:r>
    </w:p>
    <w:tbl>
      <w:tblPr>
        <w:tblW w:type="dxa" w:w="9200"/>
        <w:tblBorders>
          <w:top w:val="single" w:color="BFBFBF" w:sz="4"/>
          <w:left w:val="single" w:color="BFBFBF" w:sz="4"/>
          <w:bottom w:val="single" w:color="BFBFBF" w:sz="4"/>
          <w:right w:val="single" w:color="BFBFBF" w:sz="4"/>
          <w:insideH w:val="single" w:color="BFBFBF" w:sz="4"/>
          <w:insideV w:val="single" w:color="BFBFBF" w:sz="4"/>
        </w:tblBorders>
      </w:tblPr>
      <w:tblGrid>
        <w:gridCol w:w="9200"/>
      </w:tblGrid>
      <w:tr>
        <w:trPr>
          <w:cantSplit/>
        </w:trPr>
        <w:tc>
          <w:tcPr>
            <w:tcW w:type="dxa" w:w="9200"/>
            <w:tcMar>
              <w:top w:type="dxa" w:w="70"/>
              <w:left w:type="dxa" w:w="110"/>
              <w:bottom w:type="dxa" w:w="70"/>
              <w:right w:type="dxa" w:w="110"/>
            </w:tcMar>
          </w:tcPr>
          <w:p>
            <w:pPr>
              <w:spacing w:after="0" w:line="280"/>
              <w:jc w:val="center"/>
            </w:pPr>
            <w:r>
              <w:rPr>
                <w:rFonts w:ascii="Arial" w:eastAsia="ＭＳ ゴシック" w:hAnsi="Arial"/>
                <w:b/>
                <w:bCs/>
                <w:sz w:val="21"/>
                <w:szCs w:val="21"/>
              </w:rPr>
              <w:t xml:space="preserve">株式価値 ＝ 事業価値 27億8,000万円 ＋ クロージング日時点のネットキャッシュ実額</w:t>
            </w:r>
          </w:p>
        </w:tc>
      </w:tr>
    </w:tbl>
    <w:p>
      <w:pPr>
        <w:spacing w:after="80"/>
      </w:pPr>
    </w:p>
    <w:p>
      <w:pPr>
        <w:spacing w:after="100" w:before="0" w:line="300"/>
      </w:pPr>
      <w:r>
        <w:rPr>
          <w:rFonts w:ascii="Century" w:eastAsia="ＭＳ 明朝" w:hAnsi="Century"/>
          <w:sz w:val="21"/>
          <w:szCs w:val="21"/>
        </w:rPr>
        <w:t xml:space="preserve">ネットキャッシュは「現預金＋役員貸付金の精算額」とし、クロージング日を基準として実額で算定いたします。ただし、算定結果にかかわらず株式価値が50億円を下回ることはないものといたします。</w:t>
      </w:r>
    </w:p>
    <w:p>
      <w:pPr>
        <w:spacing w:after="120" w:before="0" w:line="300"/>
      </w:pPr>
      <w:r>
        <w:rPr>
          <w:rFonts w:ascii="Century" w:eastAsia="ＭＳ 明朝" w:hAnsi="Century"/>
          <w:sz w:val="21"/>
          <w:szCs w:val="21"/>
        </w:rPr>
        <w:t xml:space="preserve">2026年12月末をクロージング日とした場合、同日時点の想定ネットキャッシュは約22億4,000万円であり、株式価値は約50億2,000万円となります。仮にクロージングが後ろ倒しとなる場合には、その間に対象会社が稼得された利益がそのまま株式価値に加算されます。すなわち本方式は、期日が動いた場合にも売主の皆様が不利益を被らない設計となっております。</w:t>
      </w:r>
    </w:p>
    <w:p>
      <w:pPr>
        <w:spacing w:after="100" w:before="200" w:line="300"/>
      </w:pPr>
      <w:r>
        <w:rPr>
          <w:rFonts w:ascii="Arial" w:eastAsia="ＭＳ ゴシック" w:hAnsi="Arial"/>
          <w:b/>
          <w:bCs/>
          <w:sz w:val="21"/>
          <w:szCs w:val="21"/>
        </w:rPr>
        <w:t xml:space="preserve">(2) 上限価額（55億円）までの追加評価要素</w:t>
      </w:r>
    </w:p>
    <w:p>
      <w:pPr>
        <w:spacing w:after="100" w:before="0" w:line="300"/>
      </w:pPr>
      <w:r>
        <w:rPr>
          <w:rFonts w:ascii="Century" w:eastAsia="ＭＳ 明朝" w:hAnsi="Century"/>
          <w:sz w:val="21"/>
          <w:szCs w:val="21"/>
        </w:rPr>
        <w:t xml:space="preserve">下限価額50億円に対し、次の各事項がDDまたは最終契約交渉において確認された場合、当社は最大5億円の追加評価を行う用意がございます。</w:t>
      </w:r>
    </w:p>
    <w:p>
      <w:pPr>
        <w:spacing w:after="80" w:line="300"/>
        <w:ind w:left="440" w:hanging="280"/>
      </w:pPr>
      <w:r>
        <w:rPr>
          <w:rFonts w:ascii="Century" w:eastAsia="ＭＳ 明朝" w:hAnsi="Century"/>
          <w:sz w:val="21"/>
          <w:szCs w:val="21"/>
        </w:rPr>
        <w:t xml:space="preserve">① 後継料理長について、岸田様が候補者（特に卒業生の方々）への働きかけにご協力いただけることが確約される場合。面談において、名古屋にてご活躍の卒業生の方をはじめ、複数の候補をお示しいただきました。この項目は、当社にとって最も評価の大きい項目です。</w:t>
      </w:r>
    </w:p>
    <w:p>
      <w:pPr>
        <w:spacing w:after="80" w:line="300"/>
        <w:ind w:left="440" w:hanging="280"/>
      </w:pPr>
      <w:r>
        <w:rPr>
          <w:rFonts w:ascii="Century" w:eastAsia="ＭＳ 明朝" w:hAnsi="Century"/>
          <w:sz w:val="21"/>
          <w:szCs w:val="21"/>
        </w:rPr>
        <w:t xml:space="preserve">② 主要仕入先からの希少銘柄の配分が、岸田様個人ではなく対象会社に帰属するものであることが確認される場合。</w:t>
      </w:r>
    </w:p>
    <w:p>
      <w:pPr>
        <w:spacing w:after="80" w:line="300"/>
        <w:ind w:left="440" w:hanging="280"/>
      </w:pPr>
      <w:r>
        <w:rPr>
          <w:rFonts w:ascii="Century" w:eastAsia="ＭＳ 明朝" w:hAnsi="Century"/>
          <w:sz w:val="21"/>
          <w:szCs w:val="21"/>
        </w:rPr>
        <w:t xml:space="preserve">③ 店舗について、現店舗に残る場合は賃貸借契約の十分な残存期間と支配権異動による解除事由の不存在が確認され、移転を選択する場合は誘致条件（賃料、先方負担額、開業時期）が確定し、移転後の収益見通しについて合意に至る場合。</w:t>
      </w:r>
    </w:p>
    <w:p>
      <w:pPr>
        <w:spacing w:after="80" w:line="300"/>
        <w:ind w:left="440" w:hanging="280"/>
      </w:pPr>
      <w:r>
        <w:rPr>
          <w:rFonts w:ascii="Century" w:eastAsia="ＭＳ 明朝" w:hAnsi="Century"/>
          <w:sz w:val="21"/>
          <w:szCs w:val="21"/>
        </w:rPr>
        <w:t xml:space="preserve">④ 役員貸付金がクロージング時に全額現金精算されることが確定する場合。</w:t>
      </w:r>
    </w:p>
    <w:p>
      <w:pPr>
        <w:spacing w:after="80" w:line="300"/>
        <w:ind w:left="440" w:hanging="280"/>
      </w:pPr>
      <w:r>
        <w:rPr>
          <w:rFonts w:ascii="Century" w:eastAsia="ＭＳ 明朝" w:hAnsi="Century"/>
          <w:sz w:val="21"/>
          <w:szCs w:val="21"/>
        </w:rPr>
        <w:t xml:space="preserve">⑤ 物販事業について、商標およびレシピが対象会社に帰属し、レストラン外に製造拠点を設けることに支障がないことが確認される場合。なお、ワイン在庫につきましては簿価1.19億円と承知しており、時価評価による含み益は生じうるものの、価額全体に与える影響は限定的であると理解しております。</w:t>
      </w:r>
    </w:p>
    <w:p>
      <w:pPr>
        <w:spacing w:after="80" w:line="300"/>
        <w:ind w:left="440" w:hanging="280"/>
      </w:pPr>
      <w:r>
        <w:rPr>
          <w:rFonts w:ascii="Century" w:eastAsia="ＭＳ 明朝" w:hAnsi="Century"/>
          <w:sz w:val="21"/>
          <w:szCs w:val="21"/>
        </w:rPr>
        <w:t xml:space="preserve">⑥ カンテサンスプラス株式会社の純資産3,607万円および中小企業倒産防止共済の解約手当金相当額が、実質的に対象会社グループに帰属することが確認される場合。</w:t>
      </w:r>
    </w:p>
    <w:p>
      <w:pPr>
        <w:spacing w:after="60"/>
      </w:pPr>
    </w:p>
    <w:p>
      <w:pPr>
        <w:spacing w:after="120" w:before="0" w:line="300"/>
      </w:pPr>
      <w:r>
        <w:rPr>
          <w:rFonts w:ascii="Century" w:eastAsia="ＭＳ 明朝" w:hAnsi="Century"/>
          <w:sz w:val="21"/>
          <w:szCs w:val="21"/>
        </w:rPr>
        <w:t xml:space="preserve">なお、これらはいずれも対象会社の価値を毀損する事象ではなく、確認により当社のリスク評価が低下することに伴う上乗せです。確認できない場合であっても、下限価額を引き下げることは想定しておりません。</w:t>
      </w:r>
    </w:p>
    <w:p>
      <w:pPr>
        <w:pBdr>
          <w:bottom w:val="single" w:color="333333" w:sz="6" w:space="4"/>
        </w:pBdr>
        <w:spacing w:after="160" w:before="320" w:line="300"/>
      </w:pPr>
      <w:r>
        <w:rPr>
          <w:rFonts w:ascii="Arial" w:eastAsia="ＭＳ ゴシック" w:hAnsi="Arial"/>
          <w:b/>
          <w:bCs/>
          <w:sz w:val="22"/>
          <w:szCs w:val="22"/>
        </w:rPr>
        <w:t xml:space="preserve">7．譲受価額の算出根拠</w:t>
      </w:r>
    </w:p>
    <w:p>
      <w:pPr>
        <w:spacing w:after="120" w:before="0" w:line="300"/>
      </w:pPr>
      <w:r>
        <w:rPr>
          <w:rFonts w:ascii="Century" w:eastAsia="ＭＳ 明朝" w:hAnsi="Century"/>
          <w:sz w:val="21"/>
          <w:szCs w:val="21"/>
        </w:rPr>
        <w:t xml:space="preserve">本価額は、初期開示資料に記載された2026年12月期の会社計画を前提として、次の4手法により算定し、その整合性を確認したうえで決定したものです。詳細な分析は別紙2として添付いたします。</w:t>
      </w:r>
    </w:p>
    <w:p>
      <w:pPr>
        <w:spacing w:after="100" w:before="200" w:line="300"/>
      </w:pPr>
      <w:r>
        <w:rPr>
          <w:rFonts w:ascii="Arial" w:eastAsia="ＭＳ ゴシック" w:hAnsi="Arial"/>
          <w:b/>
          <w:bCs/>
          <w:sz w:val="21"/>
          <w:szCs w:val="21"/>
        </w:rPr>
        <w:t xml:space="preserve">(1) 前提とした財務数値（2026年12月期）</w:t>
      </w:r>
    </w:p>
    <w:tbl>
      <w:tblPr>
        <w:tblW w:type="dxa" w:w="9200"/>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1700"/>
        <w:gridCol w:w="2600"/>
        <w:gridCol w:w="2300"/>
      </w:tblGrid>
      <w:tr>
        <w:trPr>
          <w:cantSplit/>
        </w:trPr>
        <w:tc>
          <w:tcPr>
            <w:tcW w:type="dxa" w:w="2600"/>
            <w:shd w:fill="F2F2F2" w:color="auto" w:val="clear"/>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売上高</w:t>
            </w:r>
          </w:p>
        </w:tc>
        <w:tc>
          <w:tcPr>
            <w:tcW w:type="dxa" w:w="1700"/>
            <w:tcMar>
              <w:top w:type="dxa" w:w="70"/>
              <w:left w:type="dxa" w:w="110"/>
              <w:bottom w:type="dxa" w:w="70"/>
              <w:right w:type="dxa" w:w="110"/>
            </w:tcMar>
          </w:tcPr>
          <w:p>
            <w:pPr>
              <w:spacing w:after="0" w:line="280"/>
              <w:jc w:val="right"/>
            </w:pPr>
            <w:r>
              <w:rPr>
                <w:rFonts w:ascii="Century" w:eastAsia="ＭＳ 明朝" w:hAnsi="Century"/>
                <w:sz w:val="20"/>
                <w:szCs w:val="20"/>
              </w:rPr>
              <w:t xml:space="preserve">10億1,500万円</w:t>
            </w:r>
          </w:p>
        </w:tc>
        <w:tc>
          <w:tcPr>
            <w:tcW w:type="dxa" w:w="2600"/>
            <w:shd w:fill="F2F2F2" w:color="auto" w:val="clear"/>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当期純利益</w:t>
            </w:r>
          </w:p>
        </w:tc>
        <w:tc>
          <w:tcPr>
            <w:tcW w:type="dxa" w:w="2300"/>
            <w:tcMar>
              <w:top w:type="dxa" w:w="70"/>
              <w:left w:type="dxa" w:w="110"/>
              <w:bottom w:type="dxa" w:w="70"/>
              <w:right w:type="dxa" w:w="110"/>
            </w:tcMar>
          </w:tcPr>
          <w:p>
            <w:pPr>
              <w:spacing w:after="0" w:line="280"/>
              <w:jc w:val="right"/>
            </w:pPr>
            <w:r>
              <w:rPr>
                <w:rFonts w:ascii="Century" w:eastAsia="ＭＳ 明朝" w:hAnsi="Century"/>
                <w:sz w:val="20"/>
                <w:szCs w:val="20"/>
              </w:rPr>
              <w:t xml:space="preserve">3億5,000万円</w:t>
            </w:r>
          </w:p>
        </w:tc>
      </w:tr>
      <w:tr>
        <w:trPr>
          <w:cantSplit/>
        </w:trPr>
        <w:tc>
          <w:tcPr>
            <w:tcW w:type="dxa" w:w="2600"/>
            <w:shd w:fill="F2F2F2" w:color="auto" w:val="clear"/>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営業利益</w:t>
            </w:r>
          </w:p>
        </w:tc>
        <w:tc>
          <w:tcPr>
            <w:tcW w:type="dxa" w:w="1700"/>
            <w:tcMar>
              <w:top w:type="dxa" w:w="70"/>
              <w:left w:type="dxa" w:w="110"/>
              <w:bottom w:type="dxa" w:w="70"/>
              <w:right w:type="dxa" w:w="110"/>
            </w:tcMar>
          </w:tcPr>
          <w:p>
            <w:pPr>
              <w:spacing w:after="0" w:line="280"/>
              <w:jc w:val="right"/>
            </w:pPr>
            <w:r>
              <w:rPr>
                <w:rFonts w:ascii="Century" w:eastAsia="ＭＳ 明朝" w:hAnsi="Century"/>
                <w:sz w:val="20"/>
                <w:szCs w:val="20"/>
              </w:rPr>
              <w:t xml:space="preserve">5億2,800万円</w:t>
            </w:r>
          </w:p>
        </w:tc>
        <w:tc>
          <w:tcPr>
            <w:tcW w:type="dxa" w:w="2600"/>
            <w:shd w:fill="F2F2F2" w:color="auto" w:val="clear"/>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EBITDA</w:t>
            </w:r>
          </w:p>
        </w:tc>
        <w:tc>
          <w:tcPr>
            <w:tcW w:type="dxa" w:w="2300"/>
            <w:tcMar>
              <w:top w:type="dxa" w:w="70"/>
              <w:left w:type="dxa" w:w="110"/>
              <w:bottom w:type="dxa" w:w="70"/>
              <w:right w:type="dxa" w:w="110"/>
            </w:tcMar>
          </w:tcPr>
          <w:p>
            <w:pPr>
              <w:spacing w:after="0" w:line="280"/>
              <w:jc w:val="right"/>
            </w:pPr>
            <w:r>
              <w:rPr>
                <w:rFonts w:ascii="Century" w:eastAsia="ＭＳ 明朝" w:hAnsi="Century"/>
                <w:sz w:val="20"/>
                <w:szCs w:val="20"/>
              </w:rPr>
              <w:t xml:space="preserve">5億2,900万円</w:t>
            </w:r>
          </w:p>
        </w:tc>
      </w:tr>
      <w:tr>
        <w:trPr>
          <w:cantSplit/>
        </w:trPr>
        <w:tc>
          <w:tcPr>
            <w:tcW w:type="dxa" w:w="2600"/>
            <w:shd w:fill="F2F2F2" w:color="auto" w:val="clear"/>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営業利益率</w:t>
            </w:r>
          </w:p>
        </w:tc>
        <w:tc>
          <w:tcPr>
            <w:tcW w:type="dxa" w:w="1700"/>
            <w:tcMar>
              <w:top w:type="dxa" w:w="70"/>
              <w:left w:type="dxa" w:w="110"/>
              <w:bottom w:type="dxa" w:w="70"/>
              <w:right w:type="dxa" w:w="110"/>
            </w:tcMar>
          </w:tcPr>
          <w:p>
            <w:pPr>
              <w:spacing w:after="0" w:line="280"/>
              <w:jc w:val="right"/>
            </w:pPr>
            <w:r>
              <w:rPr>
                <w:rFonts w:ascii="Century" w:eastAsia="ＭＳ 明朝" w:hAnsi="Century"/>
                <w:sz w:val="20"/>
                <w:szCs w:val="20"/>
              </w:rPr>
              <w:t xml:space="preserve">52.0%</w:t>
            </w:r>
          </w:p>
        </w:tc>
        <w:tc>
          <w:tcPr>
            <w:tcW w:type="dxa" w:w="2600"/>
            <w:shd w:fill="F2F2F2" w:color="auto" w:val="clear"/>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期末純資産</w:t>
            </w:r>
          </w:p>
        </w:tc>
        <w:tc>
          <w:tcPr>
            <w:tcW w:type="dxa" w:w="2300"/>
            <w:tcMar>
              <w:top w:type="dxa" w:w="70"/>
              <w:left w:type="dxa" w:w="110"/>
              <w:bottom w:type="dxa" w:w="70"/>
              <w:right w:type="dxa" w:w="110"/>
            </w:tcMar>
          </w:tcPr>
          <w:p>
            <w:pPr>
              <w:spacing w:after="0" w:line="280"/>
              <w:jc w:val="right"/>
            </w:pPr>
            <w:r>
              <w:rPr>
                <w:rFonts w:ascii="Century" w:eastAsia="ＭＳ 明朝" w:hAnsi="Century"/>
                <w:sz w:val="20"/>
                <w:szCs w:val="20"/>
              </w:rPr>
              <w:t xml:space="preserve">23億1,500万円</w:t>
            </w:r>
          </w:p>
        </w:tc>
      </w:tr>
    </w:tbl>
    <w:p>
      <w:pPr>
        <w:spacing w:after="80"/>
      </w:pPr>
    </w:p>
    <w:p>
      <w:pPr>
        <w:spacing w:after="120" w:before="0" w:line="300"/>
      </w:pPr>
      <w:r>
        <w:rPr>
          <w:rFonts w:ascii="Century" w:eastAsia="ＭＳ 明朝" w:hAnsi="Century"/>
          <w:color w:val="595959"/>
          <w:sz w:val="19"/>
          <w:szCs w:val="19"/>
        </w:rPr>
        <w:t xml:space="preserve">※　上記は会計上の計数です。ご共有いただいた質疑応答により、「修正営業利益5.8億円」と会計上の営業利益との差額が、主として岸田様の役員報酬に起因するものであることを承知いたしました。もっとも、当社は岸田様に譲受後3年間、現行と同一の条件でご在任いただくことを前提としております。役員報酬の正常化による収益改善は、岸田様がご退任され、後継の料理長の報酬に置き換わって初めて実現するものです。したがって当社は、3年間の確実性を重視し、会計上の営業利益を前提として算定しております。</w:t>
      </w:r>
    </w:p>
    <w:p>
      <w:pPr>
        <w:spacing w:after="120" w:before="0" w:line="300"/>
      </w:pPr>
      <w:r>
        <w:rPr>
          <w:rFonts w:ascii="Century" w:eastAsia="ＭＳ 明朝" w:hAnsi="Century"/>
          <w:sz w:val="21"/>
          <w:szCs w:val="21"/>
        </w:rPr>
        <w:t xml:space="preserve">上記の売上高は、客単価約8万円、1日あたりご来店者数約54名、年間営業日数約235日という面談でのご説明と整合しており、当社はこれを信頼性の高い計数であると判断しております。</w:t>
      </w:r>
    </w:p>
    <w:p>
      <w:pPr>
        <w:spacing w:after="100" w:before="200" w:line="300"/>
      </w:pPr>
      <w:r>
        <w:rPr>
          <w:rFonts w:ascii="Arial" w:eastAsia="ＭＳ ゴシック" w:hAnsi="Arial"/>
          <w:b/>
          <w:bCs/>
          <w:sz w:val="21"/>
          <w:szCs w:val="21"/>
        </w:rPr>
        <w:t xml:space="preserve">(2) 各手法による算定結果</w:t>
      </w:r>
    </w:p>
    <w:tbl>
      <w:tblPr>
        <w:tblW w:type="dxa" w:w="9200"/>
        <w:tblBorders>
          <w:top w:val="single" w:color="BFBFBF" w:sz="4"/>
          <w:left w:val="single" w:color="BFBFBF" w:sz="4"/>
          <w:bottom w:val="single" w:color="BFBFBF" w:sz="4"/>
          <w:right w:val="single" w:color="BFBFBF" w:sz="4"/>
          <w:insideH w:val="single" w:color="BFBFBF" w:sz="4"/>
          <w:insideV w:val="single" w:color="BFBFBF" w:sz="4"/>
        </w:tblBorders>
      </w:tblPr>
      <w:tblGrid>
        <w:gridCol w:w="2000"/>
        <w:gridCol w:w="4500"/>
        <w:gridCol w:w="2700"/>
      </w:tblGrid>
      <w:tr>
        <w:trPr>
          <w:cantSplit/>
        </w:trPr>
        <w:tc>
          <w:tcPr>
            <w:tcW w:type="dxa" w:w="20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評価手法</w:t>
            </w:r>
          </w:p>
        </w:tc>
        <w:tc>
          <w:tcPr>
            <w:tcW w:type="dxa" w:w="45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内容</w:t>
            </w:r>
          </w:p>
        </w:tc>
        <w:tc>
          <w:tcPr>
            <w:tcW w:type="dxa" w:w="27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算定結果</w:t>
            </w:r>
          </w:p>
        </w:tc>
      </w:tr>
      <w:tr>
        <w:trPr>
          <w:cantSplit/>
        </w:trPr>
        <w:tc>
          <w:tcPr>
            <w:tcW w:type="dxa" w:w="2000"/>
            <w:tcMar>
              <w:top w:type="dxa" w:w="70"/>
              <w:left w:type="dxa" w:w="110"/>
              <w:bottom w:type="dxa" w:w="70"/>
              <w:right w:type="dxa" w:w="110"/>
            </w:tcMar>
          </w:tcPr>
          <w:p>
            <w:pPr>
              <w:spacing w:after="0" w:line="280"/>
              <w:jc w:val="left"/>
            </w:pPr>
            <w:r>
              <w:rPr>
                <w:rFonts w:ascii="Century" w:eastAsia="ＭＳ 明朝" w:hAnsi="Century"/>
                <w:sz w:val="20"/>
                <w:szCs w:val="20"/>
              </w:rPr>
              <w:t xml:space="preserve">① EV/EBITDA倍率法</w:t>
            </w:r>
          </w:p>
        </w:tc>
        <w:tc>
          <w:tcPr>
            <w:tcW w:type="dxa" w:w="4500"/>
            <w:tcMar>
              <w:top w:type="dxa" w:w="70"/>
              <w:left w:type="dxa" w:w="110"/>
              <w:bottom w:type="dxa" w:w="70"/>
              <w:right w:type="dxa" w:w="110"/>
            </w:tcMar>
          </w:tcPr>
          <w:p>
            <w:pPr>
              <w:spacing w:after="0" w:line="280"/>
              <w:jc w:val="left"/>
            </w:pPr>
            <w:r>
              <w:rPr>
                <w:rFonts w:ascii="Century" w:eastAsia="ＭＳ 明朝" w:hAnsi="Century"/>
                <w:sz w:val="20"/>
                <w:szCs w:val="20"/>
              </w:rPr>
              <w:t xml:space="preserve">事業価値27億8,000万円 ÷ EBITDA 5億2,900万円</w:t>
            </w:r>
          </w:p>
        </w:tc>
        <w:tc>
          <w:tcPr>
            <w:tcW w:type="dxa" w:w="2700"/>
            <w:tcMar>
              <w:top w:type="dxa" w:w="70"/>
              <w:left w:type="dxa" w:w="110"/>
              <w:bottom w:type="dxa" w:w="70"/>
              <w:right w:type="dxa" w:w="110"/>
            </w:tcMar>
          </w:tcPr>
          <w:p>
            <w:pPr>
              <w:spacing w:after="0" w:line="280"/>
              <w:jc w:val="right"/>
            </w:pPr>
            <w:r>
              <w:rPr>
                <w:rFonts w:ascii="Century" w:eastAsia="ＭＳ 明朝" w:hAnsi="Century"/>
                <w:sz w:val="20"/>
                <w:szCs w:val="20"/>
              </w:rPr>
              <w:t xml:space="preserve">5.3倍</w:t>
            </w:r>
          </w:p>
        </w:tc>
      </w:tr>
      <w:tr>
        <w:trPr>
          <w:cantSplit/>
        </w:trPr>
        <w:tc>
          <w:tcPr>
            <w:tcW w:type="dxa" w:w="2000"/>
            <w:tcMar>
              <w:top w:type="dxa" w:w="70"/>
              <w:left w:type="dxa" w:w="110"/>
              <w:bottom w:type="dxa" w:w="70"/>
              <w:right w:type="dxa" w:w="110"/>
            </w:tcMar>
          </w:tcPr>
          <w:p>
            <w:pPr>
              <w:spacing w:after="0" w:line="280"/>
              <w:jc w:val="left"/>
            </w:pPr>
            <w:r>
              <w:rPr>
                <w:rFonts w:ascii="Century" w:eastAsia="ＭＳ 明朝" w:hAnsi="Century"/>
                <w:sz w:val="20"/>
                <w:szCs w:val="20"/>
              </w:rPr>
              <w:t xml:space="preserve">② 年買法</w:t>
            </w:r>
          </w:p>
        </w:tc>
        <w:tc>
          <w:tcPr>
            <w:tcW w:type="dxa" w:w="4500"/>
            <w:tcMar>
              <w:top w:type="dxa" w:w="70"/>
              <w:left w:type="dxa" w:w="110"/>
              <w:bottom w:type="dxa" w:w="70"/>
              <w:right w:type="dxa" w:w="110"/>
            </w:tcMar>
          </w:tcPr>
          <w:p>
            <w:pPr>
              <w:spacing w:after="0" w:line="280"/>
              <w:jc w:val="left"/>
            </w:pPr>
            <w:r>
              <w:rPr>
                <w:rFonts w:ascii="Century" w:eastAsia="ＭＳ 明朝" w:hAnsi="Century"/>
                <w:sz w:val="20"/>
                <w:szCs w:val="20"/>
              </w:rPr>
              <w:t xml:space="preserve">期末純資産23億1,500万円 ＋ 営業利益の年数倍</w:t>
            </w:r>
          </w:p>
        </w:tc>
        <w:tc>
          <w:tcPr>
            <w:tcW w:type="dxa" w:w="2700"/>
            <w:tcMar>
              <w:top w:type="dxa" w:w="70"/>
              <w:left w:type="dxa" w:w="110"/>
              <w:bottom w:type="dxa" w:w="70"/>
              <w:right w:type="dxa" w:w="110"/>
            </w:tcMar>
          </w:tcPr>
          <w:p>
            <w:pPr>
              <w:spacing w:after="0" w:line="280"/>
              <w:jc w:val="right"/>
            </w:pPr>
            <w:r>
              <w:rPr>
                <w:rFonts w:ascii="Century" w:eastAsia="ＭＳ 明朝" w:hAnsi="Century"/>
                <w:sz w:val="20"/>
                <w:szCs w:val="20"/>
              </w:rPr>
              <w:t xml:space="preserve">営業利益 5.1年分</w:t>
            </w:r>
          </w:p>
        </w:tc>
      </w:tr>
      <w:tr>
        <w:trPr>
          <w:cantSplit/>
        </w:trPr>
        <w:tc>
          <w:tcPr>
            <w:tcW w:type="dxa" w:w="2000"/>
            <w:tcMar>
              <w:top w:type="dxa" w:w="70"/>
              <w:left w:type="dxa" w:w="110"/>
              <w:bottom w:type="dxa" w:w="70"/>
              <w:right w:type="dxa" w:w="110"/>
            </w:tcMar>
          </w:tcPr>
          <w:p>
            <w:pPr>
              <w:spacing w:after="0" w:line="280"/>
              <w:jc w:val="left"/>
            </w:pPr>
            <w:r>
              <w:rPr>
                <w:rFonts w:ascii="Century" w:eastAsia="ＭＳ 明朝" w:hAnsi="Century"/>
                <w:sz w:val="20"/>
                <w:szCs w:val="20"/>
              </w:rPr>
              <w:t xml:space="preserve">③ DCF法</w:t>
            </w:r>
          </w:p>
        </w:tc>
        <w:tc>
          <w:tcPr>
            <w:tcW w:type="dxa" w:w="4500"/>
            <w:tcMar>
              <w:top w:type="dxa" w:w="70"/>
              <w:left w:type="dxa" w:w="110"/>
              <w:bottom w:type="dxa" w:w="70"/>
              <w:right w:type="dxa" w:w="110"/>
            </w:tcMar>
          </w:tcPr>
          <w:p>
            <w:pPr>
              <w:spacing w:after="0" w:line="280"/>
              <w:jc w:val="left"/>
            </w:pPr>
            <w:r>
              <w:rPr>
                <w:rFonts w:ascii="Century" w:eastAsia="ＭＳ 明朝" w:hAnsi="Century"/>
                <w:sz w:val="20"/>
                <w:szCs w:val="20"/>
              </w:rPr>
              <w:t xml:space="preserve">割引率10%、継続成長率0%。1〜3年目はFCF 3億5,000万円、4年目以降をシナリオ別に分岐</w:t>
            </w:r>
          </w:p>
        </w:tc>
        <w:tc>
          <w:tcPr>
            <w:tcW w:type="dxa" w:w="2700"/>
            <w:tcMar>
              <w:top w:type="dxa" w:w="70"/>
              <w:left w:type="dxa" w:w="110"/>
              <w:bottom w:type="dxa" w:w="70"/>
              <w:right w:type="dxa" w:w="110"/>
            </w:tcMar>
          </w:tcPr>
          <w:p>
            <w:pPr>
              <w:spacing w:after="0" w:line="280"/>
              <w:jc w:val="right"/>
            </w:pPr>
            <w:r>
              <w:rPr>
                <w:rFonts w:ascii="Century" w:eastAsia="ＭＳ 明朝" w:hAnsi="Century"/>
                <w:sz w:val="20"/>
                <w:szCs w:val="20"/>
              </w:rPr>
              <w:t xml:space="preserve">加重期待値 50億6,700万円</w:t>
            </w:r>
          </w:p>
        </w:tc>
      </w:tr>
      <w:tr>
        <w:trPr>
          <w:cantSplit/>
        </w:trPr>
        <w:tc>
          <w:tcPr>
            <w:tcW w:type="dxa" w:w="2000"/>
            <w:tcMar>
              <w:top w:type="dxa" w:w="70"/>
              <w:left w:type="dxa" w:w="110"/>
              <w:bottom w:type="dxa" w:w="70"/>
              <w:right w:type="dxa" w:w="110"/>
            </w:tcMar>
          </w:tcPr>
          <w:p>
            <w:pPr>
              <w:spacing w:after="0" w:line="280"/>
              <w:jc w:val="left"/>
            </w:pPr>
            <w:r>
              <w:rPr>
                <w:rFonts w:ascii="Century" w:eastAsia="ＭＳ 明朝" w:hAnsi="Century"/>
                <w:sz w:val="20"/>
                <w:szCs w:val="20"/>
              </w:rPr>
              <w:t xml:space="preserve">④ 類似取引事例法</w:t>
            </w:r>
          </w:p>
        </w:tc>
        <w:tc>
          <w:tcPr>
            <w:tcW w:type="dxa" w:w="4500"/>
            <w:tcMar>
              <w:top w:type="dxa" w:w="70"/>
              <w:left w:type="dxa" w:w="110"/>
              <w:bottom w:type="dxa" w:w="70"/>
              <w:right w:type="dxa" w:w="110"/>
            </w:tcMar>
          </w:tcPr>
          <w:p>
            <w:pPr>
              <w:spacing w:after="0" w:line="280"/>
              <w:jc w:val="left"/>
            </w:pPr>
            <w:r>
              <w:rPr>
                <w:rFonts w:ascii="Century" w:eastAsia="ＭＳ 明朝" w:hAnsi="Century"/>
                <w:sz w:val="20"/>
                <w:szCs w:val="20"/>
              </w:rPr>
              <w:t xml:space="preserve">国内高級レストランの譲渡事例との比較</w:t>
            </w:r>
          </w:p>
        </w:tc>
        <w:tc>
          <w:tcPr>
            <w:tcW w:type="dxa" w:w="2700"/>
            <w:tcMar>
              <w:top w:type="dxa" w:w="70"/>
              <w:left w:type="dxa" w:w="110"/>
              <w:bottom w:type="dxa" w:w="70"/>
              <w:right w:type="dxa" w:w="110"/>
            </w:tcMar>
          </w:tcPr>
          <w:p>
            <w:pPr>
              <w:spacing w:after="0" w:line="280"/>
              <w:jc w:val="right"/>
            </w:pPr>
            <w:r>
              <w:rPr>
                <w:rFonts w:ascii="Century" w:eastAsia="ＭＳ 明朝" w:hAnsi="Century"/>
                <w:sz w:val="20"/>
                <w:szCs w:val="20"/>
              </w:rPr>
              <w:t xml:space="preserve">倍率に照らし妥当</w:t>
            </w:r>
          </w:p>
        </w:tc>
      </w:tr>
    </w:tbl>
    <w:p>
      <w:pPr>
        <w:spacing w:after="120"/>
      </w:pPr>
    </w:p>
    <w:p>
      <w:pPr>
        <w:spacing w:after="100" w:before="200" w:line="300"/>
      </w:pPr>
      <w:r>
        <w:rPr>
          <w:rFonts w:ascii="Arial" w:eastAsia="ＭＳ ゴシック" w:hAnsi="Arial"/>
          <w:b/>
          <w:bCs/>
          <w:sz w:val="21"/>
          <w:szCs w:val="21"/>
        </w:rPr>
        <w:t xml:space="preserve">(3) 各手法の考え方</w:t>
      </w:r>
    </w:p>
    <w:p>
      <w:pPr>
        <w:spacing w:after="80" w:line="300"/>
        <w:ind w:left="440" w:hanging="280"/>
      </w:pPr>
      <w:r>
        <w:rPr>
          <w:rFonts w:ascii="Century" w:eastAsia="ＭＳ 明朝" w:hAnsi="Century"/>
          <w:sz w:val="21"/>
          <w:szCs w:val="21"/>
        </w:rPr>
        <w:t xml:space="preserve">① EV/EBITDA倍率法：株式価値から非事業用資産（現預金および役員貸付金）を控除した事業価値は27億8,000万円であり、EBITDA比5.3倍となります。中小企業M&amp;A実務における小売飲食業のEBITDA倍率の目安（おおむね6倍）を下回る水準です。</w:t>
      </w:r>
    </w:p>
    <w:p>
      <w:pPr>
        <w:spacing w:after="80" w:line="300"/>
        <w:ind w:left="440" w:hanging="280"/>
      </w:pPr>
      <w:r>
        <w:rPr>
          <w:rFonts w:ascii="Century" w:eastAsia="ＭＳ 明朝" w:hAnsi="Century"/>
          <w:sz w:val="21"/>
          <w:szCs w:val="21"/>
        </w:rPr>
        <w:t xml:space="preserve">② 年買法：期末純資産23億1,500万円に営業利益の約5.1年分を加算した水準に相当し、実務上広く用いられる3年から6年のレンジの範囲内にあります。</w:t>
      </w:r>
    </w:p>
    <w:p>
      <w:pPr>
        <w:spacing w:after="80" w:line="300"/>
        <w:ind w:left="440" w:hanging="280"/>
      </w:pPr>
      <w:r>
        <w:rPr>
          <w:rFonts w:ascii="Century" w:eastAsia="ＭＳ 明朝" w:hAnsi="Century"/>
          <w:sz w:val="21"/>
          <w:szCs w:val="21"/>
        </w:rPr>
        <w:t xml:space="preserve">③ DCF法：岸田様がご在任される1年目から3年目はフリー・キャッシュ・フローを3億5,000万円で据え置き、4年目以降を、三つ星維持（3億5,000万円）、二つ星への降格（2億円）、星の喪失（1億円）の3シナリオに分岐させました。割引率10%における事業価値はそれぞれ35億円、23億7,000万円、16億2,000万円となります。これらに50%、35%、15%の確率を付した加重期待値に非事業用資産を加算すると、株式価値は50億6,700万円となり、当社の提示価額とほぼ一致いたします。</w:t>
      </w:r>
    </w:p>
    <w:p>
      <w:pPr>
        <w:spacing w:after="80" w:line="300"/>
        <w:ind w:left="440" w:hanging="280"/>
      </w:pPr>
      <w:r>
        <w:rPr>
          <w:rFonts w:ascii="Century" w:eastAsia="ＭＳ 明朝" w:hAnsi="Century"/>
          <w:sz w:val="21"/>
          <w:szCs w:val="21"/>
        </w:rPr>
        <w:t xml:space="preserve">④ 類似取引事例法：国内において、法人形態で営業利益5億円規模のガストロノミーが譲渡された事例は確認できず、直接比較可能な先例は存在しないものと理解しております。当社が把握する数少ない事例との対比においても、当社の提示倍率は同等以上の水準にあります。</w:t>
      </w:r>
    </w:p>
    <w:p>
      <w:pPr>
        <w:spacing w:after="60"/>
      </w:pPr>
    </w:p>
    <w:p>
      <w:pPr>
        <w:spacing w:after="120" w:before="0" w:line="300"/>
      </w:pPr>
      <w:r>
        <w:rPr>
          <w:rFonts w:ascii="Century" w:eastAsia="ＭＳ 明朝" w:hAnsi="Century"/>
          <w:sz w:val="21"/>
          <w:szCs w:val="21"/>
        </w:rPr>
        <w:t xml:space="preserve">上記④のとおり先例が存在しない以上、当社は価額の妥当性を将来キャッシュ・フローとその実現確率に基づいて判断しております。当社の提示する事業価値27億8,000万円は、上記③において三つ星が維持される確率を約36%と置いた場合に成立する水準です。面談において、後継となる方が現時点では確定されていないことを伺いましたが、当社はそれを織り込んだうえで、なお本価額を維持しております。</w:t>
      </w:r>
    </w:p>
    <w:p>
      <w:pPr>
        <w:spacing w:after="100" w:before="200" w:line="300"/>
      </w:pPr>
      <w:r>
        <w:rPr>
          <w:rFonts w:ascii="Arial" w:eastAsia="ＭＳ ゴシック" w:hAnsi="Arial"/>
          <w:b/>
          <w:bCs/>
          <w:sz w:val="21"/>
          <w:szCs w:val="21"/>
        </w:rPr>
        <w:t xml:space="preserve">(4) 前提条件</w:t>
      </w:r>
    </w:p>
    <w:p>
      <w:pPr>
        <w:spacing w:after="80" w:line="300"/>
        <w:ind w:left="440" w:hanging="220"/>
      </w:pPr>
      <w:r>
        <w:rPr>
          <w:rFonts w:ascii="Century" w:eastAsia="ＭＳ 明朝" w:hAnsi="Century"/>
          <w:sz w:val="21"/>
          <w:szCs w:val="21"/>
        </w:rPr>
        <w:t xml:space="preserve">・初期開示資料に記載された計数に重大な誤りがないこと</w:t>
      </w:r>
    </w:p>
    <w:p>
      <w:pPr>
        <w:spacing w:after="80" w:line="300"/>
        <w:ind w:left="440" w:hanging="220"/>
      </w:pPr>
      <w:r>
        <w:rPr>
          <w:rFonts w:ascii="Century" w:eastAsia="ＭＳ 明朝" w:hAnsi="Century"/>
          <w:sz w:val="21"/>
          <w:szCs w:val="21"/>
        </w:rPr>
        <w:t xml:space="preserve">・役員貸付金がクロージング時に現金精算されること</w:t>
      </w:r>
    </w:p>
    <w:p>
      <w:pPr>
        <w:spacing w:after="80" w:line="300"/>
        <w:ind w:left="440" w:hanging="220"/>
      </w:pPr>
      <w:r>
        <w:rPr>
          <w:rFonts w:ascii="Century" w:eastAsia="ＭＳ 明朝" w:hAnsi="Century"/>
          <w:sz w:val="21"/>
          <w:szCs w:val="21"/>
        </w:rPr>
        <w:t xml:space="preserve">・簿外債務、偶発債務および未認識の係争が存在しないこと</w:t>
      </w:r>
    </w:p>
    <w:p>
      <w:pPr>
        <w:spacing w:after="80" w:line="300"/>
        <w:ind w:left="440" w:hanging="220"/>
      </w:pPr>
      <w:r>
        <w:rPr>
          <w:rFonts w:ascii="Century" w:eastAsia="ＭＳ 明朝" w:hAnsi="Century"/>
          <w:sz w:val="21"/>
          <w:szCs w:val="21"/>
        </w:rPr>
        <w:t xml:space="preserve">・役員報酬・役員賞与が販売費及び一般管理費に計上済みであるとの理解に相違がないこと</w:t>
      </w:r>
    </w:p>
    <w:p>
      <w:pPr>
        <w:spacing w:after="80" w:line="300"/>
        <w:ind w:left="440" w:hanging="220"/>
      </w:pPr>
      <w:r>
        <w:rPr>
          <w:rFonts w:ascii="Century" w:eastAsia="ＭＳ 明朝" w:hAnsi="Century"/>
          <w:sz w:val="21"/>
          <w:szCs w:val="21"/>
        </w:rPr>
        <w:t xml:space="preserve">・クロージングまでの間に、賃料水準その他の費用構造に重大な変更が生じないこと</w:t>
      </w:r>
    </w:p>
    <w:p>
      <w:pPr>
        <w:pBdr>
          <w:bottom w:val="single" w:color="333333" w:sz="6" w:space="4"/>
        </w:pBdr>
        <w:spacing w:after="160" w:before="320" w:line="300"/>
      </w:pPr>
      <w:r>
        <w:rPr>
          <w:rFonts w:ascii="Arial" w:eastAsia="ＭＳ ゴシック" w:hAnsi="Arial"/>
          <w:b/>
          <w:bCs/>
          <w:sz w:val="22"/>
          <w:szCs w:val="22"/>
        </w:rPr>
        <w:t xml:space="preserve">8．譲受代金の調達方法</w:t>
      </w:r>
    </w:p>
    <w:p>
      <w:pPr>
        <w:spacing w:after="120" w:before="0" w:line="300"/>
      </w:pPr>
      <w:r>
        <w:rPr>
          <w:rFonts w:ascii="Century" w:eastAsia="ＭＳ 明朝" w:hAnsi="Century"/>
          <w:sz w:val="21"/>
          <w:szCs w:val="21"/>
        </w:rPr>
        <w:t xml:space="preserve">譲受代金は、金融機関からの借入、本件の投資家からの出資、および当社の自己資金・増資により調達する予定です。現時点で想定している構成は次のとおりです（下限価額50億円および取得関連費用1億5,000万円の合計51億5,000万円を前提としております）。</w:t>
      </w:r>
    </w:p>
    <w:tbl>
      <w:tblPr>
        <w:tblW w:type="dxa" w:w="9200"/>
        <w:tblBorders>
          <w:top w:val="single" w:color="BFBFBF" w:sz="4"/>
          <w:left w:val="single" w:color="BFBFBF" w:sz="4"/>
          <w:bottom w:val="single" w:color="BFBFBF" w:sz="4"/>
          <w:right w:val="single" w:color="BFBFBF" w:sz="4"/>
          <w:insideH w:val="single" w:color="BFBFBF" w:sz="4"/>
          <w:insideV w:val="single" w:color="BFBFBF" w:sz="4"/>
        </w:tblBorders>
      </w:tblPr>
      <w:tblGrid>
        <w:gridCol w:w="3000"/>
        <w:gridCol w:w="2200"/>
        <w:gridCol w:w="4000"/>
      </w:tblGrid>
      <w:tr>
        <w:trPr>
          <w:cantSplit/>
        </w:trPr>
        <w:tc>
          <w:tcPr>
            <w:tcW w:type="dxa" w:w="30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調達区分</w:t>
            </w:r>
          </w:p>
        </w:tc>
        <w:tc>
          <w:tcPr>
            <w:tcW w:type="dxa" w:w="22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想定金額</w:t>
            </w:r>
          </w:p>
        </w:tc>
        <w:tc>
          <w:tcPr>
            <w:tcW w:type="dxa" w:w="40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内容</w:t>
            </w:r>
          </w:p>
        </w:tc>
      </w:tr>
      <w:tr>
        <w:trPr>
          <w:cantSplit/>
        </w:trPr>
        <w:tc>
          <w:tcPr>
            <w:tcW w:type="dxa" w:w="3000"/>
            <w:tcMar>
              <w:top w:type="dxa" w:w="70"/>
              <w:left w:type="dxa" w:w="110"/>
              <w:bottom w:type="dxa" w:w="70"/>
              <w:right w:type="dxa" w:w="110"/>
            </w:tcMar>
          </w:tcPr>
          <w:p>
            <w:pPr>
              <w:spacing w:after="0" w:line="280"/>
              <w:jc w:val="left"/>
            </w:pPr>
            <w:r>
              <w:rPr>
                <w:rFonts w:ascii="Century" w:eastAsia="ＭＳ 明朝" w:hAnsi="Century"/>
                <w:sz w:val="20"/>
                <w:szCs w:val="20"/>
              </w:rPr>
              <w:t xml:space="preserve">金融機関借入</w:t>
            </w:r>
          </w:p>
        </w:tc>
        <w:tc>
          <w:tcPr>
            <w:tcW w:type="dxa" w:w="2200"/>
            <w:tcMar>
              <w:top w:type="dxa" w:w="70"/>
              <w:left w:type="dxa" w:w="110"/>
              <w:bottom w:type="dxa" w:w="70"/>
              <w:right w:type="dxa" w:w="110"/>
            </w:tcMar>
          </w:tcPr>
          <w:p>
            <w:pPr>
              <w:spacing w:after="0" w:line="280"/>
              <w:jc w:val="right"/>
            </w:pPr>
            <w:r>
              <w:rPr>
                <w:rFonts w:ascii="Century" w:eastAsia="ＭＳ 明朝" w:hAnsi="Century"/>
                <w:sz w:val="20"/>
                <w:szCs w:val="20"/>
              </w:rPr>
              <w:t xml:space="preserve">36億4,000万円</w:t>
            </w:r>
          </w:p>
        </w:tc>
        <w:tc>
          <w:tcPr>
            <w:tcW w:type="dxa" w:w="4000"/>
            <w:tcMar>
              <w:top w:type="dxa" w:w="70"/>
              <w:left w:type="dxa" w:w="110"/>
              <w:bottom w:type="dxa" w:w="70"/>
              <w:right w:type="dxa" w:w="110"/>
            </w:tcMar>
          </w:tcPr>
          <w:p>
            <w:pPr>
              <w:spacing w:after="0" w:line="280"/>
              <w:jc w:val="left"/>
            </w:pPr>
            <w:r>
              <w:rPr>
                <w:rFonts w:ascii="Century" w:eastAsia="ＭＳ 明朝" w:hAnsi="Century"/>
                <w:sz w:val="20"/>
                <w:szCs w:val="20"/>
              </w:rPr>
              <w:t xml:space="preserve">タームローン20億円（タームローンA 14億円は元金均等7年、タームローンB 6億円は期限一括）、およびクロージング時の資金繰りに充てるブリッジローン16億4,000万円。</w:t>
            </w:r>
          </w:p>
        </w:tc>
      </w:tr>
      <w:tr>
        <w:trPr>
          <w:cantSplit/>
        </w:trPr>
        <w:tc>
          <w:tcPr>
            <w:tcW w:type="dxa" w:w="3000"/>
            <w:tcMar>
              <w:top w:type="dxa" w:w="70"/>
              <w:left w:type="dxa" w:w="110"/>
              <w:bottom w:type="dxa" w:w="70"/>
              <w:right w:type="dxa" w:w="110"/>
            </w:tcMar>
          </w:tcPr>
          <w:p>
            <w:pPr>
              <w:spacing w:after="0" w:line="280"/>
              <w:jc w:val="left"/>
            </w:pPr>
            <w:r>
              <w:rPr>
                <w:rFonts w:ascii="Century" w:eastAsia="ＭＳ 明朝" w:hAnsi="Century"/>
                <w:sz w:val="20"/>
                <w:szCs w:val="20"/>
              </w:rPr>
              <w:t xml:space="preserve">投資家の出資</w:t>
            </w:r>
          </w:p>
        </w:tc>
        <w:tc>
          <w:tcPr>
            <w:tcW w:type="dxa" w:w="2200"/>
            <w:tcMar>
              <w:top w:type="dxa" w:w="70"/>
              <w:left w:type="dxa" w:w="110"/>
              <w:bottom w:type="dxa" w:w="70"/>
              <w:right w:type="dxa" w:w="110"/>
            </w:tcMar>
          </w:tcPr>
          <w:p>
            <w:pPr>
              <w:spacing w:after="0" w:line="280"/>
              <w:jc w:val="right"/>
            </w:pPr>
            <w:r>
              <w:rPr>
                <w:rFonts w:ascii="Century" w:eastAsia="ＭＳ 明朝" w:hAnsi="Century"/>
                <w:sz w:val="20"/>
                <w:szCs w:val="20"/>
              </w:rPr>
              <w:t xml:space="preserve">10億円</w:t>
            </w:r>
          </w:p>
        </w:tc>
        <w:tc>
          <w:tcPr>
            <w:tcW w:type="dxa" w:w="4000"/>
            <w:tcMar>
              <w:top w:type="dxa" w:w="70"/>
              <w:left w:type="dxa" w:w="110"/>
              <w:bottom w:type="dxa" w:w="70"/>
              <w:right w:type="dxa" w:w="110"/>
            </w:tcMar>
          </w:tcPr>
          <w:p>
            <w:pPr>
              <w:spacing w:after="0" w:line="280"/>
              <w:jc w:val="left"/>
            </w:pPr>
            <w:r>
              <w:rPr>
                <w:rFonts w:ascii="Century" w:eastAsia="ＭＳ 明朝" w:hAnsi="Century"/>
                <w:sz w:val="20"/>
                <w:szCs w:val="20"/>
              </w:rPr>
              <w:t xml:space="preserve">本件のために出資を確約いただいている投資家からの払込みです。SPCの議決権の3分の1を保有する少数株主となります。</w:t>
            </w:r>
          </w:p>
        </w:tc>
      </w:tr>
      <w:tr>
        <w:trPr>
          <w:cantSplit/>
        </w:trPr>
        <w:tc>
          <w:tcPr>
            <w:tcW w:type="dxa" w:w="3000"/>
            <w:tcMar>
              <w:top w:type="dxa" w:w="70"/>
              <w:left w:type="dxa" w:w="110"/>
              <w:bottom w:type="dxa" w:w="70"/>
              <w:right w:type="dxa" w:w="110"/>
            </w:tcMar>
          </w:tcPr>
          <w:p>
            <w:pPr>
              <w:spacing w:after="0" w:line="280"/>
              <w:jc w:val="left"/>
            </w:pPr>
            <w:r>
              <w:rPr>
                <w:rFonts w:ascii="Century" w:eastAsia="ＭＳ 明朝" w:hAnsi="Century"/>
                <w:sz w:val="20"/>
                <w:szCs w:val="20"/>
              </w:rPr>
              <w:t xml:space="preserve">当社の拠出</w:t>
            </w:r>
          </w:p>
        </w:tc>
        <w:tc>
          <w:tcPr>
            <w:tcW w:type="dxa" w:w="2200"/>
            <w:tcMar>
              <w:top w:type="dxa" w:w="70"/>
              <w:left w:type="dxa" w:w="110"/>
              <w:bottom w:type="dxa" w:w="70"/>
              <w:right w:type="dxa" w:w="110"/>
            </w:tcMar>
          </w:tcPr>
          <w:p>
            <w:pPr>
              <w:spacing w:after="0" w:line="280"/>
              <w:jc w:val="right"/>
            </w:pPr>
            <w:r>
              <w:rPr>
                <w:rFonts w:ascii="Century" w:eastAsia="ＭＳ 明朝" w:hAnsi="Century"/>
                <w:sz w:val="20"/>
                <w:szCs w:val="20"/>
              </w:rPr>
              <w:t xml:space="preserve">5億1,000万円</w:t>
            </w:r>
          </w:p>
        </w:tc>
        <w:tc>
          <w:tcPr>
            <w:tcW w:type="dxa" w:w="4000"/>
            <w:tcMar>
              <w:top w:type="dxa" w:w="70"/>
              <w:left w:type="dxa" w:w="110"/>
              <w:bottom w:type="dxa" w:w="70"/>
              <w:right w:type="dxa" w:w="110"/>
            </w:tcMar>
          </w:tcPr>
          <w:p>
            <w:pPr>
              <w:spacing w:after="0" w:line="280"/>
              <w:jc w:val="left"/>
            </w:pPr>
            <w:r>
              <w:rPr>
                <w:rFonts w:ascii="Century" w:eastAsia="ＭＳ 明朝" w:hAnsi="Century"/>
                <w:sz w:val="20"/>
                <w:szCs w:val="20"/>
              </w:rPr>
              <w:t xml:space="preserve">当社の自己資金および当社に対する第三者割当増資により調達いたします。</w:t>
            </w:r>
          </w:p>
        </w:tc>
      </w:tr>
      <w:tr>
        <w:trPr>
          <w:cantSplit/>
        </w:trPr>
        <w:tc>
          <w:tcPr>
            <w:tcW w:type="dxa" w:w="3000"/>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（上限価額の場合）追加投資家の出資</w:t>
            </w:r>
          </w:p>
        </w:tc>
        <w:tc>
          <w:tcPr>
            <w:tcW w:type="dxa" w:w="2200"/>
            <w:tcMar>
              <w:top w:type="dxa" w:w="70"/>
              <w:left w:type="dxa" w:w="110"/>
              <w:bottom w:type="dxa" w:w="70"/>
              <w:right w:type="dxa" w:w="110"/>
            </w:tcMar>
          </w:tcPr>
          <w:p>
            <w:pPr>
              <w:spacing w:after="0" w:line="280"/>
              <w:jc w:val="right"/>
            </w:pPr>
            <w:r>
              <w:rPr>
                <w:rFonts w:ascii="Century" w:eastAsia="ＭＳ 明朝" w:hAnsi="Century"/>
                <w:sz w:val="20"/>
                <w:szCs w:val="20"/>
              </w:rPr>
              <w:t xml:space="preserve">5億円</w:t>
            </w:r>
          </w:p>
        </w:tc>
        <w:tc>
          <w:tcPr>
            <w:tcW w:type="dxa" w:w="4000"/>
            <w:tcMar>
              <w:top w:type="dxa" w:w="70"/>
              <w:left w:type="dxa" w:w="110"/>
              <w:bottom w:type="dxa" w:w="70"/>
              <w:right w:type="dxa" w:w="110"/>
            </w:tcMar>
          </w:tcPr>
          <w:p>
            <w:pPr>
              <w:spacing w:after="0" w:line="280"/>
              <w:jc w:val="left"/>
            </w:pPr>
            <w:r>
              <w:rPr>
                <w:rFonts w:ascii="Century" w:eastAsia="ＭＳ 明朝" w:hAnsi="Century"/>
                <w:sz w:val="20"/>
                <w:szCs w:val="20"/>
              </w:rPr>
              <w:t xml:space="preserve">譲受価額が55億円となる場合、差額は第三者割当増資により、上記投資家と同一の条件で追加の投資家から調達いたします。借入額および取得後の財務は変わりません。</w:t>
            </w:r>
          </w:p>
        </w:tc>
      </w:tr>
    </w:tbl>
    <w:p>
      <w:pPr>
        <w:spacing w:after="80"/>
      </w:pPr>
    </w:p>
    <w:p>
      <w:pPr>
        <w:spacing w:after="120" w:before="0" w:line="300"/>
      </w:pPr>
      <w:r>
        <w:rPr>
          <w:rFonts w:ascii="Century" w:eastAsia="ＭＳ 明朝" w:hAnsi="Century"/>
          <w:sz w:val="21"/>
          <w:szCs w:val="21"/>
        </w:rPr>
        <w:t xml:space="preserve">ブリッジローンは、対象会社の保有する現預金および役員貸付金の精算額が、クロージングの完了後でなければ本件の決済に充当できないことによるものです。クロージング後にSPCと対象会社を合併したうえで、対象会社が保有する余剰現預金をもって速やかに全額を返済いたします。譲受代金は、クロージング時に全額を一括してお支払いいたします。</w:t>
      </w:r>
    </w:p>
    <w:p>
      <w:pPr>
        <w:spacing w:after="120" w:before="0" w:line="300"/>
      </w:pPr>
      <w:r>
        <w:rPr>
          <w:rFonts w:ascii="Century" w:eastAsia="ＭＳ 明朝" w:hAnsi="Century"/>
          <w:sz w:val="21"/>
          <w:szCs w:val="21"/>
        </w:rPr>
        <w:t xml:space="preserve">金融機関借入の返済可能性については、対象会社のフリー・キャッシュ・フロー（年3億5,000万円）のみを返済原資とした場合でも、7年間を通じてDSCRが1.35倍を下回らず、累積の余剰キャッシュ・フローが期限一括返済分6億円を上回ることを確認しております。対象会社に追加の負担を求めるものではなく、また返済のために事業運営を変更する必要が生じない設計としております。詳細は別紙2に記載しております。</w:t>
      </w:r>
    </w:p>
    <w:p>
      <w:pPr>
        <w:spacing w:after="160" w:before="0" w:line="300"/>
      </w:pPr>
      <w:r>
        <w:rPr>
          <w:rFonts w:ascii="Century" w:eastAsia="ＭＳ 明朝" w:hAnsi="Century"/>
          <w:sz w:val="21"/>
          <w:szCs w:val="21"/>
        </w:rPr>
        <w:t xml:space="preserve">なお、当社は2021年12月に、自らが創業した株式会社あどばるを東証プライム上場企業へ売却した実績を有しております。本件に必要な資金を確実に調達できる体制にあることを申し添えます。</w:t>
      </w:r>
    </w:p>
    <w:p>
      <w:pPr>
        <w:spacing w:after="100" w:before="200" w:line="300"/>
      </w:pPr>
      <w:r>
        <w:rPr>
          <w:rFonts w:ascii="Arial" w:eastAsia="ＭＳ ゴシック" w:hAnsi="Arial"/>
          <w:b/>
          <w:bCs/>
          <w:sz w:val="21"/>
          <w:szCs w:val="21"/>
        </w:rPr>
        <w:t xml:space="preserve">【本ご案内Ⅳ-5に関するお願い】</w:t>
      </w:r>
    </w:p>
    <w:p>
      <w:pPr>
        <w:spacing w:after="100" w:before="0" w:line="300"/>
      </w:pPr>
      <w:r>
        <w:rPr>
          <w:rFonts w:ascii="Century" w:eastAsia="ＭＳ 明朝" w:hAnsi="Century"/>
          <w:sz w:val="21"/>
          <w:szCs w:val="21"/>
        </w:rPr>
        <w:t xml:space="preserve">本ご案内Ⅳ-5において、外部資金提供者との協議の開始および第三者との共同買収の検討には、売主の事前の書面によるご承諾を要する旨が定められていることを承知しております。</w:t>
      </w:r>
    </w:p>
    <w:p>
      <w:pPr>
        <w:spacing w:after="100" w:before="0" w:line="300"/>
      </w:pPr>
      <w:r>
        <w:rPr>
          <w:rFonts w:ascii="Century" w:eastAsia="ＭＳ 明朝" w:hAnsi="Century"/>
          <w:sz w:val="21"/>
          <w:szCs w:val="21"/>
        </w:rPr>
        <w:t xml:space="preserve">当社は、本件の検討にあたり、当社の既存取引金融機関および当社の既存株主に対して、資金調達の一般的な可能性について確認を行っております。これらはいずれも当社の従前からの取引関係および資本関係に基づくものですが、本ご案内Ⅳ-5の趣旨に照らし、ここに事実としてご報告申し上げます。当社は、いかなる資金提供者との間においても、当社に対する排他的な資金提供に係る協議または合意を一切行っておりません。</w:t>
      </w:r>
    </w:p>
    <w:p>
      <w:pPr>
        <w:spacing w:after="120" w:before="0" w:line="300"/>
      </w:pPr>
      <w:r>
        <w:rPr>
          <w:rFonts w:ascii="Century" w:eastAsia="ＭＳ 明朝" w:hAnsi="Century"/>
          <w:sz w:val="21"/>
          <w:szCs w:val="21"/>
        </w:rPr>
        <w:t xml:space="preserve">つきましては、本件に係る具体的な資金調達の協議を進めるにあたり、貴社の書面によるご承諾を賜りたく、お願い申し上げます。ご承諾をいただけない場合には、当社は直ちに当該協議を停止し、貴社のご指示に従います。なお、これらの協議の存在を含む本件関連情報については、当社において厳格に秘密として管理しております。</w:t>
      </w:r>
    </w:p>
    <w:p>
      <w:pPr>
        <w:pBdr>
          <w:bottom w:val="single" w:color="333333" w:sz="6" w:space="4"/>
        </w:pBdr>
        <w:spacing w:after="160" w:before="320" w:line="300"/>
      </w:pPr>
      <w:r>
        <w:rPr>
          <w:rFonts w:ascii="Arial" w:eastAsia="ＭＳ ゴシック" w:hAnsi="Arial"/>
          <w:b/>
          <w:bCs/>
          <w:sz w:val="22"/>
          <w:szCs w:val="22"/>
        </w:rPr>
        <w:t xml:space="preserve">9．対象会社の譲受に際しての前提条件</w:t>
      </w:r>
    </w:p>
    <w:p>
      <w:pPr>
        <w:spacing w:after="100" w:before="0" w:line="300"/>
      </w:pPr>
      <w:r>
        <w:rPr>
          <w:rFonts w:ascii="Century" w:eastAsia="ＭＳ 明朝" w:hAnsi="Century"/>
          <w:sz w:val="21"/>
          <w:szCs w:val="21"/>
        </w:rPr>
        <w:t xml:space="preserve">当社が本件を実行するにあたっての前提条件は、次のとおりです。</w:t>
      </w:r>
    </w:p>
    <w:p>
      <w:pPr>
        <w:spacing w:after="80" w:line="300"/>
        <w:ind w:left="440" w:hanging="280"/>
      </w:pPr>
      <w:r>
        <w:rPr>
          <w:rFonts w:ascii="Century" w:eastAsia="ＭＳ 明朝" w:hAnsi="Century"/>
          <w:sz w:val="21"/>
          <w:szCs w:val="21"/>
        </w:rPr>
        <w:t xml:space="preserve">① DDにおいて、対象会社の事業、財務、税務、法務に関する重大な不利益事実が発見されないこと。</w:t>
      </w:r>
    </w:p>
    <w:p>
      <w:pPr>
        <w:spacing w:after="80" w:line="300"/>
        <w:ind w:left="440" w:hanging="280"/>
      </w:pPr>
      <w:r>
        <w:rPr>
          <w:rFonts w:ascii="Century" w:eastAsia="ＭＳ 明朝" w:hAnsi="Century"/>
          <w:sz w:val="21"/>
          <w:szCs w:val="21"/>
        </w:rPr>
        <w:t xml:space="preserve">② 岸田様が、クロージング後3年間にわたり、対象会社の業務に従事される旨の契約が締結されること（従事の具体的な形態は、本書4項(1)に記載のとおりご相談のうえ定めるものといたします）。</w:t>
      </w:r>
    </w:p>
    <w:p>
      <w:pPr>
        <w:spacing w:after="80" w:line="300"/>
        <w:ind w:left="440" w:hanging="280"/>
      </w:pPr>
      <w:r>
        <w:rPr>
          <w:rFonts w:ascii="Century" w:eastAsia="ＭＳ 明朝" w:hAnsi="Century"/>
          <w:sz w:val="21"/>
          <w:szCs w:val="21"/>
        </w:rPr>
        <w:t xml:space="preserve">③ 後継料理長の探索に関し、岸田様のご協力を得られることについて、契約上の手当てがなされること。</w:t>
      </w:r>
    </w:p>
    <w:p>
      <w:pPr>
        <w:spacing w:after="80" w:line="300"/>
        <w:ind w:left="440" w:hanging="280"/>
      </w:pPr>
      <w:r>
        <w:rPr>
          <w:rFonts w:ascii="Century" w:eastAsia="ＭＳ 明朝" w:hAnsi="Century"/>
          <w:sz w:val="21"/>
          <w:szCs w:val="21"/>
        </w:rPr>
        <w:t xml:space="preserve">④ 本書3項(4)に記載の各事項（移転・誘致、賃貸借契約の変更、一定額を超える設備投資）について、クロージングまでの間、事前協議の枠組みにつきご了解をいただけること。</w:t>
      </w:r>
    </w:p>
    <w:p>
      <w:pPr>
        <w:spacing w:after="80" w:line="300"/>
        <w:ind w:left="440" w:hanging="280"/>
      </w:pPr>
      <w:r>
        <w:rPr>
          <w:rFonts w:ascii="Century" w:eastAsia="ＭＳ 明朝" w:hAnsi="Century"/>
          <w:sz w:val="21"/>
          <w:szCs w:val="21"/>
        </w:rPr>
        <w:t xml:space="preserve">⑤ 役員貸付金がクロージング時に全額現金にて精算されること。ご共有いただいた質疑応答および第15期の勘定科目内訳明細書により、同貸付金5億円は岸田様個人に対するもので、年利1%相当の利息（第15期430万円）が適正に計上されていること、担保は同氏が保有される対象会社株式であることを確認いたしました。本件により当該株式は当社へ移転し担保としての機能を失うため、クロージング時の現金精算を最終契約上の前提条件とさせていただきたく存じます。</w:t>
      </w:r>
    </w:p>
    <w:p>
      <w:pPr>
        <w:spacing w:after="80" w:line="300"/>
        <w:ind w:left="440" w:hanging="280"/>
      </w:pPr>
      <w:r>
        <w:rPr>
          <w:rFonts w:ascii="Century" w:eastAsia="ＭＳ 明朝" w:hAnsi="Century"/>
          <w:sz w:val="21"/>
          <w:szCs w:val="21"/>
        </w:rPr>
        <w:t xml:space="preserve">⑥ 店舗賃貸借契約が承継可能であり、支配権の異動が解除事由に該当しないこと。</w:t>
      </w:r>
    </w:p>
    <w:p>
      <w:pPr>
        <w:spacing w:after="80" w:line="300"/>
        <w:ind w:left="440" w:hanging="280"/>
      </w:pPr>
      <w:r>
        <w:rPr>
          <w:rFonts w:ascii="Century" w:eastAsia="ＭＳ 明朝" w:hAnsi="Century"/>
          <w:sz w:val="21"/>
          <w:szCs w:val="21"/>
        </w:rPr>
        <w:t xml:space="preserve">⑦ 主要仕入先との取引関係がクロージング後も継続されること。</w:t>
      </w:r>
    </w:p>
    <w:p>
      <w:pPr>
        <w:spacing w:after="80" w:line="300"/>
        <w:ind w:left="440" w:hanging="280"/>
      </w:pPr>
      <w:r>
        <w:rPr>
          <w:rFonts w:ascii="Century" w:eastAsia="ＭＳ 明朝" w:hAnsi="Century"/>
          <w:sz w:val="21"/>
          <w:szCs w:val="21"/>
        </w:rPr>
        <w:t xml:space="preserve">⑧ 岸田様との間で、合理的な範囲の競業避止に関する合意が成立すること。想定しているのは、対象会社と同価格帯のガストロノミーを新たに開業されることの制限のみです。株式会社BISが現に行っておられる名古屋「Brillance」の監修・プロデュース業務につきましては、本件後も従前どおり継続されることを当社は前提としております。同店は対象会社の卒業生が率いる店舗であり、その関係が維持されることは、後継料理長の選定という本件最大の論点においても有益であると考えております。</w:t>
      </w:r>
    </w:p>
    <w:p>
      <w:pPr>
        <w:spacing w:after="80" w:line="300"/>
        <w:ind w:left="440" w:hanging="280"/>
      </w:pPr>
      <w:r>
        <w:rPr>
          <w:rFonts w:ascii="Century" w:eastAsia="ＭＳ 明朝" w:hAnsi="Century"/>
          <w:sz w:val="21"/>
          <w:szCs w:val="21"/>
        </w:rPr>
        <w:t xml:space="preserve">⑨ 当社の取締役会において、本件の実行に係る承認決議が得られること。</w:t>
      </w:r>
    </w:p>
    <w:p>
      <w:pPr>
        <w:spacing w:after="80" w:line="300"/>
        <w:ind w:left="440" w:hanging="280"/>
      </w:pPr>
      <w:r>
        <w:rPr>
          <w:rFonts w:ascii="Century" w:eastAsia="ＭＳ 明朝" w:hAnsi="Century"/>
          <w:sz w:val="21"/>
          <w:szCs w:val="21"/>
        </w:rPr>
        <w:t xml:space="preserve">⑩ 金融機関から、本件に係る融資の正式な承認が得られること。</w:t>
      </w:r>
    </w:p>
    <w:p>
      <w:pPr>
        <w:spacing w:after="80" w:line="300"/>
        <w:ind w:left="440" w:hanging="280"/>
      </w:pPr>
      <w:r>
        <w:rPr>
          <w:rFonts w:ascii="Century" w:eastAsia="ＭＳ 明朝" w:hAnsi="Century"/>
          <w:sz w:val="21"/>
          <w:szCs w:val="21"/>
        </w:rPr>
        <w:t xml:space="preserve">⑪ 本件の投資家による出資が予定どおり実行されること。</w:t>
      </w:r>
    </w:p>
    <w:p>
      <w:pPr>
        <w:spacing w:after="80" w:line="300"/>
        <w:ind w:left="440" w:hanging="280"/>
      </w:pPr>
      <w:r>
        <w:rPr>
          <w:rFonts w:ascii="Century" w:eastAsia="ＭＳ 明朝" w:hAnsi="Century"/>
          <w:sz w:val="21"/>
          <w:szCs w:val="21"/>
        </w:rPr>
        <w:t xml:space="preserve">⑫ 法令上必要となる許認可の承継または再取得、および必要な届出が完了すること。</w:t>
      </w:r>
    </w:p>
    <w:p>
      <w:pPr>
        <w:pBdr>
          <w:bottom w:val="single" w:color="333333" w:sz="6" w:space="4"/>
        </w:pBdr>
        <w:spacing w:after="160" w:before="320" w:line="300"/>
      </w:pPr>
      <w:r>
        <w:rPr>
          <w:rFonts w:ascii="Arial" w:eastAsia="ＭＳ ゴシック" w:hAnsi="Arial"/>
          <w:b/>
          <w:bCs/>
          <w:sz w:val="22"/>
          <w:szCs w:val="22"/>
        </w:rPr>
        <w:t xml:space="preserve">10．最終契約／クロージングまでに必要となるプロセス</w:t>
      </w:r>
    </w:p>
    <w:p>
      <w:pPr>
        <w:spacing w:after="120" w:before="0" w:line="300"/>
      </w:pPr>
      <w:r>
        <w:rPr>
          <w:rFonts w:ascii="Century" w:eastAsia="ＭＳ 明朝" w:hAnsi="Century"/>
          <w:sz w:val="21"/>
          <w:szCs w:val="21"/>
        </w:rPr>
        <w:t xml:space="preserve">本ご案内Ⅰに示された想定スケジュールを基礎としつつ、クロージングを2026年12月末とすることで貴社と合意しております。当社が想定するプロセスは次のとおりです。</w:t>
      </w:r>
    </w:p>
    <w:tbl>
      <w:tblPr>
        <w:tblW w:type="dxa" w:w="9200"/>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2100"/>
        <w:gridCol w:w="4700"/>
      </w:tblGrid>
      <w:tr>
        <w:trPr>
          <w:cantSplit/>
        </w:trPr>
        <w:tc>
          <w:tcPr>
            <w:tcW w:type="dxa" w:w="24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プロセス</w:t>
            </w:r>
          </w:p>
        </w:tc>
        <w:tc>
          <w:tcPr>
            <w:tcW w:type="dxa" w:w="21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時期</w:t>
            </w:r>
          </w:p>
        </w:tc>
        <w:tc>
          <w:tcPr>
            <w:tcW w:type="dxa" w:w="47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内容</w:t>
            </w:r>
          </w:p>
        </w:tc>
      </w:tr>
      <w:tr>
        <w:trPr>
          <w:cantSplit/>
        </w:trPr>
        <w:tc>
          <w:tcPr>
            <w:tcW w:type="dxa" w:w="2400"/>
            <w:tcMar>
              <w:top w:type="dxa" w:w="70"/>
              <w:left w:type="dxa" w:w="110"/>
              <w:bottom w:type="dxa" w:w="70"/>
              <w:right w:type="dxa" w:w="110"/>
            </w:tcMar>
          </w:tcPr>
          <w:p>
            <w:pPr>
              <w:spacing w:after="0" w:line="280"/>
              <w:jc w:val="left"/>
            </w:pPr>
            <w:r>
              <w:rPr>
                <w:rFonts w:ascii="Century" w:eastAsia="ＭＳ 明朝" w:hAnsi="Century"/>
                <w:sz w:val="20"/>
                <w:szCs w:val="20"/>
              </w:rPr>
              <w:t xml:space="preserve">Q&amp;A対応</w:t>
            </w:r>
          </w:p>
        </w:tc>
        <w:tc>
          <w:tcPr>
            <w:tcW w:type="dxa" w:w="2100"/>
            <w:tcMar>
              <w:top w:type="dxa" w:w="70"/>
              <w:left w:type="dxa" w:w="110"/>
              <w:bottom w:type="dxa" w:w="70"/>
              <w:right w:type="dxa" w:w="110"/>
            </w:tcMar>
          </w:tcPr>
          <w:p>
            <w:pPr>
              <w:spacing w:after="0" w:line="280"/>
              <w:jc w:val="left"/>
            </w:pPr>
            <w:r>
              <w:rPr>
                <w:rFonts w:ascii="Century" w:eastAsia="ＭＳ 明朝" w:hAnsi="Century"/>
                <w:sz w:val="20"/>
                <w:szCs w:val="20"/>
              </w:rPr>
              <w:t xml:space="preserve">2026年10月上旬</w:t>
            </w:r>
          </w:p>
        </w:tc>
        <w:tc>
          <w:tcPr>
            <w:tcW w:type="dxa" w:w="4700"/>
            <w:tcMar>
              <w:top w:type="dxa" w:w="70"/>
              <w:left w:type="dxa" w:w="110"/>
              <w:bottom w:type="dxa" w:w="70"/>
              <w:right w:type="dxa" w:w="110"/>
            </w:tcMar>
          </w:tcPr>
          <w:p>
            <w:pPr>
              <w:spacing w:after="0" w:line="280"/>
              <w:jc w:val="left"/>
            </w:pPr>
            <w:r>
              <w:rPr>
                <w:rFonts w:ascii="Century" w:eastAsia="ＭＳ 明朝" w:hAnsi="Century"/>
                <w:sz w:val="20"/>
                <w:szCs w:val="20"/>
              </w:rPr>
              <w:t xml:space="preserve">貴社よりご提示予定のQ&amp;Aシートに対応いたします。</w:t>
            </w:r>
          </w:p>
        </w:tc>
      </w:tr>
      <w:tr>
        <w:trPr>
          <w:cantSplit/>
        </w:trPr>
        <w:tc>
          <w:tcPr>
            <w:tcW w:type="dxa" w:w="2400"/>
            <w:tcMar>
              <w:top w:type="dxa" w:w="70"/>
              <w:left w:type="dxa" w:w="110"/>
              <w:bottom w:type="dxa" w:w="70"/>
              <w:right w:type="dxa" w:w="110"/>
            </w:tcMar>
          </w:tcPr>
          <w:p>
            <w:pPr>
              <w:spacing w:after="0" w:line="280"/>
              <w:jc w:val="left"/>
            </w:pPr>
            <w:r>
              <w:rPr>
                <w:rFonts w:ascii="Century" w:eastAsia="ＭＳ 明朝" w:hAnsi="Century"/>
                <w:sz w:val="20"/>
                <w:szCs w:val="20"/>
              </w:rPr>
              <w:t xml:space="preserve">マネジメントインタビュー</w:t>
            </w:r>
          </w:p>
        </w:tc>
        <w:tc>
          <w:tcPr>
            <w:tcW w:type="dxa" w:w="2100"/>
            <w:tcMar>
              <w:top w:type="dxa" w:w="70"/>
              <w:left w:type="dxa" w:w="110"/>
              <w:bottom w:type="dxa" w:w="70"/>
              <w:right w:type="dxa" w:w="110"/>
            </w:tcMar>
          </w:tcPr>
          <w:p>
            <w:pPr>
              <w:spacing w:after="0" w:line="280"/>
              <w:jc w:val="left"/>
            </w:pPr>
            <w:r>
              <w:rPr>
                <w:rFonts w:ascii="Century" w:eastAsia="ＭＳ 明朝" w:hAnsi="Century"/>
                <w:sz w:val="20"/>
                <w:szCs w:val="20"/>
              </w:rPr>
              <w:t xml:space="preserve">2026年10月上旬</w:t>
            </w:r>
          </w:p>
        </w:tc>
        <w:tc>
          <w:tcPr>
            <w:tcW w:type="dxa" w:w="4700"/>
            <w:tcMar>
              <w:top w:type="dxa" w:w="70"/>
              <w:left w:type="dxa" w:w="110"/>
              <w:bottom w:type="dxa" w:w="70"/>
              <w:right w:type="dxa" w:w="110"/>
            </w:tcMar>
          </w:tcPr>
          <w:p>
            <w:pPr>
              <w:spacing w:after="0" w:line="280"/>
              <w:jc w:val="left"/>
            </w:pPr>
            <w:r>
              <w:rPr>
                <w:rFonts w:ascii="Century" w:eastAsia="ＭＳ 明朝" w:hAnsi="Century"/>
                <w:sz w:val="20"/>
                <w:szCs w:val="20"/>
              </w:rPr>
              <w:t xml:space="preserve">岸田様および支配人の方を対象に、半日程度を2回。営業に支障のない時間帯を希望いたします。</w:t>
            </w:r>
          </w:p>
        </w:tc>
      </w:tr>
      <w:tr>
        <w:trPr>
          <w:cantSplit/>
        </w:trPr>
        <w:tc>
          <w:tcPr>
            <w:tcW w:type="dxa" w:w="2400"/>
            <w:tcMar>
              <w:top w:type="dxa" w:w="70"/>
              <w:left w:type="dxa" w:w="110"/>
              <w:bottom w:type="dxa" w:w="70"/>
              <w:right w:type="dxa" w:w="110"/>
            </w:tcMar>
          </w:tcPr>
          <w:p>
            <w:pPr>
              <w:spacing w:after="0" w:line="280"/>
              <w:jc w:val="left"/>
            </w:pPr>
            <w:r>
              <w:rPr>
                <w:rFonts w:ascii="Century" w:eastAsia="ＭＳ 明朝" w:hAnsi="Century"/>
                <w:sz w:val="20"/>
                <w:szCs w:val="20"/>
              </w:rPr>
              <w:t xml:space="preserve">DD（財務・税務）</w:t>
            </w:r>
          </w:p>
        </w:tc>
        <w:tc>
          <w:tcPr>
            <w:tcW w:type="dxa" w:w="2100"/>
            <w:tcMar>
              <w:top w:type="dxa" w:w="70"/>
              <w:left w:type="dxa" w:w="110"/>
              <w:bottom w:type="dxa" w:w="70"/>
              <w:right w:type="dxa" w:w="110"/>
            </w:tcMar>
          </w:tcPr>
          <w:p>
            <w:pPr>
              <w:spacing w:after="0" w:line="280"/>
              <w:jc w:val="left"/>
            </w:pPr>
            <w:r>
              <w:rPr>
                <w:rFonts w:ascii="Century" w:eastAsia="ＭＳ 明朝" w:hAnsi="Century"/>
                <w:sz w:val="20"/>
                <w:szCs w:val="20"/>
              </w:rPr>
              <w:t xml:space="preserve">2026年10月上旬〜11月中旬</w:t>
            </w:r>
          </w:p>
        </w:tc>
        <w:tc>
          <w:tcPr>
            <w:tcW w:type="dxa" w:w="4700"/>
            <w:tcMar>
              <w:top w:type="dxa" w:w="70"/>
              <w:left w:type="dxa" w:w="110"/>
              <w:bottom w:type="dxa" w:w="70"/>
              <w:right w:type="dxa" w:w="110"/>
            </w:tcMar>
          </w:tcPr>
          <w:p>
            <w:pPr>
              <w:spacing w:after="0" w:line="280"/>
              <w:jc w:val="left"/>
            </w:pPr>
            <w:r>
              <w:rPr>
                <w:rFonts w:ascii="Century" w:eastAsia="ＭＳ 明朝" w:hAnsi="Century"/>
                <w:sz w:val="20"/>
                <w:szCs w:val="20"/>
              </w:rPr>
              <w:t xml:space="preserve">外部会計事務所を起用。貴社アドバイザーと独立の事務所を選定いたします。</w:t>
            </w:r>
          </w:p>
        </w:tc>
      </w:tr>
      <w:tr>
        <w:trPr>
          <w:cantSplit/>
        </w:trPr>
        <w:tc>
          <w:tcPr>
            <w:tcW w:type="dxa" w:w="2400"/>
            <w:tcMar>
              <w:top w:type="dxa" w:w="70"/>
              <w:left w:type="dxa" w:w="110"/>
              <w:bottom w:type="dxa" w:w="70"/>
              <w:right w:type="dxa" w:w="110"/>
            </w:tcMar>
          </w:tcPr>
          <w:p>
            <w:pPr>
              <w:spacing w:after="0" w:line="280"/>
              <w:jc w:val="left"/>
            </w:pPr>
            <w:r>
              <w:rPr>
                <w:rFonts w:ascii="Century" w:eastAsia="ＭＳ 明朝" w:hAnsi="Century"/>
                <w:sz w:val="20"/>
                <w:szCs w:val="20"/>
              </w:rPr>
              <w:t xml:space="preserve">DD（法務）</w:t>
            </w:r>
          </w:p>
        </w:tc>
        <w:tc>
          <w:tcPr>
            <w:tcW w:type="dxa" w:w="2100"/>
            <w:tcMar>
              <w:top w:type="dxa" w:w="70"/>
              <w:left w:type="dxa" w:w="110"/>
              <w:bottom w:type="dxa" w:w="70"/>
              <w:right w:type="dxa" w:w="110"/>
            </w:tcMar>
          </w:tcPr>
          <w:p>
            <w:pPr>
              <w:spacing w:after="0" w:line="280"/>
              <w:jc w:val="left"/>
            </w:pPr>
            <w:r>
              <w:rPr>
                <w:rFonts w:ascii="Century" w:eastAsia="ＭＳ 明朝" w:hAnsi="Century"/>
                <w:sz w:val="20"/>
                <w:szCs w:val="20"/>
              </w:rPr>
              <w:t xml:space="preserve">2026年10月上旬〜11月中旬</w:t>
            </w:r>
          </w:p>
        </w:tc>
        <w:tc>
          <w:tcPr>
            <w:tcW w:type="dxa" w:w="4700"/>
            <w:tcMar>
              <w:top w:type="dxa" w:w="70"/>
              <w:left w:type="dxa" w:w="110"/>
              <w:bottom w:type="dxa" w:w="70"/>
              <w:right w:type="dxa" w:w="110"/>
            </w:tcMar>
          </w:tcPr>
          <w:p>
            <w:pPr>
              <w:spacing w:after="0" w:line="280"/>
              <w:jc w:val="left"/>
            </w:pPr>
            <w:r>
              <w:rPr>
                <w:rFonts w:ascii="Century" w:eastAsia="ＭＳ 明朝" w:hAnsi="Century"/>
                <w:sz w:val="20"/>
                <w:szCs w:val="20"/>
              </w:rPr>
              <w:t xml:space="preserve">外部法律事務所を起用。契約関係、労務、許認可、係争の有無を確認いたします。</w:t>
            </w:r>
          </w:p>
        </w:tc>
      </w:tr>
      <w:tr>
        <w:trPr>
          <w:cantSplit/>
        </w:trPr>
        <w:tc>
          <w:tcPr>
            <w:tcW w:type="dxa" w:w="2400"/>
            <w:tcMar>
              <w:top w:type="dxa" w:w="70"/>
              <w:left w:type="dxa" w:w="110"/>
              <w:bottom w:type="dxa" w:w="70"/>
              <w:right w:type="dxa" w:w="110"/>
            </w:tcMar>
          </w:tcPr>
          <w:p>
            <w:pPr>
              <w:spacing w:after="0" w:line="280"/>
              <w:jc w:val="left"/>
            </w:pPr>
            <w:r>
              <w:rPr>
                <w:rFonts w:ascii="Century" w:eastAsia="ＭＳ 明朝" w:hAnsi="Century"/>
                <w:sz w:val="20"/>
                <w:szCs w:val="20"/>
              </w:rPr>
              <w:t xml:space="preserve">DD（ビジネス）</w:t>
            </w:r>
          </w:p>
        </w:tc>
        <w:tc>
          <w:tcPr>
            <w:tcW w:type="dxa" w:w="2100"/>
            <w:tcMar>
              <w:top w:type="dxa" w:w="70"/>
              <w:left w:type="dxa" w:w="110"/>
              <w:bottom w:type="dxa" w:w="70"/>
              <w:right w:type="dxa" w:w="110"/>
            </w:tcMar>
          </w:tcPr>
          <w:p>
            <w:pPr>
              <w:spacing w:after="0" w:line="280"/>
              <w:jc w:val="left"/>
            </w:pPr>
            <w:r>
              <w:rPr>
                <w:rFonts w:ascii="Century" w:eastAsia="ＭＳ 明朝" w:hAnsi="Century"/>
                <w:sz w:val="20"/>
                <w:szCs w:val="20"/>
              </w:rPr>
              <w:t xml:space="preserve">2026年10月上旬〜10月下旬</w:t>
            </w:r>
          </w:p>
        </w:tc>
        <w:tc>
          <w:tcPr>
            <w:tcW w:type="dxa" w:w="4700"/>
            <w:tcMar>
              <w:top w:type="dxa" w:w="70"/>
              <w:left w:type="dxa" w:w="110"/>
              <w:bottom w:type="dxa" w:w="70"/>
              <w:right w:type="dxa" w:w="110"/>
            </w:tcMar>
          </w:tcPr>
          <w:p>
            <w:pPr>
              <w:spacing w:after="0" w:line="280"/>
              <w:jc w:val="left"/>
            </w:pPr>
            <w:r>
              <w:rPr>
                <w:rFonts w:ascii="Century" w:eastAsia="ＭＳ 明朝" w:hAnsi="Century"/>
                <w:sz w:val="20"/>
                <w:szCs w:val="20"/>
              </w:rPr>
              <w:t xml:space="preserve">当社内部にて実施。ワイン在庫の時価評価を含みます。</w:t>
            </w:r>
          </w:p>
        </w:tc>
      </w:tr>
      <w:tr>
        <w:trPr>
          <w:cantSplit/>
        </w:trPr>
        <w:tc>
          <w:tcPr>
            <w:tcW w:type="dxa" w:w="2400"/>
            <w:tcMar>
              <w:top w:type="dxa" w:w="70"/>
              <w:left w:type="dxa" w:w="110"/>
              <w:bottom w:type="dxa" w:w="70"/>
              <w:right w:type="dxa" w:w="110"/>
            </w:tcMar>
          </w:tcPr>
          <w:p>
            <w:pPr>
              <w:spacing w:after="0" w:line="280"/>
              <w:jc w:val="left"/>
            </w:pPr>
            <w:r>
              <w:rPr>
                <w:rFonts w:ascii="Century" w:eastAsia="ＭＳ 明朝" w:hAnsi="Century"/>
                <w:sz w:val="20"/>
                <w:szCs w:val="20"/>
              </w:rPr>
              <w:t xml:space="preserve">現地視察</w:t>
            </w:r>
          </w:p>
        </w:tc>
        <w:tc>
          <w:tcPr>
            <w:tcW w:type="dxa" w:w="2100"/>
            <w:tcMar>
              <w:top w:type="dxa" w:w="70"/>
              <w:left w:type="dxa" w:w="110"/>
              <w:bottom w:type="dxa" w:w="70"/>
              <w:right w:type="dxa" w:w="110"/>
            </w:tcMar>
          </w:tcPr>
          <w:p>
            <w:pPr>
              <w:spacing w:after="0" w:line="280"/>
              <w:jc w:val="left"/>
            </w:pPr>
            <w:r>
              <w:rPr>
                <w:rFonts w:ascii="Century" w:eastAsia="ＭＳ 明朝" w:hAnsi="Century"/>
                <w:sz w:val="20"/>
                <w:szCs w:val="20"/>
              </w:rPr>
              <w:t xml:space="preserve">2026年10月中</w:t>
            </w:r>
          </w:p>
        </w:tc>
        <w:tc>
          <w:tcPr>
            <w:tcW w:type="dxa" w:w="4700"/>
            <w:tcMar>
              <w:top w:type="dxa" w:w="70"/>
              <w:left w:type="dxa" w:w="110"/>
              <w:bottom w:type="dxa" w:w="70"/>
              <w:right w:type="dxa" w:w="110"/>
            </w:tcMar>
          </w:tcPr>
          <w:p>
            <w:pPr>
              <w:spacing w:after="0" w:line="280"/>
              <w:jc w:val="left"/>
            </w:pPr>
            <w:r>
              <w:rPr>
                <w:rFonts w:ascii="Century" w:eastAsia="ＭＳ 明朝" w:hAnsi="Century"/>
                <w:sz w:val="20"/>
                <w:szCs w:val="20"/>
              </w:rPr>
              <w:t xml:space="preserve">1〜2回。営業時間外を希望いたします。</w:t>
            </w:r>
          </w:p>
        </w:tc>
      </w:tr>
      <w:tr>
        <w:trPr>
          <w:cantSplit/>
        </w:trPr>
        <w:tc>
          <w:tcPr>
            <w:tcW w:type="dxa" w:w="2400"/>
            <w:tcMar>
              <w:top w:type="dxa" w:w="70"/>
              <w:left w:type="dxa" w:w="110"/>
              <w:bottom w:type="dxa" w:w="70"/>
              <w:right w:type="dxa" w:w="110"/>
            </w:tcMar>
          </w:tcPr>
          <w:p>
            <w:pPr>
              <w:spacing w:after="0" w:line="280"/>
              <w:jc w:val="left"/>
            </w:pPr>
            <w:r>
              <w:rPr>
                <w:rFonts w:ascii="Century" w:eastAsia="ＭＳ 明朝" w:hAnsi="Century"/>
                <w:sz w:val="20"/>
                <w:szCs w:val="20"/>
              </w:rPr>
              <w:t xml:space="preserve">移転・誘致に関する協議</w:t>
            </w:r>
          </w:p>
        </w:tc>
        <w:tc>
          <w:tcPr>
            <w:tcW w:type="dxa" w:w="2100"/>
            <w:tcMar>
              <w:top w:type="dxa" w:w="70"/>
              <w:left w:type="dxa" w:w="110"/>
              <w:bottom w:type="dxa" w:w="70"/>
              <w:right w:type="dxa" w:w="110"/>
            </w:tcMar>
          </w:tcPr>
          <w:p>
            <w:pPr>
              <w:spacing w:after="0" w:line="280"/>
              <w:jc w:val="left"/>
            </w:pPr>
            <w:r>
              <w:rPr>
                <w:rFonts w:ascii="Century" w:eastAsia="ＭＳ 明朝" w:hAnsi="Century"/>
                <w:sz w:val="20"/>
                <w:szCs w:val="20"/>
              </w:rPr>
              <w:t xml:space="preserve">2026年10月〜11月</w:t>
            </w:r>
          </w:p>
        </w:tc>
        <w:tc>
          <w:tcPr>
            <w:tcW w:type="dxa" w:w="4700"/>
            <w:tcMar>
              <w:top w:type="dxa" w:w="70"/>
              <w:left w:type="dxa" w:w="110"/>
              <w:bottom w:type="dxa" w:w="70"/>
              <w:right w:type="dxa" w:w="110"/>
            </w:tcMar>
          </w:tcPr>
          <w:p>
            <w:pPr>
              <w:spacing w:after="0" w:line="280"/>
              <w:jc w:val="left"/>
            </w:pPr>
            <w:r>
              <w:rPr>
                <w:rFonts w:ascii="Century" w:eastAsia="ＭＳ 明朝" w:hAnsi="Century"/>
                <w:sz w:val="20"/>
                <w:szCs w:val="20"/>
              </w:rPr>
              <w:t xml:space="preserve">誘致のお話について、条件を確認のうえ岸田様とご一緒に方針を検討いたします。</w:t>
            </w:r>
          </w:p>
        </w:tc>
      </w:tr>
      <w:tr>
        <w:trPr>
          <w:cantSplit/>
        </w:trPr>
        <w:tc>
          <w:tcPr>
            <w:tcW w:type="dxa" w:w="2400"/>
            <w:tcMar>
              <w:top w:type="dxa" w:w="70"/>
              <w:left w:type="dxa" w:w="110"/>
              <w:bottom w:type="dxa" w:w="70"/>
              <w:right w:type="dxa" w:w="110"/>
            </w:tcMar>
          </w:tcPr>
          <w:p>
            <w:pPr>
              <w:spacing w:after="0" w:line="280"/>
              <w:jc w:val="left"/>
            </w:pPr>
            <w:r>
              <w:rPr>
                <w:rFonts w:ascii="Century" w:eastAsia="ＭＳ 明朝" w:hAnsi="Century"/>
                <w:sz w:val="20"/>
                <w:szCs w:val="20"/>
              </w:rPr>
              <w:t xml:space="preserve">最終契約交渉</w:t>
            </w:r>
          </w:p>
        </w:tc>
        <w:tc>
          <w:tcPr>
            <w:tcW w:type="dxa" w:w="2100"/>
            <w:tcMar>
              <w:top w:type="dxa" w:w="70"/>
              <w:left w:type="dxa" w:w="110"/>
              <w:bottom w:type="dxa" w:w="70"/>
              <w:right w:type="dxa" w:w="110"/>
            </w:tcMar>
          </w:tcPr>
          <w:p>
            <w:pPr>
              <w:spacing w:after="0" w:line="280"/>
              <w:jc w:val="left"/>
            </w:pPr>
            <w:r>
              <w:rPr>
                <w:rFonts w:ascii="Century" w:eastAsia="ＭＳ 明朝" w:hAnsi="Century"/>
                <w:sz w:val="20"/>
                <w:szCs w:val="20"/>
              </w:rPr>
              <w:t xml:space="preserve">2026年11月下旬〜12月上旬</w:t>
            </w:r>
          </w:p>
        </w:tc>
        <w:tc>
          <w:tcPr>
            <w:tcW w:type="dxa" w:w="4700"/>
            <w:tcMar>
              <w:top w:type="dxa" w:w="70"/>
              <w:left w:type="dxa" w:w="110"/>
              <w:bottom w:type="dxa" w:w="70"/>
              <w:right w:type="dxa" w:w="110"/>
            </w:tcMar>
          </w:tcPr>
          <w:p>
            <w:pPr>
              <w:spacing w:after="0" w:line="280"/>
              <w:jc w:val="left"/>
            </w:pPr>
            <w:r>
              <w:rPr>
                <w:rFonts w:ascii="Century" w:eastAsia="ＭＳ 明朝" w:hAnsi="Century"/>
                <w:sz w:val="20"/>
                <w:szCs w:val="20"/>
              </w:rPr>
              <w:t xml:space="preserve">―</w:t>
            </w:r>
          </w:p>
        </w:tc>
      </w:tr>
      <w:tr>
        <w:trPr>
          <w:cantSplit/>
        </w:trPr>
        <w:tc>
          <w:tcPr>
            <w:tcW w:type="dxa" w:w="2400"/>
            <w:tcMar>
              <w:top w:type="dxa" w:w="70"/>
              <w:left w:type="dxa" w:w="110"/>
              <w:bottom w:type="dxa" w:w="70"/>
              <w:right w:type="dxa" w:w="110"/>
            </w:tcMar>
          </w:tcPr>
          <w:p>
            <w:pPr>
              <w:spacing w:after="0" w:line="280"/>
              <w:jc w:val="left"/>
            </w:pPr>
            <w:r>
              <w:rPr>
                <w:rFonts w:ascii="Century" w:eastAsia="ＭＳ 明朝" w:hAnsi="Century"/>
                <w:sz w:val="20"/>
                <w:szCs w:val="20"/>
              </w:rPr>
              <w:t xml:space="preserve">最終契約締結</w:t>
            </w:r>
          </w:p>
        </w:tc>
        <w:tc>
          <w:tcPr>
            <w:tcW w:type="dxa" w:w="2100"/>
            <w:tcMar>
              <w:top w:type="dxa" w:w="70"/>
              <w:left w:type="dxa" w:w="110"/>
              <w:bottom w:type="dxa" w:w="70"/>
              <w:right w:type="dxa" w:w="110"/>
            </w:tcMar>
          </w:tcPr>
          <w:p>
            <w:pPr>
              <w:spacing w:after="0" w:line="280"/>
              <w:jc w:val="left"/>
            </w:pPr>
            <w:r>
              <w:rPr>
                <w:rFonts w:ascii="Century" w:eastAsia="ＭＳ 明朝" w:hAnsi="Century"/>
                <w:sz w:val="20"/>
                <w:szCs w:val="20"/>
              </w:rPr>
              <w:t xml:space="preserve">2026年12月中旬</w:t>
            </w:r>
          </w:p>
        </w:tc>
        <w:tc>
          <w:tcPr>
            <w:tcW w:type="dxa" w:w="4700"/>
            <w:tcMar>
              <w:top w:type="dxa" w:w="70"/>
              <w:left w:type="dxa" w:w="110"/>
              <w:bottom w:type="dxa" w:w="70"/>
              <w:right w:type="dxa" w:w="110"/>
            </w:tcMar>
          </w:tcPr>
          <w:p>
            <w:pPr>
              <w:spacing w:after="0" w:line="280"/>
              <w:jc w:val="left"/>
            </w:pPr>
            <w:r>
              <w:rPr>
                <w:rFonts w:ascii="Century" w:eastAsia="ＭＳ 明朝" w:hAnsi="Century"/>
                <w:sz w:val="20"/>
                <w:szCs w:val="20"/>
              </w:rPr>
              <w:t xml:space="preserve">当社取締役会決議を経て締結いたします。</w:t>
            </w:r>
          </w:p>
        </w:tc>
      </w:tr>
      <w:tr>
        <w:trPr>
          <w:cantSplit/>
        </w:trPr>
        <w:tc>
          <w:tcPr>
            <w:tcW w:type="dxa" w:w="2400"/>
            <w:tcMar>
              <w:top w:type="dxa" w:w="70"/>
              <w:left w:type="dxa" w:w="110"/>
              <w:bottom w:type="dxa" w:w="70"/>
              <w:right w:type="dxa" w:w="110"/>
            </w:tcMar>
          </w:tcPr>
          <w:p>
            <w:pPr>
              <w:spacing w:after="0" w:line="280"/>
              <w:jc w:val="left"/>
            </w:pPr>
            <w:r>
              <w:rPr>
                <w:rFonts w:ascii="Century" w:eastAsia="ＭＳ 明朝" w:hAnsi="Century"/>
                <w:sz w:val="20"/>
                <w:szCs w:val="20"/>
              </w:rPr>
              <w:t xml:space="preserve">クロージング</w:t>
            </w:r>
          </w:p>
        </w:tc>
        <w:tc>
          <w:tcPr>
            <w:tcW w:type="dxa" w:w="2100"/>
            <w:tcMar>
              <w:top w:type="dxa" w:w="70"/>
              <w:left w:type="dxa" w:w="110"/>
              <w:bottom w:type="dxa" w:w="70"/>
              <w:right w:type="dxa" w:w="110"/>
            </w:tcMar>
          </w:tcPr>
          <w:p>
            <w:pPr>
              <w:spacing w:after="0" w:line="280"/>
              <w:jc w:val="left"/>
            </w:pPr>
            <w:r>
              <w:rPr>
                <w:rFonts w:ascii="Century" w:eastAsia="ＭＳ 明朝" w:hAnsi="Century"/>
                <w:sz w:val="20"/>
                <w:szCs w:val="20"/>
              </w:rPr>
              <w:t xml:space="preserve">2026年12月末</w:t>
            </w:r>
          </w:p>
        </w:tc>
        <w:tc>
          <w:tcPr>
            <w:tcW w:type="dxa" w:w="4700"/>
            <w:tcMar>
              <w:top w:type="dxa" w:w="70"/>
              <w:left w:type="dxa" w:w="110"/>
              <w:bottom w:type="dxa" w:w="70"/>
              <w:right w:type="dxa" w:w="110"/>
            </w:tcMar>
          </w:tcPr>
          <w:p>
            <w:pPr>
              <w:spacing w:after="0" w:line="280"/>
              <w:jc w:val="left"/>
            </w:pPr>
            <w:r>
              <w:rPr>
                <w:rFonts w:ascii="Century" w:eastAsia="ＭＳ 明朝" w:hAnsi="Century"/>
                <w:sz w:val="20"/>
                <w:szCs w:val="20"/>
              </w:rPr>
              <w:t xml:space="preserve">貴社と合意しております。</w:t>
            </w:r>
          </w:p>
        </w:tc>
      </w:tr>
    </w:tbl>
    <w:p>
      <w:pPr>
        <w:spacing w:after="140"/>
      </w:pPr>
    </w:p>
    <w:p>
      <w:pPr>
        <w:spacing w:after="100" w:before="200" w:line="300"/>
      </w:pPr>
      <w:r>
        <w:rPr>
          <w:rFonts w:ascii="Arial" w:eastAsia="ＭＳ ゴシック" w:hAnsi="Arial"/>
          <w:b/>
          <w:bCs/>
          <w:sz w:val="21"/>
          <w:szCs w:val="21"/>
        </w:rPr>
        <w:t xml:space="preserve">最終契約締結の前提として確認を要すると考えるリスク</w:t>
      </w:r>
    </w:p>
    <w:p>
      <w:pPr>
        <w:spacing w:after="80" w:line="300"/>
        <w:ind w:left="440" w:hanging="280"/>
      </w:pPr>
      <w:r>
        <w:rPr>
          <w:rFonts w:ascii="Century" w:eastAsia="ＭＳ 明朝" w:hAnsi="Century"/>
          <w:sz w:val="21"/>
          <w:szCs w:val="21"/>
        </w:rPr>
        <w:t xml:space="preserve">① 後継者：現ご在籍の方、卒業生の方、外部からの招聘のそれぞれについて、打診の可否と具体的な手順。面談にて後任の方が現時点では確定されていない旨を伺っており、当社は本件における最大の論点であると認識しております。</w:t>
      </w:r>
    </w:p>
    <w:p>
      <w:pPr>
        <w:spacing w:after="80" w:line="300"/>
        <w:ind w:left="440" w:hanging="280"/>
      </w:pPr>
      <w:r>
        <w:rPr>
          <w:rFonts w:ascii="Century" w:eastAsia="ＭＳ 明朝" w:hAnsi="Century"/>
          <w:sz w:val="21"/>
          <w:szCs w:val="21"/>
        </w:rPr>
        <w:t xml:space="preserve">② 岸田様のご関与形態：3年間の従事の内容（勤務日数、厨房への関与の程度）と、3年経過後のご意向。</w:t>
      </w:r>
    </w:p>
    <w:p>
      <w:pPr>
        <w:spacing w:after="80" w:line="300"/>
        <w:ind w:left="440" w:hanging="280"/>
      </w:pPr>
      <w:r>
        <w:rPr>
          <w:rFonts w:ascii="Century" w:eastAsia="ＭＳ 明朝" w:hAnsi="Century"/>
          <w:sz w:val="21"/>
          <w:szCs w:val="21"/>
        </w:rPr>
        <w:t xml:space="preserve">③ 移転・誘致：各案件の条件（開業時期、賃料、保証金、先方負担額、意思決定期限）と、移転後の収益見通し。</w:t>
      </w:r>
    </w:p>
    <w:p>
      <w:pPr>
        <w:spacing w:after="80" w:line="300"/>
        <w:ind w:left="440" w:hanging="280"/>
      </w:pPr>
      <w:r>
        <w:rPr>
          <w:rFonts w:ascii="Century" w:eastAsia="ＭＳ 明朝" w:hAnsi="Century"/>
          <w:sz w:val="21"/>
          <w:szCs w:val="21"/>
        </w:rPr>
        <w:t xml:space="preserve">④ ミシュランの評価：評価が店舗と岸田様個人のいずれに帰属するものと考えられるか。評価が変動した場合の収益への影響。</w:t>
      </w:r>
    </w:p>
    <w:p>
      <w:pPr>
        <w:spacing w:after="80" w:line="300"/>
        <w:ind w:left="440" w:hanging="280"/>
      </w:pPr>
      <w:r>
        <w:rPr>
          <w:rFonts w:ascii="Century" w:eastAsia="ＭＳ 明朝" w:hAnsi="Century"/>
          <w:sz w:val="21"/>
          <w:szCs w:val="21"/>
        </w:rPr>
        <w:t xml:space="preserve">⑤ 仕入先からの配分：希少銘柄の配分が、対象会社と岸田様個人のいずれに帰属するものか。その根拠となる契約の有無。</w:t>
      </w:r>
    </w:p>
    <w:p>
      <w:pPr>
        <w:spacing w:after="80" w:line="300"/>
        <w:ind w:left="440" w:hanging="280"/>
      </w:pPr>
      <w:r>
        <w:rPr>
          <w:rFonts w:ascii="Century" w:eastAsia="ＭＳ 明朝" w:hAnsi="Century"/>
          <w:sz w:val="21"/>
          <w:szCs w:val="21"/>
        </w:rPr>
        <w:t xml:space="preserve">⑥ 店舗賃貸借契約：残存期間、更新条件、支配権異動に関する条項、原状回復義務の範囲。</w:t>
      </w:r>
    </w:p>
    <w:p>
      <w:pPr>
        <w:spacing w:after="80" w:line="300"/>
        <w:ind w:left="440" w:hanging="280"/>
      </w:pPr>
      <w:r>
        <w:rPr>
          <w:rFonts w:ascii="Century" w:eastAsia="ＭＳ 明朝" w:hAnsi="Century"/>
          <w:sz w:val="21"/>
          <w:szCs w:val="21"/>
        </w:rPr>
        <w:t xml:space="preserve">⑦ 物販事業：粗利率、商標およびレシピの帰属、レストラン外に製造拠点を設ける場合の許認可および人員の手当て（年商約7,000万円、抽選販売、生産能力が上限にあることは承知しております）。</w:t>
      </w:r>
    </w:p>
    <w:p>
      <w:pPr>
        <w:spacing w:after="80" w:line="300"/>
        <w:ind w:left="440" w:hanging="280"/>
      </w:pPr>
      <w:r>
        <w:rPr>
          <w:rFonts w:ascii="Century" w:eastAsia="ＭＳ 明朝" w:hAnsi="Century"/>
          <w:sz w:val="21"/>
          <w:szCs w:val="21"/>
        </w:rPr>
        <w:t xml:space="preserve">⑧ 労務：36協定の運用状況、固定残業給の設計と実労働時間との関係、勤怠記録の保存状況。本書13項(2)に記載のとおり、当社は是正を価額の減額要素とは考えておりません。</w:t>
      </w:r>
    </w:p>
    <w:p>
      <w:pPr>
        <w:spacing w:after="80" w:line="300"/>
        <w:ind w:left="440" w:hanging="280"/>
      </w:pPr>
      <w:r>
        <w:rPr>
          <w:rFonts w:ascii="Century" w:eastAsia="ＭＳ 明朝" w:hAnsi="Century"/>
          <w:sz w:val="21"/>
          <w:szCs w:val="21"/>
        </w:rPr>
        <w:t xml:space="preserve">⑨ カンテサンスプラス株式会社：監修・コンサルティングの取引先および契約期間、岸田様からの役員借入金554万円の精算方法、本店を岸田様のご自宅に置かれていることに伴う地代家賃19.5万円の取扱い。</w:t>
      </w:r>
    </w:p>
    <w:p>
      <w:pPr>
        <w:spacing w:after="80" w:line="300"/>
        <w:ind w:left="440" w:hanging="280"/>
      </w:pPr>
      <w:r>
        <w:rPr>
          <w:rFonts w:ascii="Century" w:eastAsia="ＭＳ 明朝" w:hAnsi="Century"/>
          <w:sz w:val="21"/>
          <w:szCs w:val="21"/>
        </w:rPr>
        <w:t xml:space="preserve">⑩ 関連当事者取引：対象会社が岸田様のご自宅（港区高輪）を社宅として賃借されている件の契約内容と、本件後の取扱い。</w:t>
      </w:r>
    </w:p>
    <w:p>
      <w:pPr>
        <w:spacing w:after="80" w:line="300"/>
        <w:ind w:left="440" w:hanging="280"/>
      </w:pPr>
      <w:r>
        <w:rPr>
          <w:rFonts w:ascii="Century" w:eastAsia="ＭＳ 明朝" w:hAnsi="Century"/>
          <w:sz w:val="21"/>
          <w:szCs w:val="21"/>
        </w:rPr>
        <w:t xml:space="preserve">⑪ 予約サイトとの関係：第15期末に株式会社GHO（OMAKASE）に対する未収入金538万円が計上されていることと、質疑応答における「どことも契約しておらず手数料の支払はない」とのご説明との関係。</w:t>
      </w:r>
    </w:p>
    <w:p>
      <w:pPr>
        <w:spacing w:after="80" w:line="300"/>
        <w:ind w:left="440" w:hanging="280"/>
      </w:pPr>
      <w:r>
        <w:rPr>
          <w:rFonts w:ascii="Century" w:eastAsia="ＭＳ 明朝" w:hAnsi="Century"/>
          <w:sz w:val="21"/>
          <w:szCs w:val="21"/>
        </w:rPr>
        <w:t xml:space="preserve">⑫ 役員貸付金：精算の方法および時期。</w:t>
      </w:r>
    </w:p>
    <w:p>
      <w:pPr>
        <w:spacing w:after="80" w:line="300"/>
        <w:ind w:left="440" w:hanging="280"/>
      </w:pPr>
      <w:r>
        <w:rPr>
          <w:rFonts w:ascii="Century" w:eastAsia="ＭＳ 明朝" w:hAnsi="Century"/>
          <w:sz w:val="21"/>
          <w:szCs w:val="21"/>
        </w:rPr>
        <w:t xml:space="preserve">⑬ 許認可：飲食店営業許可等の承継可否。</w:t>
      </w:r>
    </w:p>
    <w:p>
      <w:pPr>
        <w:pBdr>
          <w:bottom w:val="single" w:color="333333" w:sz="6" w:space="4"/>
        </w:pBdr>
        <w:spacing w:after="160" w:before="320" w:line="300"/>
      </w:pPr>
      <w:r>
        <w:rPr>
          <w:rFonts w:ascii="Arial" w:eastAsia="ＭＳ ゴシック" w:hAnsi="Arial"/>
          <w:b/>
          <w:bCs/>
          <w:sz w:val="22"/>
          <w:szCs w:val="22"/>
        </w:rPr>
        <w:t xml:space="preserve">11．今後の意思決定プロセス</w:t>
      </w:r>
    </w:p>
    <w:p>
      <w:pPr>
        <w:spacing w:after="100" w:before="200" w:line="300"/>
      </w:pPr>
      <w:r>
        <w:rPr>
          <w:rFonts w:ascii="Arial" w:eastAsia="ＭＳ ゴシック" w:hAnsi="Arial"/>
          <w:b/>
          <w:bCs/>
          <w:sz w:val="21"/>
          <w:szCs w:val="21"/>
        </w:rPr>
        <w:t xml:space="preserve">(1) 本書の提出までに行われた意思決定</w:t>
      </w:r>
    </w:p>
    <w:p>
      <w:pPr>
        <w:spacing w:after="120" w:before="0" w:line="300"/>
      </w:pPr>
      <w:r>
        <w:rPr>
          <w:rFonts w:ascii="Century" w:eastAsia="ＭＳ 明朝" w:hAnsi="Century"/>
          <w:color w:val="595959"/>
          <w:sz w:val="21"/>
          <w:szCs w:val="21"/>
        </w:rPr>
        <w:t xml:space="preserve">【要ご記入：本書提出に係る社内手続をご記載ください。例：2026年●月●日開催の取締役会において、本件の検討およびDDの実施について決議しております。】</w:t>
      </w:r>
    </w:p>
    <w:p>
      <w:pPr>
        <w:spacing w:after="100" w:before="200" w:line="300"/>
      </w:pPr>
      <w:r>
        <w:rPr>
          <w:rFonts w:ascii="Arial" w:eastAsia="ＭＳ ゴシック" w:hAnsi="Arial"/>
          <w:b/>
          <w:bCs/>
          <w:sz w:val="21"/>
          <w:szCs w:val="21"/>
        </w:rPr>
        <w:t xml:space="preserve">(2) 今後必要となる意思決定</w:t>
      </w:r>
    </w:p>
    <w:p>
      <w:pPr>
        <w:spacing w:after="80" w:line="300"/>
        <w:ind w:left="440" w:hanging="280"/>
      </w:pPr>
      <w:r>
        <w:rPr>
          <w:rFonts w:ascii="Century" w:eastAsia="ＭＳ 明朝" w:hAnsi="Century"/>
          <w:sz w:val="21"/>
          <w:szCs w:val="21"/>
        </w:rPr>
        <w:t xml:space="preserve">① DD結果を踏まえた最終契約の締結について、当社取締役会の決議を要します（2026年12月中旬を予定）。</w:t>
      </w:r>
    </w:p>
    <w:p>
      <w:pPr>
        <w:spacing w:after="80" w:line="300"/>
        <w:ind w:left="440" w:hanging="280"/>
      </w:pPr>
      <w:r>
        <w:rPr>
          <w:rFonts w:ascii="Century" w:eastAsia="ＭＳ 明朝" w:hAnsi="Century"/>
          <w:sz w:val="21"/>
          <w:szCs w:val="21"/>
        </w:rPr>
        <w:t xml:space="preserve">② 本件の資金調達に係る増資について、当社の株主総会または取締役会の決議を要します。</w:t>
      </w:r>
    </w:p>
    <w:p>
      <w:pPr>
        <w:spacing w:after="80" w:line="300"/>
        <w:ind w:left="440" w:hanging="280"/>
      </w:pPr>
      <w:r>
        <w:rPr>
          <w:rFonts w:ascii="Century" w:eastAsia="ＭＳ 明朝" w:hAnsi="Century"/>
          <w:sz w:val="21"/>
          <w:szCs w:val="21"/>
        </w:rPr>
        <w:t xml:space="preserve">③ 金融機関における与信審査および正式な承認を要します。</w:t>
      </w:r>
    </w:p>
    <w:p>
      <w:pPr>
        <w:spacing w:after="60"/>
      </w:pPr>
    </w:p>
    <w:p>
      <w:pPr>
        <w:spacing w:after="120" w:before="0" w:line="300"/>
      </w:pPr>
      <w:r>
        <w:rPr>
          <w:rFonts w:ascii="Century" w:eastAsia="ＭＳ 明朝" w:hAnsi="Century"/>
          <w:sz w:val="21"/>
          <w:szCs w:val="21"/>
        </w:rPr>
        <w:t xml:space="preserve">いずれの手続についても、本ご案内に示されたスケジュールに支障が生じないよう進行させる所存です。</w:t>
      </w:r>
    </w:p>
    <w:p>
      <w:pPr>
        <w:pBdr>
          <w:bottom w:val="single" w:color="333333" w:sz="6" w:space="4"/>
        </w:pBdr>
        <w:spacing w:after="160" w:before="320" w:line="300"/>
      </w:pPr>
      <w:r>
        <w:rPr>
          <w:rFonts w:ascii="Arial" w:eastAsia="ＭＳ ゴシック" w:hAnsi="Arial"/>
          <w:b/>
          <w:bCs/>
          <w:sz w:val="22"/>
          <w:szCs w:val="22"/>
        </w:rPr>
        <w:t xml:space="preserve">12．当社の情報（本件取引の取組体制）</w:t>
      </w:r>
    </w:p>
    <w:p>
      <w:pPr>
        <w:spacing w:after="100" w:before="200" w:line="300"/>
      </w:pPr>
      <w:r>
        <w:rPr>
          <w:rFonts w:ascii="Arial" w:eastAsia="ＭＳ ゴシック" w:hAnsi="Arial"/>
          <w:b/>
          <w:bCs/>
          <w:sz w:val="21"/>
          <w:szCs w:val="21"/>
        </w:rPr>
        <w:t xml:space="preserve">(1) 当社の担当者</w:t>
      </w:r>
    </w:p>
    <w:tbl>
      <w:tblPr>
        <w:tblW w:type="dxa" w:w="9200"/>
        <w:tblBorders>
          <w:top w:val="single" w:color="BFBFBF" w:sz="4"/>
          <w:left w:val="single" w:color="BFBFBF" w:sz="4"/>
          <w:bottom w:val="single" w:color="BFBFBF" w:sz="4"/>
          <w:right w:val="single" w:color="BFBFBF" w:sz="4"/>
          <w:insideH w:val="single" w:color="BFBFBF" w:sz="4"/>
          <w:insideV w:val="single" w:color="BFBFBF" w:sz="4"/>
        </w:tblBorders>
      </w:tblPr>
      <w:tblGrid>
        <w:gridCol w:w="1500"/>
        <w:gridCol w:w="2000"/>
        <w:gridCol w:w="1800"/>
        <w:gridCol w:w="1900"/>
        <w:gridCol w:w="2000"/>
      </w:tblGrid>
      <w:tr>
        <w:trPr>
          <w:cantSplit/>
        </w:trPr>
        <w:tc>
          <w:tcPr>
            <w:tcW w:type="dxa" w:w="15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氏名</w:t>
            </w:r>
          </w:p>
        </w:tc>
        <w:tc>
          <w:tcPr>
            <w:tcW w:type="dxa" w:w="20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所属・役職</w:t>
            </w:r>
          </w:p>
        </w:tc>
        <w:tc>
          <w:tcPr>
            <w:tcW w:type="dxa" w:w="18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所在地</w:t>
            </w:r>
          </w:p>
        </w:tc>
        <w:tc>
          <w:tcPr>
            <w:tcW w:type="dxa" w:w="19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電話番号</w:t>
            </w:r>
          </w:p>
        </w:tc>
        <w:tc>
          <w:tcPr>
            <w:tcW w:type="dxa" w:w="20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E-mail</w:t>
            </w:r>
          </w:p>
        </w:tc>
      </w:tr>
      <w:tr>
        <w:trPr>
          <w:cantSplit/>
        </w:trPr>
        <w:tc>
          <w:tcPr>
            <w:tcW w:type="dxa" w:w="1500"/>
            <w:tcMar>
              <w:top w:type="dxa" w:w="70"/>
              <w:left w:type="dxa" w:w="110"/>
              <w:bottom w:type="dxa" w:w="70"/>
              <w:right w:type="dxa" w:w="110"/>
            </w:tcMar>
          </w:tcPr>
          <w:p>
            <w:pPr>
              <w:spacing w:after="0" w:line="280"/>
              <w:jc w:val="left"/>
            </w:pPr>
            <w:r>
              <w:rPr>
                <w:rFonts w:ascii="Century" w:eastAsia="ＭＳ 明朝" w:hAnsi="Century"/>
                <w:sz w:val="19"/>
                <w:szCs w:val="19"/>
              </w:rPr>
              <w:t xml:space="preserve">中野　邦人</w:t>
            </w:r>
          </w:p>
        </w:tc>
        <w:tc>
          <w:tcPr>
            <w:tcW w:type="dxa" w:w="2000"/>
            <w:tcMar>
              <w:top w:type="dxa" w:w="70"/>
              <w:left w:type="dxa" w:w="110"/>
              <w:bottom w:type="dxa" w:w="70"/>
              <w:right w:type="dxa" w:w="110"/>
            </w:tcMar>
          </w:tcPr>
          <w:p>
            <w:pPr>
              <w:spacing w:after="0" w:line="280"/>
              <w:jc w:val="left"/>
            </w:pPr>
            <w:r>
              <w:rPr>
                <w:rFonts w:ascii="Century" w:eastAsia="ＭＳ 明朝" w:hAnsi="Century"/>
                <w:sz w:val="19"/>
                <w:szCs w:val="19"/>
              </w:rPr>
              <w:t xml:space="preserve">代表取締役</w:t>
            </w:r>
          </w:p>
        </w:tc>
        <w:tc>
          <w:tcPr>
            <w:tcW w:type="dxa" w:w="1800"/>
            <w:tcMar>
              <w:top w:type="dxa" w:w="70"/>
              <w:left w:type="dxa" w:w="110"/>
              <w:bottom w:type="dxa" w:w="70"/>
              <w:right w:type="dxa" w:w="110"/>
            </w:tcMar>
          </w:tcPr>
          <w:p>
            <w:pPr>
              <w:spacing w:after="0" w:line="280"/>
              <w:jc w:val="left"/>
            </w:pPr>
            <w:r>
              <w:rPr>
                <w:rFonts w:ascii="Century" w:eastAsia="ＭＳ 明朝" w:hAnsi="Century"/>
                <w:sz w:val="19"/>
                <w:szCs w:val="19"/>
              </w:rPr>
              <w:t xml:space="preserve">本社</w:t>
            </w:r>
          </w:p>
        </w:tc>
        <w:tc>
          <w:tcPr>
            <w:tcW w:type="dxa" w:w="1900"/>
            <w:tcMar>
              <w:top w:type="dxa" w:w="70"/>
              <w:left w:type="dxa" w:w="110"/>
              <w:bottom w:type="dxa" w:w="70"/>
              <w:right w:type="dxa" w:w="110"/>
            </w:tcMar>
          </w:tcPr>
          <w:p>
            <w:pPr>
              <w:spacing w:after="0" w:line="280"/>
              <w:jc w:val="left"/>
            </w:pPr>
            <w:r>
              <w:rPr>
                <w:rFonts w:ascii="Century" w:eastAsia="ＭＳ 明朝" w:hAnsi="Century"/>
                <w:sz w:val="19"/>
                <w:szCs w:val="19"/>
              </w:rPr>
              <w:t xml:space="preserve">03-6416-9370</w:t>
            </w:r>
          </w:p>
        </w:tc>
        <w:tc>
          <w:tcPr>
            <w:tcW w:type="dxa" w:w="2000"/>
            <w:tcMar>
              <w:top w:type="dxa" w:w="70"/>
              <w:left w:type="dxa" w:w="110"/>
              <w:bottom w:type="dxa" w:w="70"/>
              <w:right w:type="dxa" w:w="110"/>
            </w:tcMar>
          </w:tcPr>
          <w:p>
            <w:pPr>
              <w:spacing w:after="0" w:line="280"/>
              <w:jc w:val="left"/>
            </w:pPr>
            <w:r>
              <w:rPr>
                <w:rFonts w:ascii="Century" w:eastAsia="ＭＳ 明朝" w:hAnsi="Century"/>
                <w:sz w:val="19"/>
                <w:szCs w:val="19"/>
              </w:rPr>
              <w:t xml:space="preserve">nakano@wine-bank.co.jp</w:t>
            </w:r>
          </w:p>
        </w:tc>
      </w:tr>
      <w:tr>
        <w:trPr>
          <w:cantSplit/>
        </w:trPr>
        <w:tc>
          <w:tcPr>
            <w:tcW w:type="dxa" w:w="1500"/>
            <w:tcMar>
              <w:top w:type="dxa" w:w="70"/>
              <w:left w:type="dxa" w:w="110"/>
              <w:bottom w:type="dxa" w:w="70"/>
              <w:right w:type="dxa" w:w="110"/>
            </w:tcMar>
          </w:tcPr>
          <w:p>
            <w:pPr>
              <w:spacing w:after="0" w:line="280"/>
              <w:jc w:val="left"/>
            </w:pPr>
            <w:r>
              <w:rPr>
                <w:rFonts w:ascii="Century" w:eastAsia="ＭＳ 明朝" w:hAnsi="Century"/>
                <w:sz w:val="19"/>
                <w:szCs w:val="19"/>
              </w:rPr>
              <w:t xml:space="preserve">疋田　一久</w:t>
            </w:r>
          </w:p>
        </w:tc>
        <w:tc>
          <w:tcPr>
            <w:tcW w:type="dxa" w:w="2000"/>
            <w:tcMar>
              <w:top w:type="dxa" w:w="70"/>
              <w:left w:type="dxa" w:w="110"/>
              <w:bottom w:type="dxa" w:w="70"/>
              <w:right w:type="dxa" w:w="110"/>
            </w:tcMar>
          </w:tcPr>
          <w:p>
            <w:pPr>
              <w:spacing w:after="0" w:line="280"/>
              <w:jc w:val="left"/>
            </w:pPr>
            <w:r>
              <w:rPr>
                <w:rFonts w:ascii="Century" w:eastAsia="ＭＳ 明朝" w:hAnsi="Century"/>
                <w:color w:val="595959"/>
                <w:sz w:val="19"/>
                <w:szCs w:val="19"/>
              </w:rPr>
              <w:t xml:space="preserve">【要ご記入：役職】</w:t>
            </w:r>
          </w:p>
        </w:tc>
        <w:tc>
          <w:tcPr>
            <w:tcW w:type="dxa" w:w="1800"/>
            <w:tcMar>
              <w:top w:type="dxa" w:w="70"/>
              <w:left w:type="dxa" w:w="110"/>
              <w:bottom w:type="dxa" w:w="70"/>
              <w:right w:type="dxa" w:w="110"/>
            </w:tcMar>
          </w:tcPr>
          <w:p>
            <w:pPr>
              <w:spacing w:after="0" w:line="280"/>
              <w:jc w:val="left"/>
            </w:pPr>
            <w:r>
              <w:rPr>
                <w:rFonts w:ascii="Century" w:eastAsia="ＭＳ 明朝" w:hAnsi="Century"/>
                <w:sz w:val="19"/>
                <w:szCs w:val="19"/>
              </w:rPr>
              <w:t xml:space="preserve">本社</w:t>
            </w:r>
          </w:p>
        </w:tc>
        <w:tc>
          <w:tcPr>
            <w:tcW w:type="dxa" w:w="1900"/>
            <w:tcMar>
              <w:top w:type="dxa" w:w="70"/>
              <w:left w:type="dxa" w:w="110"/>
              <w:bottom w:type="dxa" w:w="70"/>
              <w:right w:type="dxa" w:w="110"/>
            </w:tcMar>
          </w:tcPr>
          <w:p>
            <w:pPr>
              <w:spacing w:after="0" w:line="280"/>
              <w:jc w:val="left"/>
            </w:pPr>
            <w:r>
              <w:rPr>
                <w:rFonts w:ascii="Century" w:eastAsia="ＭＳ 明朝" w:hAnsi="Century"/>
                <w:sz w:val="19"/>
                <w:szCs w:val="19"/>
              </w:rPr>
              <w:t xml:space="preserve">03-6416-9370</w:t>
            </w:r>
          </w:p>
        </w:tc>
        <w:tc>
          <w:tcPr>
            <w:tcW w:type="dxa" w:w="2000"/>
            <w:tcMar>
              <w:top w:type="dxa" w:w="70"/>
              <w:left w:type="dxa" w:w="110"/>
              <w:bottom w:type="dxa" w:w="70"/>
              <w:right w:type="dxa" w:w="110"/>
            </w:tcMar>
          </w:tcPr>
          <w:p>
            <w:pPr>
              <w:spacing w:after="0" w:line="280"/>
              <w:jc w:val="left"/>
            </w:pPr>
            <w:r>
              <w:rPr>
                <w:rFonts w:ascii="Century" w:eastAsia="ＭＳ 明朝" w:hAnsi="Century"/>
                <w:sz w:val="19"/>
                <w:szCs w:val="19"/>
              </w:rPr>
              <w:t xml:space="preserve">kazuhisa-hikita@wine-bank.co.jp</w:t>
            </w:r>
          </w:p>
        </w:tc>
      </w:tr>
    </w:tbl>
    <w:p>
      <w:pPr>
        <w:spacing w:after="120"/>
      </w:pPr>
    </w:p>
    <w:p>
      <w:pPr>
        <w:spacing w:after="100" w:before="200" w:line="300"/>
      </w:pPr>
      <w:r>
        <w:rPr>
          <w:rFonts w:ascii="Arial" w:eastAsia="ＭＳ ゴシック" w:hAnsi="Arial"/>
          <w:b/>
          <w:bCs/>
          <w:sz w:val="21"/>
          <w:szCs w:val="21"/>
        </w:rPr>
        <w:t xml:space="preserve">(2) 起用を予定している外部専門家</w:t>
      </w:r>
    </w:p>
    <w:tbl>
      <w:tblPr>
        <w:tblW w:type="dxa" w:w="9200"/>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2600"/>
        <w:gridCol w:w="2200"/>
        <w:gridCol w:w="2200"/>
      </w:tblGrid>
      <w:tr>
        <w:trPr>
          <w:cantSplit/>
        </w:trPr>
        <w:tc>
          <w:tcPr>
            <w:tcW w:type="dxa" w:w="22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区分</w:t>
            </w:r>
          </w:p>
        </w:tc>
        <w:tc>
          <w:tcPr>
            <w:tcW w:type="dxa" w:w="26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事務所名</w:t>
            </w:r>
          </w:p>
        </w:tc>
        <w:tc>
          <w:tcPr>
            <w:tcW w:type="dxa" w:w="22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担当者</w:t>
            </w:r>
          </w:p>
        </w:tc>
        <w:tc>
          <w:tcPr>
            <w:tcW w:type="dxa" w:w="22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連絡先</w:t>
            </w:r>
          </w:p>
        </w:tc>
      </w:tr>
      <w:tr>
        <w:trPr>
          <w:cantSplit/>
        </w:trPr>
        <w:tc>
          <w:tcPr>
            <w:tcW w:type="dxa" w:w="2200"/>
            <w:tcMar>
              <w:top w:type="dxa" w:w="70"/>
              <w:left w:type="dxa" w:w="110"/>
              <w:bottom w:type="dxa" w:w="70"/>
              <w:right w:type="dxa" w:w="110"/>
            </w:tcMar>
          </w:tcPr>
          <w:p>
            <w:pPr>
              <w:spacing w:after="0" w:line="280"/>
              <w:jc w:val="left"/>
            </w:pPr>
            <w:r>
              <w:rPr>
                <w:rFonts w:ascii="Century" w:eastAsia="ＭＳ 明朝" w:hAnsi="Century"/>
                <w:sz w:val="19"/>
                <w:szCs w:val="19"/>
              </w:rPr>
              <w:t xml:space="preserve">財務・税務DD</w:t>
            </w:r>
          </w:p>
        </w:tc>
        <w:tc>
          <w:tcPr>
            <w:tcW w:type="dxa" w:w="2600"/>
            <w:tcMar>
              <w:top w:type="dxa" w:w="70"/>
              <w:left w:type="dxa" w:w="110"/>
              <w:bottom w:type="dxa" w:w="70"/>
              <w:right w:type="dxa" w:w="110"/>
            </w:tcMar>
          </w:tcPr>
          <w:p>
            <w:pPr>
              <w:spacing w:after="0" w:line="280"/>
              <w:jc w:val="left"/>
            </w:pPr>
            <w:r>
              <w:rPr>
                <w:rFonts w:ascii="Century" w:eastAsia="ＭＳ 明朝" w:hAnsi="Century"/>
                <w:color w:val="595959"/>
                <w:sz w:val="19"/>
                <w:szCs w:val="19"/>
              </w:rPr>
              <w:t xml:space="preserve">【要ご記入】</w:t>
            </w:r>
          </w:p>
        </w:tc>
        <w:tc>
          <w:tcPr>
            <w:tcW w:type="dxa" w:w="2200"/>
            <w:tcMar>
              <w:top w:type="dxa" w:w="70"/>
              <w:left w:type="dxa" w:w="110"/>
              <w:bottom w:type="dxa" w:w="70"/>
              <w:right w:type="dxa" w:w="110"/>
            </w:tcMar>
          </w:tcPr>
          <w:p>
            <w:pPr>
              <w:spacing w:after="0" w:line="280"/>
              <w:jc w:val="left"/>
            </w:pPr>
            <w:r>
              <w:rPr>
                <w:rFonts w:ascii="Century" w:eastAsia="ＭＳ 明朝" w:hAnsi="Century"/>
                <w:color w:val="595959"/>
                <w:sz w:val="19"/>
                <w:szCs w:val="19"/>
              </w:rPr>
              <w:t xml:space="preserve">【要ご記入】</w:t>
            </w:r>
          </w:p>
        </w:tc>
        <w:tc>
          <w:tcPr>
            <w:tcW w:type="dxa" w:w="2200"/>
            <w:tcMar>
              <w:top w:type="dxa" w:w="70"/>
              <w:left w:type="dxa" w:w="110"/>
              <w:bottom w:type="dxa" w:w="70"/>
              <w:right w:type="dxa" w:w="110"/>
            </w:tcMar>
          </w:tcPr>
          <w:p>
            <w:pPr>
              <w:spacing w:after="0" w:line="280"/>
              <w:jc w:val="left"/>
            </w:pPr>
            <w:r>
              <w:rPr>
                <w:rFonts w:ascii="Century" w:eastAsia="ＭＳ 明朝" w:hAnsi="Century"/>
                <w:color w:val="595959"/>
                <w:sz w:val="19"/>
                <w:szCs w:val="19"/>
              </w:rPr>
              <w:t xml:space="preserve">【要ご記入】</w:t>
            </w:r>
          </w:p>
        </w:tc>
      </w:tr>
      <w:tr>
        <w:trPr>
          <w:cantSplit/>
        </w:trPr>
        <w:tc>
          <w:tcPr>
            <w:tcW w:type="dxa" w:w="2200"/>
            <w:tcMar>
              <w:top w:type="dxa" w:w="70"/>
              <w:left w:type="dxa" w:w="110"/>
              <w:bottom w:type="dxa" w:w="70"/>
              <w:right w:type="dxa" w:w="110"/>
            </w:tcMar>
          </w:tcPr>
          <w:p>
            <w:pPr>
              <w:spacing w:after="0" w:line="280"/>
              <w:jc w:val="left"/>
            </w:pPr>
            <w:r>
              <w:rPr>
                <w:rFonts w:ascii="Century" w:eastAsia="ＭＳ 明朝" w:hAnsi="Century"/>
                <w:sz w:val="19"/>
                <w:szCs w:val="19"/>
              </w:rPr>
              <w:t xml:space="preserve">法務DD</w:t>
            </w:r>
          </w:p>
        </w:tc>
        <w:tc>
          <w:tcPr>
            <w:tcW w:type="dxa" w:w="2600"/>
            <w:tcMar>
              <w:top w:type="dxa" w:w="70"/>
              <w:left w:type="dxa" w:w="110"/>
              <w:bottom w:type="dxa" w:w="70"/>
              <w:right w:type="dxa" w:w="110"/>
            </w:tcMar>
          </w:tcPr>
          <w:p>
            <w:pPr>
              <w:spacing w:after="0" w:line="280"/>
              <w:jc w:val="left"/>
            </w:pPr>
            <w:r>
              <w:rPr>
                <w:rFonts w:ascii="Century" w:eastAsia="ＭＳ 明朝" w:hAnsi="Century"/>
                <w:color w:val="595959"/>
                <w:sz w:val="19"/>
                <w:szCs w:val="19"/>
              </w:rPr>
              <w:t xml:space="preserve">【要ご記入】</w:t>
            </w:r>
          </w:p>
        </w:tc>
        <w:tc>
          <w:tcPr>
            <w:tcW w:type="dxa" w:w="2200"/>
            <w:tcMar>
              <w:top w:type="dxa" w:w="70"/>
              <w:left w:type="dxa" w:w="110"/>
              <w:bottom w:type="dxa" w:w="70"/>
              <w:right w:type="dxa" w:w="110"/>
            </w:tcMar>
          </w:tcPr>
          <w:p>
            <w:pPr>
              <w:spacing w:after="0" w:line="280"/>
              <w:jc w:val="left"/>
            </w:pPr>
            <w:r>
              <w:rPr>
                <w:rFonts w:ascii="Century" w:eastAsia="ＭＳ 明朝" w:hAnsi="Century"/>
                <w:color w:val="595959"/>
                <w:sz w:val="19"/>
                <w:szCs w:val="19"/>
              </w:rPr>
              <w:t xml:space="preserve">【要ご記入】</w:t>
            </w:r>
          </w:p>
        </w:tc>
        <w:tc>
          <w:tcPr>
            <w:tcW w:type="dxa" w:w="2200"/>
            <w:tcMar>
              <w:top w:type="dxa" w:w="70"/>
              <w:left w:type="dxa" w:w="110"/>
              <w:bottom w:type="dxa" w:w="70"/>
              <w:right w:type="dxa" w:w="110"/>
            </w:tcMar>
          </w:tcPr>
          <w:p>
            <w:pPr>
              <w:spacing w:after="0" w:line="280"/>
              <w:jc w:val="left"/>
            </w:pPr>
            <w:r>
              <w:rPr>
                <w:rFonts w:ascii="Century" w:eastAsia="ＭＳ 明朝" w:hAnsi="Century"/>
                <w:color w:val="595959"/>
                <w:sz w:val="19"/>
                <w:szCs w:val="19"/>
              </w:rPr>
              <w:t xml:space="preserve">【要ご記入】</w:t>
            </w:r>
          </w:p>
        </w:tc>
      </w:tr>
    </w:tbl>
    <w:p>
      <w:pPr>
        <w:spacing w:after="80"/>
      </w:pPr>
    </w:p>
    <w:p>
      <w:pPr>
        <w:spacing w:after="120" w:before="0" w:line="300"/>
      </w:pPr>
      <w:r>
        <w:rPr>
          <w:rFonts w:ascii="Century" w:eastAsia="ＭＳ 明朝" w:hAnsi="Century"/>
          <w:color w:val="595959"/>
          <w:sz w:val="19"/>
          <w:szCs w:val="19"/>
        </w:rPr>
        <w:t xml:space="preserve">※　外部専門家につきましては、貴社アドバイザーと独立の事務所を選定しております。確定次第、速やかにご連絡申し上げます。</w:t>
      </w:r>
    </w:p>
    <w:p>
      <w:pPr>
        <w:pBdr>
          <w:bottom w:val="single" w:color="333333" w:sz="6" w:space="4"/>
        </w:pBdr>
        <w:spacing w:after="160" w:before="320" w:line="300"/>
      </w:pPr>
      <w:r>
        <w:rPr>
          <w:rFonts w:ascii="Arial" w:eastAsia="ＭＳ ゴシック" w:hAnsi="Arial"/>
          <w:b/>
          <w:bCs/>
          <w:sz w:val="22"/>
          <w:szCs w:val="22"/>
        </w:rPr>
        <w:t xml:space="preserve">13．その他ご提案またはご要望事項</w:t>
      </w:r>
    </w:p>
    <w:p>
      <w:pPr>
        <w:spacing w:after="100" w:before="200" w:line="300"/>
      </w:pPr>
      <w:r>
        <w:rPr>
          <w:rFonts w:ascii="Arial" w:eastAsia="ＭＳ ゴシック" w:hAnsi="Arial"/>
          <w:b/>
          <w:bCs/>
          <w:sz w:val="21"/>
          <w:szCs w:val="21"/>
        </w:rPr>
        <w:t xml:space="preserve">(1) 当社の実績 ― 株式会社アピシウスの承継</w:t>
      </w:r>
    </w:p>
    <w:p>
      <w:pPr>
        <w:spacing w:after="120" w:before="0" w:line="300"/>
      </w:pPr>
      <w:r>
        <w:rPr>
          <w:rFonts w:ascii="Century" w:eastAsia="ＭＳ 明朝" w:hAnsi="Century"/>
          <w:sz w:val="21"/>
          <w:szCs w:val="21"/>
        </w:rPr>
        <w:t xml:space="preserve">当社は、2024年6月に、東京・銀座で創業40年を超えるグランメゾンを運営する株式会社アピシウスを取得いたしました。同社は39年間にわたり赤字が続き、40年目にようやく黒字化したという状況にございました。</w:t>
      </w:r>
    </w:p>
    <w:p>
      <w:pPr>
        <w:spacing w:after="100" w:before="0" w:line="300"/>
      </w:pPr>
      <w:r>
        <w:rPr>
          <w:rFonts w:ascii="Century" w:eastAsia="ＭＳ 明朝" w:hAnsi="Century"/>
          <w:sz w:val="21"/>
          <w:szCs w:val="21"/>
        </w:rPr>
        <w:t xml:space="preserve">取得から2年が経過した現在、同社の状況は次のとおりです。</w:t>
      </w:r>
    </w:p>
    <w:tbl>
      <w:tblPr>
        <w:tblW w:type="dxa" w:w="9200"/>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6600"/>
      </w:tblGrid>
      <w:tr>
        <w:trPr>
          <w:cantSplit/>
        </w:trPr>
        <w:tc>
          <w:tcPr>
            <w:tcW w:type="dxa" w:w="2600"/>
            <w:shd w:fill="F2F2F2" w:color="auto" w:val="clear"/>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売上高</w:t>
            </w:r>
          </w:p>
        </w:tc>
        <w:tc>
          <w:tcPr>
            <w:tcW w:type="dxa" w:w="6600"/>
            <w:tcMar>
              <w:top w:type="dxa" w:w="70"/>
              <w:left w:type="dxa" w:w="110"/>
              <w:bottom w:type="dxa" w:w="70"/>
              <w:right w:type="dxa" w:w="110"/>
            </w:tcMar>
          </w:tcPr>
          <w:p>
            <w:pPr>
              <w:spacing w:after="0" w:line="280"/>
              <w:jc w:val="left"/>
            </w:pPr>
            <w:r>
              <w:rPr>
                <w:rFonts w:ascii="Century" w:eastAsia="ＭＳ 明朝" w:hAnsi="Century"/>
                <w:sz w:val="20"/>
                <w:szCs w:val="20"/>
              </w:rPr>
              <w:t xml:space="preserve">取得前比 30%増</w:t>
            </w:r>
          </w:p>
        </w:tc>
      </w:tr>
      <w:tr>
        <w:trPr>
          <w:cantSplit/>
        </w:trPr>
        <w:tc>
          <w:tcPr>
            <w:tcW w:type="dxa" w:w="2600"/>
            <w:shd w:fill="F2F2F2" w:color="auto" w:val="clear"/>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営業利益</w:t>
            </w:r>
          </w:p>
        </w:tc>
        <w:tc>
          <w:tcPr>
            <w:tcW w:type="dxa" w:w="6600"/>
            <w:tcMar>
              <w:top w:type="dxa" w:w="70"/>
              <w:left w:type="dxa" w:w="110"/>
              <w:bottom w:type="dxa" w:w="70"/>
              <w:right w:type="dxa" w:w="110"/>
            </w:tcMar>
          </w:tcPr>
          <w:p>
            <w:pPr>
              <w:spacing w:after="0" w:line="280"/>
              <w:jc w:val="left"/>
            </w:pPr>
            <w:r>
              <w:rPr>
                <w:rFonts w:ascii="Century" w:eastAsia="ＭＳ 明朝" w:hAnsi="Century"/>
                <w:sz w:val="20"/>
                <w:szCs w:val="20"/>
              </w:rPr>
              <w:t xml:space="preserve">取得前比 250%超の増加</w:t>
            </w:r>
          </w:p>
        </w:tc>
      </w:tr>
      <w:tr>
        <w:trPr>
          <w:cantSplit/>
        </w:trPr>
        <w:tc>
          <w:tcPr>
            <w:tcW w:type="dxa" w:w="2600"/>
            <w:shd w:fill="F2F2F2" w:color="auto" w:val="clear"/>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幹部メンバー</w:t>
            </w:r>
          </w:p>
        </w:tc>
        <w:tc>
          <w:tcPr>
            <w:tcW w:type="dxa" w:w="6600"/>
            <w:tcMar>
              <w:top w:type="dxa" w:w="70"/>
              <w:left w:type="dxa" w:w="110"/>
              <w:bottom w:type="dxa" w:w="70"/>
              <w:right w:type="dxa" w:w="110"/>
            </w:tcMar>
          </w:tcPr>
          <w:p>
            <w:pPr>
              <w:spacing w:after="0" w:line="280"/>
              <w:jc w:val="left"/>
            </w:pPr>
            <w:r>
              <w:rPr>
                <w:rFonts w:ascii="Century" w:eastAsia="ＭＳ 明朝" w:hAnsi="Century"/>
                <w:sz w:val="20"/>
                <w:szCs w:val="20"/>
              </w:rPr>
              <w:t xml:space="preserve">全員が継続して勤務。経営陣の入替えは行っておりません。</w:t>
            </w:r>
          </w:p>
        </w:tc>
      </w:tr>
      <w:tr>
        <w:trPr>
          <w:cantSplit/>
        </w:trPr>
        <w:tc>
          <w:tcPr>
            <w:tcW w:type="dxa" w:w="2600"/>
            <w:shd w:fill="F2F2F2" w:color="auto" w:val="clear"/>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労働環境</w:t>
            </w:r>
          </w:p>
        </w:tc>
        <w:tc>
          <w:tcPr>
            <w:tcW w:type="dxa" w:w="6600"/>
            <w:tcMar>
              <w:top w:type="dxa" w:w="70"/>
              <w:left w:type="dxa" w:w="110"/>
              <w:bottom w:type="dxa" w:w="70"/>
              <w:right w:type="dxa" w:w="110"/>
            </w:tcMar>
          </w:tcPr>
          <w:p>
            <w:pPr>
              <w:spacing w:after="0" w:line="280"/>
              <w:jc w:val="left"/>
            </w:pPr>
            <w:r>
              <w:rPr>
                <w:rFonts w:ascii="Century" w:eastAsia="ＭＳ 明朝" w:hAnsi="Century"/>
                <w:sz w:val="20"/>
                <w:szCs w:val="20"/>
              </w:rPr>
              <w:t xml:space="preserve">サービス残業を撤廃。12月の繁忙期を除き、残業そのものが発生しない体制を構築いたしました。</w:t>
            </w:r>
          </w:p>
        </w:tc>
      </w:tr>
      <w:tr>
        <w:trPr>
          <w:cantSplit/>
        </w:trPr>
        <w:tc>
          <w:tcPr>
            <w:tcW w:type="dxa" w:w="2600"/>
            <w:shd w:fill="F2F2F2" w:color="auto" w:val="clear"/>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店舗</w:t>
            </w:r>
          </w:p>
        </w:tc>
        <w:tc>
          <w:tcPr>
            <w:tcW w:type="dxa" w:w="6600"/>
            <w:tcMar>
              <w:top w:type="dxa" w:w="70"/>
              <w:left w:type="dxa" w:w="110"/>
              <w:bottom w:type="dxa" w:w="70"/>
              <w:right w:type="dxa" w:w="110"/>
            </w:tcMar>
          </w:tcPr>
          <w:p>
            <w:pPr>
              <w:spacing w:after="0" w:line="280"/>
              <w:jc w:val="left"/>
            </w:pPr>
            <w:r>
              <w:rPr>
                <w:rFonts w:ascii="Century" w:eastAsia="ＭＳ 明朝" w:hAnsi="Century"/>
                <w:sz w:val="20"/>
                <w:szCs w:val="20"/>
              </w:rPr>
              <w:t xml:space="preserve">店内の一部改装・修繕を実施。業態および客層は変更しておりません。</w:t>
            </w:r>
          </w:p>
        </w:tc>
      </w:tr>
    </w:tbl>
    <w:p>
      <w:pPr>
        <w:spacing w:after="120"/>
      </w:pPr>
    </w:p>
    <w:p>
      <w:pPr>
        <w:spacing w:after="120" w:before="0" w:line="300"/>
      </w:pPr>
      <w:r>
        <w:rPr>
          <w:rFonts w:ascii="Century" w:eastAsia="ＭＳ 明朝" w:hAnsi="Century"/>
          <w:sz w:val="21"/>
          <w:szCs w:val="21"/>
        </w:rPr>
        <w:t xml:space="preserve">当社がこの実績を通じて申し上げたいのは、収益改善の手法ではございません。「グランメゾンは、引き継いでも壊れない」ということです。</w:t>
      </w:r>
    </w:p>
    <w:p>
      <w:pPr>
        <w:spacing w:after="120" w:before="0" w:line="300"/>
      </w:pPr>
      <w:r>
        <w:rPr>
          <w:rFonts w:ascii="Century" w:eastAsia="ＭＳ 明朝" w:hAnsi="Century"/>
          <w:sz w:val="21"/>
          <w:szCs w:val="21"/>
        </w:rPr>
        <w:t xml:space="preserve">レストランの事業承継において、譲渡された側の従業員の方々が抱かれる最大のご不安は、待遇の切下げと人員の入替えであると存じます。当社は、アピシウスにおいて、そのいずれも行わないどころか労働環境をむしろ改善したうえで、業績を大きく伸ばすことができました。対象会社の21名の皆様に対して、当社はこの実績をもってご説明申し上げることができます。</w:t>
      </w:r>
    </w:p>
    <w:p>
      <w:pPr>
        <w:spacing w:after="160" w:before="0" w:line="300"/>
      </w:pPr>
      <w:r>
        <w:rPr>
          <w:rFonts w:ascii="Century" w:eastAsia="ＭＳ 明朝" w:hAnsi="Century"/>
          <w:sz w:val="21"/>
          <w:szCs w:val="21"/>
        </w:rPr>
        <w:t xml:space="preserve">なお、対象会社は既に高い収益性を実現されており、当社が申し上げているのは再建ではございません。必要なのは承継であり、当社は、グランメゾンを実際に承継した経験を有する買主として本件に臨んでおります。</w:t>
      </w:r>
    </w:p>
    <w:p>
      <w:pPr>
        <w:spacing w:after="100" w:before="200" w:line="300"/>
      </w:pPr>
      <w:r>
        <w:rPr>
          <w:rFonts w:ascii="Arial" w:eastAsia="ＭＳ ゴシック" w:hAnsi="Arial"/>
          <w:b/>
          <w:bCs/>
          <w:sz w:val="21"/>
          <w:szCs w:val="21"/>
        </w:rPr>
        <w:t xml:space="preserve">(2) 労務に関するご説明</w:t>
      </w:r>
    </w:p>
    <w:p>
      <w:pPr>
        <w:spacing w:after="120" w:before="0" w:line="300"/>
      </w:pPr>
      <w:r>
        <w:rPr>
          <w:rFonts w:ascii="Century" w:eastAsia="ＭＳ 明朝" w:hAnsi="Century"/>
          <w:sz w:val="21"/>
          <w:szCs w:val="21"/>
        </w:rPr>
        <w:t xml:space="preserve">ご共有いただいた質疑応答において、36協定の運用面で確認を要する事項がある旨、および出退勤の記録が手書きで管理されている旨のご説明を拝見いたしました。</w:t>
      </w:r>
    </w:p>
    <w:p>
      <w:pPr>
        <w:spacing w:after="120" w:before="0" w:line="300"/>
      </w:pPr>
      <w:r>
        <w:rPr>
          <w:rFonts w:ascii="Century" w:eastAsia="ＭＳ 明朝" w:hAnsi="Century"/>
          <w:sz w:val="21"/>
          <w:szCs w:val="21"/>
        </w:rPr>
        <w:t xml:space="preserve">当社は、株式会社アピシウスの承継に際して、常態化していたサービス残業を撤廃し、勤怠管理を整備した実績を有しております。飲食業における労務管理の実務を、当社は現に経験しております。</w:t>
      </w:r>
    </w:p>
    <w:p>
      <w:pPr>
        <w:spacing w:after="100" w:before="0" w:line="300"/>
      </w:pPr>
      <w:r>
        <w:rPr>
          <w:rFonts w:ascii="Century" w:eastAsia="ＭＳ 明朝" w:hAnsi="Century"/>
          <w:sz w:val="21"/>
          <w:szCs w:val="21"/>
        </w:rPr>
        <w:t xml:space="preserve">そのうえで、ご開示いただいた賃金台帳（2025年9月〜2026年8月・全社計）および正社員賃金規程を拝見し、次のとおり理解しております。</w:t>
      </w:r>
    </w:p>
    <w:p>
      <w:pPr>
        <w:spacing w:after="80" w:line="300"/>
        <w:ind w:left="440" w:hanging="220"/>
      </w:pPr>
      <w:r>
        <w:rPr>
          <w:rFonts w:ascii="Century" w:eastAsia="ＭＳ 明朝" w:hAnsi="Century"/>
          <w:sz w:val="21"/>
          <w:szCs w:val="21"/>
        </w:rPr>
        <w:t xml:space="preserve">・固定残業手当の年額は1,234万円である一方、同期間の時間外労働は全社で417時間です。1人あたりに引き直すと月1.7時間であり、固定残業手当が実際の時間外労働を大きく上回っています。</w:t>
      </w:r>
    </w:p>
    <w:p>
      <w:pPr>
        <w:spacing w:after="80" w:line="300"/>
        <w:ind w:left="440" w:hanging="220"/>
      </w:pPr>
      <w:r>
        <w:rPr>
          <w:rFonts w:ascii="Century" w:eastAsia="ＭＳ 明朝" w:hAnsi="Century"/>
          <w:sz w:val="21"/>
          <w:szCs w:val="21"/>
        </w:rPr>
        <w:t xml:space="preserve">・1日あたりの就労時間は7.97時間、1人あたりの年間出勤日数は194日です。高価格帯のフランス料理店として、極めて良好な水準です。</w:t>
      </w:r>
    </w:p>
    <w:p>
      <w:pPr>
        <w:spacing w:after="80" w:line="300"/>
        <w:ind w:left="440" w:hanging="220"/>
      </w:pPr>
      <w:r>
        <w:rPr>
          <w:rFonts w:ascii="Century" w:eastAsia="ＭＳ 明朝" w:hAnsi="Century"/>
          <w:sz w:val="21"/>
          <w:szCs w:val="21"/>
        </w:rPr>
        <w:t xml:space="preserve">・正社員賃金規程第9条には、固定残業時間を超過した場合に差額を支払う旨（第4項）および固定残業に含まれる時間外は45時間以内とする旨（第5項）が明記されており、固定残業手当の設計は適正であると理解しております。</w:t>
      </w:r>
    </w:p>
    <w:p>
      <w:pPr>
        <w:spacing w:after="60"/>
      </w:pPr>
    </w:p>
    <w:p>
      <w:pPr>
        <w:spacing w:after="120" w:before="0" w:line="300"/>
      </w:pPr>
      <w:r>
        <w:rPr>
          <w:rFonts w:ascii="Century" w:eastAsia="ＭＳ 明朝" w:hAnsi="Century"/>
          <w:sz w:val="21"/>
          <w:szCs w:val="21"/>
        </w:rPr>
        <w:t xml:space="preserve">仮に、個別の労働契約書における固定残業時間数の記載が不十分であるなどの理由により、固定残業手当の全部が無効と判断された場合であっても、既払額を充当しない前提で試算した未払残業代は年80万円程度、3年遡及で240万円程度にとどまります。譲受価額に対する影響は0.1%未満です。</w:t>
      </w:r>
    </w:p>
    <w:p>
      <w:pPr>
        <w:spacing w:after="120" w:before="0" w:line="300"/>
      </w:pPr>
      <w:r>
        <w:rPr>
          <w:rFonts w:ascii="Century" w:eastAsia="ＭＳ 明朝" w:hAnsi="Century"/>
          <w:sz w:val="21"/>
          <w:szCs w:val="21"/>
        </w:rPr>
        <w:t xml:space="preserve">つきましては、DDにおいて確認のうえ、是正を要する事項が判明した場合には、当社の負担と責任において整備いたします。当該事項をもって譲受価額の減額を求めることは想定しておりません。従業員の皆様の待遇を切り下げる形での是正も行いません。</w:t>
      </w:r>
    </w:p>
    <w:p>
      <w:pPr>
        <w:spacing w:after="160" w:before="0" w:line="300"/>
      </w:pPr>
      <w:r>
        <w:rPr>
          <w:rFonts w:ascii="Century" w:eastAsia="ＭＳ 明朝" w:hAnsi="Century"/>
          <w:sz w:val="21"/>
          <w:szCs w:val="21"/>
        </w:rPr>
        <w:t xml:space="preserve">36協定の運用および勤怠記録の方法につきましては、労働時間の適正な把握という観点から整備の余地があるものと拝察いたしますが、これは対象会社の価値を損なう事象ではなく、承継後に当社が担うべき実務であると考えております。</w:t>
      </w:r>
    </w:p>
    <w:p>
      <w:pPr>
        <w:spacing w:after="100" w:before="200" w:line="300"/>
      </w:pPr>
      <w:r>
        <w:rPr>
          <w:rFonts w:ascii="Arial" w:eastAsia="ＭＳ ゴシック" w:hAnsi="Arial"/>
          <w:b/>
          <w:bCs/>
          <w:sz w:val="21"/>
          <w:szCs w:val="21"/>
        </w:rPr>
        <w:t xml:space="preserve">(3) 当社をご選定いただきたい理由</w:t>
      </w:r>
    </w:p>
    <w:p>
      <w:pPr>
        <w:spacing w:after="120" w:before="0" w:line="300"/>
      </w:pPr>
      <w:r>
        <w:rPr>
          <w:rFonts w:ascii="Century" w:eastAsia="ＭＳ 明朝" w:hAnsi="Century"/>
          <w:sz w:val="21"/>
          <w:szCs w:val="21"/>
        </w:rPr>
        <w:t xml:space="preserve">本件における最大の論点は、価格ではなく後継であると当社は考えております。面談において、3〜4年後に後任となる方が現時点ではいらっしゃらないこと、リーダーには料理の技術とは異なる能力が必要であること、選択肢を多く持ったうえで最も能力の高い方を選びたいとお考えであることを伺いました。</w:t>
      </w:r>
    </w:p>
    <w:p>
      <w:pPr>
        <w:spacing w:after="120" w:before="0" w:line="300"/>
      </w:pPr>
      <w:r>
        <w:rPr>
          <w:rFonts w:ascii="Century" w:eastAsia="ＭＳ 明朝" w:hAnsi="Century"/>
          <w:sz w:val="21"/>
          <w:szCs w:val="21"/>
        </w:rPr>
        <w:t xml:space="preserve">これは、価格の多寡によって解決される性質の課題ではございません。必要なのは、3年という限られた期間のなかで、候補者を探し、打診し、迎え入れる実務を担える買主です。当社は、グランメゾンを現に運営し、料理人の方々のネットワークを実務として有しております。面談の場で申し上げたとおり、この探索を岸田様とご一緒に行わせていただきたく存じます。</w:t>
      </w:r>
    </w:p>
    <w:p>
      <w:pPr>
        <w:spacing w:after="120" w:before="0" w:line="300"/>
      </w:pPr>
      <w:r>
        <w:rPr>
          <w:rFonts w:ascii="Century" w:eastAsia="ＭＳ 明朝" w:hAnsi="Century"/>
          <w:sz w:val="21"/>
          <w:szCs w:val="21"/>
        </w:rPr>
        <w:t xml:space="preserve">あわせて、当社はワインを本業とする事業者として、対象会社が19年をかけて築いてこられた仕入先との関係の価値を正しく理解しております。これを損なうことなく維持し、必要に応じて補完する立場にあります。</w:t>
      </w:r>
    </w:p>
    <w:p>
      <w:pPr>
        <w:spacing w:after="160" w:before="0" w:line="300"/>
      </w:pPr>
      <w:r>
        <w:rPr>
          <w:rFonts w:ascii="Century" w:eastAsia="ＭＳ 明朝" w:hAnsi="Century"/>
          <w:sz w:val="21"/>
          <w:szCs w:val="21"/>
        </w:rPr>
        <w:t xml:space="preserve">当社は、対象会社を短期的な収益機会として取得するものではありません。三つ星を維持し、岸田様が築かれたものを次の世代へ引き継ぐことを、本件の目的そのものとして位置づけております。</w:t>
      </w:r>
    </w:p>
    <w:p>
      <w:pPr>
        <w:spacing w:after="100" w:before="200" w:line="300"/>
      </w:pPr>
      <w:r>
        <w:rPr>
          <w:rFonts w:ascii="Arial" w:eastAsia="ＭＳ ゴシック" w:hAnsi="Arial"/>
          <w:b/>
          <w:bCs/>
          <w:sz w:val="21"/>
          <w:szCs w:val="21"/>
        </w:rPr>
        <w:t xml:space="preserve">(4) ご要望事項</w:t>
      </w:r>
    </w:p>
    <w:p>
      <w:pPr>
        <w:spacing w:after="80" w:line="300"/>
        <w:ind w:left="440" w:hanging="280"/>
      </w:pPr>
      <w:r>
        <w:rPr>
          <w:rFonts w:ascii="Century" w:eastAsia="ＭＳ 明朝" w:hAnsi="Century"/>
          <w:sz w:val="21"/>
          <w:szCs w:val="21"/>
        </w:rPr>
        <w:t xml:space="preserve">① 本ご案内Ⅳ-5に関し、本書8項に記載のとおり、資金調達に係る協議についての書面によるご承諾を賜りたくお願い申し上げます。</w:t>
      </w:r>
    </w:p>
    <w:p>
      <w:pPr>
        <w:spacing w:after="80" w:line="300"/>
        <w:ind w:left="440" w:hanging="280"/>
      </w:pPr>
      <w:r>
        <w:rPr>
          <w:rFonts w:ascii="Century" w:eastAsia="ＭＳ 明朝" w:hAnsi="Century"/>
          <w:sz w:val="21"/>
          <w:szCs w:val="21"/>
        </w:rPr>
        <w:t xml:space="preserve">② DDの過程において、主要仕入先との取引条件、店舗賃貸借契約、および誘致案件に関する資料をご開示いただきたく存じます。</w:t>
      </w:r>
    </w:p>
    <w:p>
      <w:pPr>
        <w:spacing w:after="80" w:line="300"/>
        <w:ind w:left="440" w:hanging="280"/>
      </w:pPr>
      <w:r>
        <w:rPr>
          <w:rFonts w:ascii="Century" w:eastAsia="ＭＳ 明朝" w:hAnsi="Century"/>
          <w:sz w:val="21"/>
          <w:szCs w:val="21"/>
        </w:rPr>
        <w:t xml:space="preserve">③ 本書3項(4)に記載の事前協議の枠組みにつき、ご了解を賜りたくお願い申し上げます。</w:t>
      </w:r>
    </w:p>
    <w:p>
      <w:pPr>
        <w:spacing w:after="80" w:line="300"/>
        <w:ind w:left="440" w:hanging="280"/>
      </w:pPr>
      <w:r>
        <w:rPr>
          <w:rFonts w:ascii="Century" w:eastAsia="ＭＳ 明朝" w:hAnsi="Century"/>
          <w:sz w:val="21"/>
          <w:szCs w:val="21"/>
        </w:rPr>
        <w:t xml:space="preserve">④ 当社がDDに進む場合には、一定期間の独占交渉権を賜りたくお願い申し上げます。当社の検討体制および費用負担に鑑み、ご高配を賜れますと幸いです。</w:t>
      </w:r>
    </w:p>
    <w:p>
      <w:pPr>
        <w:spacing w:after="100" w:before="200" w:line="300"/>
      </w:pPr>
      <w:r>
        <w:rPr>
          <w:rFonts w:ascii="Arial" w:eastAsia="ＭＳ ゴシック" w:hAnsi="Arial"/>
          <w:b/>
          <w:bCs/>
          <w:sz w:val="21"/>
          <w:szCs w:val="21"/>
        </w:rPr>
        <w:t xml:space="preserve">(5) 本書の位置づけ</w:t>
      </w:r>
    </w:p>
    <w:p>
      <w:pPr>
        <w:spacing w:after="160" w:before="0" w:line="300"/>
      </w:pPr>
      <w:r>
        <w:rPr>
          <w:rFonts w:ascii="Century" w:eastAsia="ＭＳ 明朝" w:hAnsi="Century"/>
          <w:sz w:val="21"/>
          <w:szCs w:val="21"/>
        </w:rPr>
        <w:t xml:space="preserve">本書は、本ご案内Ⅰに定めるとおり法的拘束力を有しません。本書に記載した内容は、本書提出時点において当社が入手可能な情報および2026年9月22日の面談において賜ったご説明に基づく現時点の意向であり、DDの結果および当社の社内手続を経て変更される可能性がございます。もっとも、当社は合理的な理由なく本書の内容を一方的に撤回することはいたしません。</w:t>
      </w:r>
    </w:p>
    <w:p>
      <w:pPr>
        <w:spacing w:after="200" w:before="0" w:line="300"/>
      </w:pPr>
      <w:r>
        <w:rPr>
          <w:rFonts w:ascii="Century" w:eastAsia="ＭＳ 明朝" w:hAnsi="Century"/>
          <w:sz w:val="21"/>
          <w:szCs w:val="21"/>
        </w:rPr>
        <w:t xml:space="preserve">末筆ながら、岸田様におかれましては、面談の場で事業の詳細から人材育成のお考えに至るまで、率直にご説明を賜りましたことに、改めて御礼申し上げます。当社は、対象会社が次の20年も日本の頂点にあり続けることを願い、本件に臨んでおります。何卒ご検討のほど、よろしくお願い申し上げます。</w:t>
      </w:r>
    </w:p>
    <w:p>
      <w:pPr>
        <w:keepNext/>
        <w:spacing w:after="60"/>
      </w:pPr>
    </w:p>
    <w:p>
      <w:pPr>
        <w:keepNext/>
        <w:spacing w:after="160" w:line="300"/>
        <w:jc w:val="right"/>
      </w:pPr>
      <w:r>
        <w:rPr>
          <w:rFonts w:ascii="Century" w:eastAsia="ＭＳ 明朝" w:hAnsi="Century"/>
          <w:sz w:val="21"/>
          <w:szCs w:val="21"/>
        </w:rPr>
        <w:t xml:space="preserve">以　上</w:t>
      </w:r>
    </w:p>
    <w:p>
      <w:pPr>
        <w:keepNext/>
        <w:spacing w:after="120" w:line="300"/>
      </w:pPr>
      <w:r>
        <w:rPr>
          <w:rFonts w:ascii="Century" w:eastAsia="ＭＳ 明朝" w:hAnsi="Century"/>
          <w:sz w:val="20"/>
          <w:szCs w:val="20"/>
        </w:rPr>
        <w:t xml:space="preserve">別紙1　会社案内（株式会社WineBank）</w:t>
      </w:r>
    </w:p>
    <w:p>
      <w:pPr>
        <w:keepNext/>
        <w:spacing w:after="120" w:line="300"/>
      </w:pPr>
      <w:r>
        <w:rPr>
          <w:rFonts w:ascii="Century" w:eastAsia="ＭＳ 明朝" w:hAnsi="Century"/>
          <w:sz w:val="20"/>
          <w:szCs w:val="20"/>
        </w:rPr>
        <w:t xml:space="preserve">別紙2　譲受価額の算定に関する分析資料</w:t>
      </w:r>
    </w:p>
    <w:p>
      <w:pPr>
        <w:keepNext w:val="false"/>
        <w:spacing w:after="120" w:line="300"/>
      </w:pPr>
      <w:r>
        <w:rPr>
          <w:rFonts w:ascii="Century" w:eastAsia="ＭＳ 明朝" w:hAnsi="Century"/>
          <w:sz w:val="20"/>
          <w:szCs w:val="20"/>
        </w:rPr>
        <w:t xml:space="preserve">別紙3　株式会社アピシウスの承継実績</w:t>
      </w:r>
    </w:p>
    <w:sectPr>
      <w:footerReference w:type="default" r:id="rId7"/>
      <w:pgSz w:w="11906" w:h="16838" w:orient="portrait"/>
      <w:pgMar w:top="1418" w:right="1276" w:bottom="1418" w:left="127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entury" w:eastAsia="ＭＳ 明朝" w:hAnsi="Century"/>
        <w:color w:val="595959"/>
        <w:sz w:val="18"/>
        <w:szCs w:val="18"/>
      </w:rPr>
      <w:t xml:space="preserve"/>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entury" w:eastAsia="ＭＳ 明朝" w:hAnsi="Century"/>
        <w:color w:val="00000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2026-09-25T06:32:43.678Z</dcterms:created>
  <dcterms:modified xsi:type="dcterms:W3CDTF">2026-09-25T06:32:43.678Z</dcterms:modified>
</cp:coreProperties>
</file>

<file path=docProps/custom.xml><?xml version="1.0" encoding="utf-8"?>
<Properties xmlns="http://schemas.openxmlformats.org/officeDocument/2006/custom-properties" xmlns:vt="http://schemas.openxmlformats.org/officeDocument/2006/docPropsVTypes"/>
</file>