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BIZ UDPゴシック" w:hAnsi="BIZ UDPゴシック" w:eastAsia="BIZ UDPゴシック"/>
          <w:b/>
          <w:sz w:val="20"/>
        </w:rPr>
        <w:t>別紙2</w:t>
      </w:r>
    </w:p>
    <w:p>
      <w:pPr>
        <w:spacing w:after="80" w:before="0"/>
      </w:pPr>
      <w:r>
        <w:rPr>
          <w:rFonts w:ascii="BIZ UDPゴシック" w:hAnsi="BIZ UDPゴシック" w:eastAsia="BIZ UDPゴシック"/>
          <w:b/>
          <w:sz w:val="28"/>
        </w:rPr>
        <w:t>貸借対照表及び損益計算書（抜粋）</w:t>
      </w:r>
    </w:p>
    <w:p>
      <w:pPr>
        <w:spacing w:after="20" w:before="0"/>
      </w:pPr>
      <w:r>
        <w:rPr>
          <w:rFonts w:ascii="BIZ UDPゴシック" w:hAnsi="BIZ UDPゴシック" w:eastAsia="BIZ UDPゴシック"/>
          <w:b w:val="0"/>
          <w:sz w:val="19"/>
        </w:rPr>
        <w:t>株式会社WineBank　第54期（自 2024年10月1日　至 2025年9月30日）　単体</w:t>
      </w:r>
    </w:p>
    <w:p>
      <w:pPr>
        <w:spacing w:after="40" w:before="0"/>
        <w:jc w:val="right"/>
      </w:pPr>
      <w:r>
        <w:rPr>
          <w:rFonts w:ascii="BIZ UDPゴシック" w:hAnsi="BIZ UDPゴシック" w:eastAsia="BIZ UDPゴシック"/>
          <w:b w:val="0"/>
          <w:sz w:val="17"/>
        </w:rPr>
        <w:t>（単位：千円）</w:t>
      </w:r>
    </w:p>
    <w:p>
      <w:pPr>
        <w:spacing w:after="60" w:before="80"/>
      </w:pPr>
      <w:r>
        <w:rPr>
          <w:rFonts w:ascii="BIZ UDPゴシック" w:hAnsi="BIZ UDPゴシック" w:eastAsia="BIZ UDPゴシック"/>
          <w:b/>
          <w:sz w:val="21"/>
        </w:rPr>
        <w:t>1．貸借対照表（2025年9月30日現在）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835"/>
        <w:gridCol w:w="1814"/>
      </w:tblGrid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資産の部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金額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負債及び純資産の部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金額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【流動資産】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611,624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【流動負債】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247,845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現金及び預金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24,390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買掛金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37,602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売掛金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66,464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短期借入金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162,441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商品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504,639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その他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47,802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その他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16,131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【固定負債】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423,769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【固定資産】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271,745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長期借入金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423,623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有形固定資産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98,991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役員借入金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146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無形固定資産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129,898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負債合計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671,614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投資その他の資産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42,856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【純資産】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211,756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814"/>
          </w:tcPr>
          <w:p/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資本金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10,000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814"/>
          </w:tcPr>
          <w:p/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資本剰余金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266,519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814"/>
          </w:tcPr>
          <w:p/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利益剰余金</w:t>
            </w:r>
          </w:p>
        </w:tc>
        <w:tc>
          <w:tcPr>
            <w:tcW w:type="dxa" w:w="1814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△64,763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1814"/>
          </w:tcPr>
          <w:p/>
        </w:tc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純資産合計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211,756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資産合計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883,370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負債・純資産合計</w:t>
            </w:r>
          </w:p>
        </w:tc>
        <w:tc>
          <w:tcPr>
            <w:tcW w:type="dxa" w:w="1814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883,370</w:t>
            </w:r>
          </w:p>
        </w:tc>
      </w:tr>
    </w:tbl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9"/>
        </w:rPr>
      </w:r>
    </w:p>
    <w:p>
      <w:pPr>
        <w:spacing w:after="60" w:before="120"/>
      </w:pPr>
      <w:r>
        <w:rPr>
          <w:rFonts w:ascii="BIZ UDPゴシック" w:hAnsi="BIZ UDPゴシック" w:eastAsia="BIZ UDPゴシック"/>
          <w:b/>
          <w:sz w:val="21"/>
        </w:rPr>
        <w:t>2．損益計算書（自 2024年10月1日　至 2025年9月30日）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68"/>
      </w:tblGrid>
      <w:tr>
        <w:tc>
          <w:tcPr>
            <w:tcW w:type="dxa" w:w="5102"/>
            <w:shd w:val="clear" w:color="auto" w:fill="F2F2F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科目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金額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売上高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752,865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売上原価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550,916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売上総利益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201,949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販売費及び一般管理費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199,438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営業利益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2,511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営業外収益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1,680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営業外費用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10,004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経常損失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△5,813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特別利益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1,840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特別損失（※2）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123,391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税引前当期純損失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△127,364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 xml:space="preserve">　法人税、住民税及び事業税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 w:val="0"/>
                <w:sz w:val="18"/>
              </w:rPr>
              <w:t>463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当期純損失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rFonts w:ascii="BIZ UDPゴシック" w:hAnsi="BIZ UDPゴシック" w:eastAsia="BIZ UDPゴシック"/>
                <w:b/>
                <w:sz w:val="18"/>
              </w:rPr>
              <w:t>△127,827</w:t>
            </w:r>
          </w:p>
        </w:tc>
      </w:tr>
    </w:tbl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9"/>
        </w:rPr>
      </w:r>
    </w:p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7"/>
        </w:rPr>
        <w:t>※1　第54期決算報告書から主要科目を抜粋し、千円未満を四捨五入して表示しております。このため、合計が内訳の和と一致しない場合がございます。</w:t>
      </w:r>
    </w:p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7"/>
        </w:rPr>
        <w:t>※2　特別損失123,391千円の内訳は、事業譲渡損59,842千円、固定資産除却損18,102千円、抱合せ株式消滅差損45,447千円であり、いずれも事業譲渡および合併に伴う一時的な損失です。</w:t>
      </w:r>
    </w:p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7"/>
        </w:rPr>
        <w:t>※3　（参考）営業利益に減価償却費および繰延資産償却を加えた金額は30,954千円です。</w:t>
      </w:r>
    </w:p>
    <w:p>
      <w:pPr>
        <w:spacing w:after="40" w:before="0"/>
      </w:pPr>
      <w:r>
        <w:rPr>
          <w:rFonts w:ascii="BIZ UDPゴシック" w:hAnsi="BIZ UDPゴシック" w:eastAsia="BIZ UDPゴシック"/>
          <w:b w:val="0"/>
          <w:sz w:val="17"/>
        </w:rPr>
        <w:t>※4　資本金および資本剰余金は、2025年9月30日時点の金額です。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BIZ UDPゴシック" w:hAnsi="BIZ UDPゴシック" w:eastAsia="BIZ UDPゴシック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