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rFonts w:ascii="Cambria" w:cs="Cambria" w:eastAsia="Cambria" w:hAnsi="Cambria"/>
          <w:b/>
          <w:bCs/>
          <w:color w:val="6E5730"/>
          <w:spacing w:val="60"/>
          <w:sz w:val="20"/>
          <w:szCs w:val="20"/>
        </w:rPr>
        <w:t xml:space="preserve">WINEBANK WINE FUND</w:t>
      </w:r>
    </w:p>
    <w:p>
      <w:pPr>
        <w:spacing w:after="60" w:before="0" w:line="300"/>
        <w:jc w:val="center"/>
      </w:pPr>
      <w:r>
        <w:rPr>
          <w:rFonts w:ascii="Yu Mincho" w:cs="Yu Mincho" w:eastAsia="Yu Mincho" w:hAnsi="Yu Mincho"/>
          <w:b/>
          <w:bCs/>
          <w:color w:val="000000"/>
          <w:sz w:val="26"/>
          <w:szCs w:val="26"/>
        </w:rPr>
        <w:t xml:space="preserve">ワインファンド（SPC）組成のご提案</w:t>
      </w:r>
    </w:p>
    <w:p>
      <w:pPr>
        <w:spacing w:after="200" w:before="0" w:line="300"/>
        <w:jc w:val="center"/>
      </w:pPr>
      <w:r>
        <w:rPr>
          <w:rFonts w:ascii="Yu Mincho" w:cs="Yu Mincho" w:eastAsia="Yu Mincho" w:hAnsi="Yu Mincho"/>
          <w:b/>
          <w:bCs/>
          <w:color w:val="000000"/>
          <w:sz w:val="36"/>
          <w:szCs w:val="36"/>
        </w:rPr>
        <w:t xml:space="preserve">山本案　前回資料からの変更点</w:t>
      </w:r>
    </w:p>
    <w:p>
      <w:pPr>
        <w:spacing w:after="700" w:before="0" w:line="300"/>
        <w:jc w:val="center"/>
      </w:pPr>
      <w:r>
        <w:rPr>
          <w:rFonts w:ascii="Yu Mincho" w:cs="Yu Mincho" w:eastAsia="Yu Mincho" w:hAnsi="Yu Mincho"/>
          <w:b w:val="false"/>
          <w:bCs w:val="false"/>
          <w:color w:val="555555"/>
          <w:sz w:val="20"/>
          <w:szCs w:val="20"/>
        </w:rPr>
        <w:t xml:space="preserve">原価で卸して出口で折半する方式から、時価−αで卸して出口は出資比率どおりに分ける方式へ</w:t>
      </w:r>
    </w:p>
    <w:p>
      <w:pPr>
        <w:spacing w:after="60" w:before="0" w:line="300"/>
        <w:jc w:val="center"/>
      </w:pPr>
      <w:r>
        <w:rPr>
          <w:rFonts w:ascii="Yu Mincho" w:cs="Yu Mincho" w:eastAsia="Yu Mincho" w:hAnsi="Yu Mincho"/>
          <w:b w:val="false"/>
          <w:bCs w:val="false"/>
          <w:color w:val="555555"/>
          <w:sz w:val="20"/>
          <w:szCs w:val="20"/>
        </w:rPr>
        <w:t xml:space="preserve">2026年9月</w:t>
      </w:r>
    </w:p>
    <w:p>
      <w:pPr>
        <w:spacing w:after="700" w:before="0" w:line="300"/>
        <w:jc w:val="center"/>
      </w:pPr>
      <w:r>
        <w:rPr>
          <w:rFonts w:ascii="Yu Mincho" w:cs="Yu Mincho" w:eastAsia="Yu Mincho" w:hAnsi="Yu Mincho"/>
          <w:b/>
          <w:bCs/>
          <w:color w:val="000000"/>
          <w:sz w:val="21"/>
          <w:szCs w:val="21"/>
        </w:rPr>
        <w:t xml:space="preserve">株式会社WineBank</w:t>
      </w:r>
    </w:p>
    <w:p>
      <w:pPr>
        <w:pBdr>
          <w:bottom w:val="single" w:color="A78450" w:sz="6" w:space="6"/>
        </w:pBdr>
        <w:spacing w:after="180" w:before="360" w:line="300"/>
      </w:pPr>
      <w:r>
        <w:rPr>
          <w:rFonts w:ascii="Yu Mincho" w:cs="Yu Mincho" w:eastAsia="Yu Mincho" w:hAnsi="Yu Mincho"/>
          <w:b/>
          <w:bCs/>
          <w:sz w:val="26"/>
          <w:szCs w:val="26"/>
        </w:rPr>
        <w:t xml:space="preserve">本書の位置づけ</w:t>
      </w:r>
    </w:p>
    <w:p>
      <w:pPr>
        <w:spacing w:after="120" w:before="0" w:line="300"/>
        <w:jc w:val="left"/>
      </w:pPr>
      <w:r>
        <w:rPr>
          <w:rFonts w:ascii="Yu Mincho" w:cs="Yu Mincho" w:eastAsia="Yu Mincho" w:hAnsi="Yu Mincho"/>
          <w:b w:val="false"/>
          <w:bCs w:val="false"/>
          <w:color w:val="000000"/>
          <w:sz w:val="21"/>
          <w:szCs w:val="21"/>
        </w:rPr>
        <w:t xml:space="preserve">本書は、WineBankの取り分を「出口の成功報酬（折半）」から「SPCへ卸す時点の値入れ」へ移す変更について、前回資料から何をどう変えたかを整理したものである。提案資料本体とあわせてご確認いただきたい。</w:t>
      </w:r>
    </w:p>
    <w:p>
      <w:pPr>
        <w:spacing w:after="120" w:before="0" w:line="300"/>
        <w:jc w:val="left"/>
      </w:pPr>
      <w:r>
        <w:rPr>
          <w:rFonts w:ascii="Yu Mincho" w:cs="Yu Mincho" w:eastAsia="Yu Mincho" w:hAnsi="Yu Mincho"/>
          <w:b w:val="false"/>
          <w:bCs w:val="false"/>
          <w:color w:val="000000"/>
          <w:sz w:val="21"/>
          <w:szCs w:val="21"/>
        </w:rPr>
        <w:t xml:space="preserve">金額・利回りはすべて共通の収益モデル（model.py）から算出しており、前回資料の数値も同一のモデルで再計算して対照している。前提を変えていない項目については、前回資料と完全に同じ数値になることを確認済みである。</w:t>
      </w:r>
    </w:p>
    <w:p>
      <w:pPr>
        <w:pBdr>
          <w:bottom w:val="single" w:color="A78450" w:sz="6" w:space="6"/>
        </w:pBdr>
        <w:spacing w:after="180" w:before="360" w:line="300"/>
      </w:pPr>
      <w:r>
        <w:rPr>
          <w:rFonts w:ascii="Yu Mincho" w:cs="Yu Mincho" w:eastAsia="Yu Mincho" w:hAnsi="Yu Mincho"/>
          <w:b/>
          <w:bCs/>
          <w:sz w:val="26"/>
          <w:szCs w:val="26"/>
        </w:rPr>
        <w:t xml:space="preserve">1. 変更の要旨</w:t>
      </w:r>
    </w:p>
    <w:p>
      <w:pPr>
        <w:spacing w:after="120" w:before="0" w:line="300"/>
        <w:jc w:val="left"/>
      </w:pPr>
      <w:r>
        <w:rPr>
          <w:rFonts w:ascii="Yu Mincho" w:cs="Yu Mincho" w:eastAsia="Yu Mincho" w:hAnsi="Yu Mincho"/>
          <w:b w:val="false"/>
          <w:bCs w:val="false"/>
          <w:color w:val="000000"/>
          <w:sz w:val="21"/>
          <w:szCs w:val="21"/>
        </w:rPr>
        <w:t xml:space="preserve">変更は3点である。①が本質的な変更であり、②③はこれに付随する。</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16%"/>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変更点</w:t>
            </w:r>
          </w:p>
        </w:tc>
        <w:tc>
          <w:tcPr>
            <w:tcW w:type="pct" w:w="42%"/>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前回（原価卸＋折半）</w:t>
            </w:r>
          </w:p>
        </w:tc>
        <w:tc>
          <w:tcPr>
            <w:tcW w:type="pct" w:w="42%"/>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今回（時価−α卸＋プロラタ）</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① WineBankの取り分</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SPCへは原価（定価比50.50）で卸し、出口でSPC税前利益のうち投資家帰属分（40%）を投資家と折半する</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SPCへ卸す時点で値入れする。出口で取るのは管理報酬（総額の年2%）のみとし、成功報酬（折半）は取らない</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② 損益の配分</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投資家帰属分（40%）を折半したうえで配分する</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SPC税前利益を出資比率どおり60：40でプロラタ配分する</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③ 卸値のルール</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市中原価50.00＋現物譲渡1% ＝ 50.50</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時価 ×（1−α）。α＝20.8%、時価＝取得時の加重平均売値75.00 → SPC簿価 59.38</w:t>
            </w:r>
          </w:p>
        </w:tc>
      </w:tr>
      <w:tr>
        <w:tc>
          <w:tcPr>
            <w:tcW w:type="pct" w:w="16%"/>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結果（回転12ヶ月）</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投資家利回り 20.4%</w:t>
            </w:r>
          </w:p>
        </w:tc>
        <w:tc>
          <w:tcPr>
            <w:tcW w:type="pct" w:w="42%"/>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投資家利回り 20.0%</w:t>
            </w:r>
          </w:p>
        </w:tc>
      </w:tr>
    </w:tbl>
    <w:p>
      <w:pPr>
        <w:pBdr>
          <w:bottom w:val="single" w:color="A78450" w:sz="6" w:space="6"/>
        </w:pBdr>
        <w:spacing w:after="180" w:before="360" w:line="300"/>
      </w:pPr>
      <w:r>
        <w:rPr>
          <w:rFonts w:ascii="Yu Mincho" w:cs="Yu Mincho" w:eastAsia="Yu Mincho" w:hAnsi="Yu Mincho"/>
          <w:b/>
          <w:bCs/>
          <w:sz w:val="26"/>
          <w:szCs w:val="26"/>
        </w:rPr>
        <w:t xml:space="preserve">2. 変更点の詳細</w:t>
      </w:r>
    </w:p>
    <w:p>
      <w:pPr>
        <w:spacing w:after="100" w:before="240" w:line="300"/>
      </w:pPr>
      <w:r>
        <w:rPr>
          <w:rFonts w:ascii="Yu Gothic" w:cs="Yu Gothic" w:eastAsia="Yu Gothic" w:hAnsi="Yu Gothic"/>
          <w:b/>
          <w:bCs/>
          <w:color w:val="6E5730"/>
          <w:sz w:val="21"/>
          <w:szCs w:val="21"/>
        </w:rPr>
        <w:t xml:space="preserve">① WineBankの取り分を、出口から入口へ移す</w:t>
      </w:r>
    </w:p>
    <w:p>
      <w:pPr>
        <w:spacing w:after="120" w:before="0" w:line="300"/>
        <w:jc w:val="left"/>
      </w:pPr>
      <w:r>
        <w:rPr>
          <w:rFonts w:ascii="Yu Mincho" w:cs="Yu Mincho" w:eastAsia="Yu Mincho" w:hAnsi="Yu Mincho"/>
          <w:b w:val="false"/>
          <w:bCs w:val="false"/>
          <w:color w:val="000000"/>
          <w:sz w:val="21"/>
          <w:szCs w:val="21"/>
        </w:rPr>
        <w:t xml:space="preserve">前回はSPCへ原価で卸し、出口でSPC税前利益のうち投資家出資分に帰属する40%を投資家とWineBankで折半していた。今回はSPCへ卸す時点で時価から20.8%を控除した価格（定価比59.38）とし、その値入れをWineBankの取り分とする。出口で取るのは管理報酬のみとなる。</w:t>
      </w:r>
    </w:p>
    <w:p>
      <w:pPr>
        <w:spacing w:after="80" w:before="0" w:line="300"/>
        <w:ind w:left="431" w:hanging="259"/>
      </w:pPr>
      <w:r>
        <w:rPr>
          <w:rFonts w:ascii="Yu Mincho" w:cs="Yu Mincho" w:eastAsia="Yu Mincho" w:hAnsi="Yu Mincho"/>
          <w:sz w:val="21"/>
          <w:szCs w:val="21"/>
        </w:rPr>
        <w:t xml:space="preserve">・WineBankの値入れは定価比 9.38（簿価比 15.8%）。回転12ヶ月・総額5億円の定常状態では年75百万円となる。</w:t>
      </w:r>
    </w:p>
    <w:p>
      <w:pPr>
        <w:spacing w:after="80" w:before="0" w:line="300"/>
        <w:ind w:left="431" w:hanging="259"/>
      </w:pPr>
      <w:r>
        <w:rPr>
          <w:rFonts w:ascii="Yu Mincho" w:cs="Yu Mincho" w:eastAsia="Yu Mincho" w:hAnsi="Yu Mincho"/>
          <w:sz w:val="21"/>
          <w:szCs w:val="21"/>
        </w:rPr>
        <w:t xml:space="preserve">・前回の値入れ（現物譲渡1%）は年5百万円にすぎず、WineBankの取り分の大半は出口の成功報酬（年41百万円）と持分（年122百万円）であった。</w:t>
      </w:r>
    </w:p>
    <w:p>
      <w:pPr>
        <w:spacing w:after="80" w:before="0" w:line="300"/>
        <w:ind w:left="431" w:hanging="259"/>
      </w:pPr>
      <w:r>
        <w:rPr>
          <w:rFonts w:ascii="Yu Mincho" w:cs="Yu Mincho" w:eastAsia="Yu Mincho" w:hAnsi="Yu Mincho"/>
          <w:sz w:val="21"/>
          <w:szCs w:val="21"/>
        </w:rPr>
        <w:t xml:space="preserve">・折半という概念が不要になる。投資家の取分は「SPC税前利益 × 出資比率40%」だけで決まるため、配分の説明が出資比率の一語で済む。</w:t>
      </w:r>
    </w:p>
    <w:p>
      <w:pPr>
        <w:spacing w:after="100" w:before="240" w:line="300"/>
      </w:pPr>
      <w:r>
        <w:rPr>
          <w:rFonts w:ascii="Yu Gothic" w:cs="Yu Gothic" w:eastAsia="Yu Gothic" w:hAnsi="Yu Gothic"/>
          <w:b/>
          <w:bCs/>
          <w:color w:val="6E5730"/>
          <w:sz w:val="21"/>
          <w:szCs w:val="21"/>
        </w:rPr>
        <w:t xml:space="preserve">② 損益は出資比率どおりにプロラタ配分する</w:t>
      </w:r>
    </w:p>
    <w:p>
      <w:pPr>
        <w:spacing w:after="120" w:before="0" w:line="300"/>
        <w:jc w:val="left"/>
      </w:pPr>
      <w:r>
        <w:rPr>
          <w:rFonts w:ascii="Yu Mincho" w:cs="Yu Mincho" w:eastAsia="Yu Mincho" w:hAnsi="Yu Mincho"/>
          <w:b w:val="false"/>
          <w:bCs w:val="false"/>
          <w:color w:val="000000"/>
          <w:sz w:val="21"/>
          <w:szCs w:val="21"/>
        </w:rPr>
        <w:t xml:space="preserve">成功報酬（折半）を廃止し、SPC税前利益を出資比率どおり60：40で分ける。配分がプロラタであるため、投資家利回りは「SPC税前利益 ÷ 総額」に等しくなり、出資比率そのものには依存しない。</w:t>
      </w:r>
    </w:p>
    <w:p>
      <w:pPr>
        <w:spacing w:after="100" w:before="240" w:line="300"/>
      </w:pPr>
      <w:r>
        <w:rPr>
          <w:rFonts w:ascii="Yu Gothic" w:cs="Yu Gothic" w:eastAsia="Yu Gothic" w:hAnsi="Yu Gothic"/>
          <w:b/>
          <w:bCs/>
          <w:color w:val="6E5730"/>
          <w:sz w:val="21"/>
          <w:szCs w:val="21"/>
        </w:rPr>
        <w:t xml:space="preserve">③ 卸値は時価に連動して決まる</w:t>
      </w:r>
    </w:p>
    <w:p>
      <w:pPr>
        <w:spacing w:after="120" w:before="0" w:line="300"/>
        <w:jc w:val="left"/>
      </w:pPr>
      <w:r>
        <w:rPr>
          <w:rFonts w:ascii="Yu Mincho" w:cs="Yu Mincho" w:eastAsia="Yu Mincho" w:hAnsi="Yu Mincho"/>
          <w:b w:val="false"/>
          <w:bCs w:val="false"/>
          <w:color w:val="000000"/>
          <w:sz w:val="21"/>
          <w:szCs w:val="21"/>
        </w:rPr>
        <w:t xml:space="preserve">卸値を「時価 ×（1−α）」としたことで、仕入価格が動いても売値が動いても、SPCの簿価と時価の関係は変わらない。その結果、投資家利回りはこれらの変動から遮断される。</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40%"/>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変動要因</w:t>
            </w:r>
          </w:p>
        </w:tc>
        <w:tc>
          <w:tcPr>
            <w:tcW w:type="pct" w:w="30%"/>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前回</w:t>
            </w:r>
          </w:p>
        </w:tc>
        <w:tc>
          <w:tcPr>
            <w:tcW w:type="pct" w:w="30%"/>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w:t>
            </w:r>
          </w:p>
        </w:tc>
      </w:tr>
      <w:tr>
        <w:tc>
          <w:tcPr>
            <w:tcW w:type="pct" w:w="4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市中仕入価格（定価比 50 → 45）</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＋7.7pt</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＋0.0pt</w:t>
            </w:r>
          </w:p>
        </w:tc>
      </w:tr>
      <w:tr>
        <w:tc>
          <w:tcPr>
            <w:tcW w:type="pct" w:w="4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売却価格（売値 ▲5%）</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▲3.5pt</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▲0.1pt</w:t>
            </w:r>
          </w:p>
        </w:tc>
      </w:tr>
      <w:tr>
        <w:tc>
          <w:tcPr>
            <w:tcW w:type="pct" w:w="4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ワイン価格上昇率（年6% → 0%）</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▲4.0pt</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▲6.7pt</w:t>
            </w:r>
          </w:p>
        </w:tc>
      </w:tr>
      <w:tr>
        <w:tc>
          <w:tcPr>
            <w:tcW w:type="pct" w:w="4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在庫回転期間（12 → 18ヶ月）</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▲6.1pt</w:t>
            </w:r>
          </w:p>
        </w:tc>
        <w:tc>
          <w:tcPr>
            <w:tcW w:type="pct" w:w="30%"/>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▲5.6pt</w:t>
            </w:r>
          </w:p>
        </w:tc>
      </w:tr>
    </w:tbl>
    <w:p>
      <w:pPr>
        <w:spacing w:after="120" w:before="140" w:line="300"/>
        <w:jc w:val="left"/>
      </w:pPr>
      <w:r>
        <w:rPr>
          <w:rFonts w:ascii="Yu Mincho" w:cs="Yu Mincho" w:eastAsia="Yu Mincho" w:hAnsi="Yu Mincho"/>
          <w:b w:val="false"/>
          <w:bCs w:val="false"/>
          <w:color w:val="000000"/>
          <w:sz w:val="21"/>
          <w:szCs w:val="21"/>
        </w:rPr>
        <w:t xml:space="preserve">仕入と売値から遮断される一方、ワイン価格の上昇率への依存は強まる。投資家利回りを動かす要因は「在庫回転期間」と「ワイン価格の上昇率」の2つに絞られた。</w:t>
      </w:r>
    </w:p>
    <w:p>
      <w:pPr>
        <w:pBdr>
          <w:bottom w:val="single" w:color="A78450" w:sz="6" w:space="6"/>
        </w:pBdr>
        <w:spacing w:after="180" w:before="360" w:line="300"/>
      </w:pPr>
      <w:r>
        <w:rPr>
          <w:rFonts w:ascii="Yu Mincho" w:cs="Yu Mincho" w:eastAsia="Yu Mincho" w:hAnsi="Yu Mincho"/>
          <w:b/>
          <w:bCs/>
          <w:sz w:val="26"/>
          <w:szCs w:val="26"/>
        </w:rPr>
        <w:t xml:space="preserve">3. 数値の対照（在庫回転12ヶ月・ワイン価格上昇 年6%・総額5億円）</w:t>
      </w:r>
    </w:p>
    <w:tbl>
      <w:tblPr>
        <w:tblW w:type="pct" w:w="100%"/>
        <w:tblBorders>
          <w:top w:val="single" w:color="BFB6A6" w:sz="4"/>
          <w:left w:val="single" w:color="BFB6A6" w:sz="4"/>
          <w:bottom w:val="single" w:color="BFB6A6" w:sz="4"/>
          <w:right w:val="single" w:color="BFB6A6" w:sz="4"/>
          <w:insideH w:val="single" w:color="D8D0C2" w:sz="2"/>
          <w:insideV w:val="single" w:color="D8D0C2" w:sz="2"/>
        </w:tblBorders>
      </w:tblPr>
      <w:tblGrid>
        <w:gridCol w:w="100"/>
        <w:gridCol w:w="100"/>
        <w:gridCol w:w="100"/>
      </w:tblGrid>
      <w:tr>
        <w:tc>
          <w:tcPr>
            <w:tcW w:type="pct" w:w="34%"/>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項目</w:t>
            </w:r>
          </w:p>
        </w:tc>
        <w:tc>
          <w:tcPr>
            <w:tcW w:type="pct" w:w="33%"/>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前回（原価卸＋折半）</w:t>
            </w:r>
          </w:p>
        </w:tc>
        <w:tc>
          <w:tcPr>
            <w:tcW w:type="pct" w:w="33%"/>
            <w:shd w:fill="F2EEE6"/>
            <w:tcMar>
              <w:top w:type="dxa" w:w="60"/>
              <w:left w:type="dxa" w:w="100"/>
              <w:bottom w:type="dxa" w:w="60"/>
              <w:right w:type="dxa" w:w="100"/>
            </w:tcMar>
            <w:vAlign w:val="center"/>
          </w:tcPr>
          <w:p>
            <w:pPr>
              <w:spacing w:after="0" w:before="0" w:line="260"/>
              <w:jc w:val="left"/>
            </w:pPr>
            <w:r>
              <w:rPr>
                <w:rFonts w:ascii="Yu Gothic" w:cs="Yu Gothic" w:eastAsia="Yu Gothic" w:hAnsi="Yu Gothic"/>
                <w:b/>
                <w:bCs/>
                <w:color w:val="000000"/>
                <w:sz w:val="19"/>
                <w:szCs w:val="19"/>
              </w:rPr>
              <w:t xml:space="preserve">今回（時価−α卸＋プロラタ）</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SPC簿価（定価比）</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50.50</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59.38</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必要な年間販売額</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7.48億円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6.36億円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SPC年間税前利益</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2.04億円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1.00億円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投資家取分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41百万円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40百万円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投資家利回り（定常年間）</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20.4%</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20.0%</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5年通算 年平均利回り</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16.0%</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15.5%</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WineBank：値入れ（前取り）</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5百万円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75百万円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WineBank：成功報酬</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41百万円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なし</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WineBank：持分（60%）</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122百万円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60百万円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WineBank：管理報酬</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10百万円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val="false"/>
                <w:bCs w:val="false"/>
                <w:color w:val="000000"/>
                <w:sz w:val="19"/>
                <w:szCs w:val="19"/>
              </w:rPr>
              <w:t xml:space="preserve">10百万円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WineBank受取合計</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178百万円</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145百万円</w:t>
            </w:r>
          </w:p>
        </w:tc>
      </w:tr>
      <w:tr>
        <w:tc>
          <w:tcPr>
            <w:tcW w:type="pct" w:w="34%"/>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20%の分岐点（回転期間）</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000000"/>
                <w:sz w:val="19"/>
                <w:szCs w:val="19"/>
              </w:rPr>
              <w:t xml:space="preserve">12.2ヶ月</w:t>
            </w:r>
          </w:p>
        </w:tc>
        <w:tc>
          <w:tcPr>
            <w:tcW w:type="pct" w:w="33%"/>
            <w:tcMar>
              <w:top w:type="dxa" w:w="60"/>
              <w:left w:type="dxa" w:w="100"/>
              <w:bottom w:type="dxa" w:w="60"/>
              <w:right w:type="dxa" w:w="100"/>
            </w:tcMar>
            <w:vAlign w:val="center"/>
          </w:tcPr>
          <w:p>
            <w:pPr>
              <w:spacing w:after="0" w:before="0" w:line="260"/>
              <w:jc w:val="left"/>
            </w:pPr>
            <w:r>
              <w:rPr>
                <w:rFonts w:ascii="Yu Mincho" w:cs="Yu Mincho" w:eastAsia="Yu Mincho" w:hAnsi="Yu Mincho"/>
                <w:b/>
                <w:bCs/>
                <w:color w:val="9C3D28"/>
                <w:sz w:val="19"/>
                <w:szCs w:val="19"/>
              </w:rPr>
              <w:t xml:space="preserve">12.0ヶ月</w:t>
            </w:r>
          </w:p>
        </w:tc>
      </w:tr>
    </w:tbl>
    <w:p>
      <w:pPr>
        <w:spacing w:after="120" w:before="140" w:line="300"/>
        <w:jc w:val="left"/>
      </w:pPr>
      <w:r>
        <w:rPr>
          <w:rFonts w:ascii="Yu Mincho" w:cs="Yu Mincho" w:eastAsia="Yu Mincho" w:hAnsi="Yu Mincho"/>
          <w:b w:val="false"/>
          <w:bCs w:val="false"/>
          <w:color w:val="000000"/>
          <w:sz w:val="21"/>
          <w:szCs w:val="21"/>
        </w:rPr>
        <w:t xml:space="preserve">セカンドクローズ（総額10億円）では、投資家利回り 20.3%、投資家取分 81百万円、WineBank受取 292百万円、必要な年間販売額 12.72億円 となる。</w:t>
      </w:r>
    </w:p>
    <w:p>
      <w:pPr>
        <w:pBdr>
          <w:bottom w:val="single" w:color="A78450" w:sz="6" w:space="6"/>
        </w:pBdr>
        <w:spacing w:after="180" w:before="360" w:line="300"/>
      </w:pPr>
      <w:r>
        <w:rPr>
          <w:rFonts w:ascii="Yu Mincho" w:cs="Yu Mincho" w:eastAsia="Yu Mincho" w:hAnsi="Yu Mincho"/>
          <w:b/>
          <w:bCs/>
          <w:sz w:val="26"/>
          <w:szCs w:val="26"/>
        </w:rPr>
        <w:t xml:space="preserve">4. 変更していない点</w:t>
      </w:r>
    </w:p>
    <w:p>
      <w:pPr>
        <w:spacing w:after="80" w:before="0" w:line="300"/>
        <w:ind w:left="431" w:hanging="259"/>
      </w:pPr>
      <w:r>
        <w:rPr>
          <w:rFonts w:ascii="Yu Mincho" w:cs="Yu Mincho" w:eastAsia="Yu Mincho" w:hAnsi="Yu Mincho"/>
          <w:sz w:val="21"/>
          <w:szCs w:val="21"/>
        </w:rPr>
        <w:t xml:space="preserve">・資本構成。WineBankが現物で総額の60%を出資し、投資家が現金で40%を出資する。</w:t>
      </w:r>
    </w:p>
    <w:p>
      <w:pPr>
        <w:spacing w:after="80" w:before="0" w:line="300"/>
        <w:ind w:left="431" w:hanging="259"/>
      </w:pPr>
      <w:r>
        <w:rPr>
          <w:rFonts w:ascii="Yu Mincho" w:cs="Yu Mincho" w:eastAsia="Yu Mincho" w:hAnsi="Yu Mincho"/>
          <w:sz w:val="21"/>
          <w:szCs w:val="21"/>
        </w:rPr>
        <w:t xml:space="preserve">・段階クローズ。ファーストクローズ5億円 → 年度内セカンドクローズ10億円。</w:t>
      </w:r>
    </w:p>
    <w:p>
      <w:pPr>
        <w:spacing w:after="80" w:before="0" w:line="300"/>
        <w:ind w:left="431" w:hanging="259"/>
      </w:pPr>
      <w:r>
        <w:rPr>
          <w:rFonts w:ascii="Yu Mincho" w:cs="Yu Mincho" w:eastAsia="Yu Mincho" w:hAnsi="Yu Mincho"/>
          <w:sz w:val="21"/>
          <w:szCs w:val="21"/>
        </w:rPr>
        <w:t xml:space="preserve">・管理報酬。総額の年2%をSPC費用に計上する。</w:t>
      </w:r>
    </w:p>
    <w:p>
      <w:pPr>
        <w:spacing w:after="80" w:before="0" w:line="300"/>
        <w:ind w:left="431" w:hanging="259"/>
      </w:pPr>
      <w:r>
        <w:rPr>
          <w:rFonts w:ascii="Yu Mincho" w:cs="Yu Mincho" w:eastAsia="Yu Mincho" w:hAnsi="Yu Mincho"/>
          <w:sz w:val="21"/>
          <w:szCs w:val="21"/>
        </w:rPr>
        <w:t xml:space="preserve">・収益モデルの前提。仕入40／60の半々、売却はB2B70とB2C80の半々、変動販売費6.44%、ワイン価格の年間上昇6%、稼働率95%、仕入展開6ヶ月、運用期間5年。</w:t>
      </w:r>
    </w:p>
    <w:p>
      <w:pPr>
        <w:spacing w:after="80" w:before="0" w:line="300"/>
        <w:ind w:left="431" w:hanging="259"/>
      </w:pPr>
      <w:r>
        <w:rPr>
          <w:rFonts w:ascii="Yu Mincho" w:cs="Yu Mincho" w:eastAsia="Yu Mincho" w:hAnsi="Yu Mincho"/>
          <w:sz w:val="21"/>
          <w:szCs w:val="21"/>
        </w:rPr>
        <w:t xml:space="preserve">・解約条件と分配。当初3年間はロックアップ、4年目以降は年度ごとの解約日に申出可。分配は年1回。</w:t>
      </w:r>
    </w:p>
    <w:p>
      <w:pPr>
        <w:spacing w:after="80" w:before="0" w:line="300"/>
        <w:ind w:left="431" w:hanging="259"/>
      </w:pPr>
      <w:r>
        <w:rPr>
          <w:rFonts w:ascii="Yu Mincho" w:cs="Yu Mincho" w:eastAsia="Yu Mincho" w:hAnsi="Yu Mincho"/>
          <w:sz w:val="21"/>
          <w:szCs w:val="21"/>
        </w:rPr>
        <w:t xml:space="preserve">・在庫配分の原則。在庫比率によるプロラタ配分を原則とし、プロラタで決し得ない部分についてSPCを優先する。</w:t>
      </w:r>
    </w:p>
    <w:p>
      <w:pPr>
        <w:spacing w:after="80" w:before="0" w:line="300"/>
        <w:ind w:left="431" w:hanging="259"/>
      </w:pPr>
      <w:r>
        <w:rPr>
          <w:rFonts w:ascii="Yu Mincho" w:cs="Yu Mincho" w:eastAsia="Yu Mincho" w:hAnsi="Yu Mincho"/>
          <w:sz w:val="21"/>
          <w:szCs w:val="21"/>
        </w:rPr>
        <w:t xml:space="preserve">・提示指標。IRRは用いず、「投資家利回り（定常年間）」と「年平均利回り（5年通算）」の2つに統一している。</w:t>
      </w:r>
    </w:p>
    <w:p>
      <w:pPr>
        <w:spacing w:after="80" w:before="0" w:line="300"/>
        <w:ind w:left="431" w:hanging="259"/>
      </w:pPr>
      <w:r>
        <w:rPr>
          <w:rFonts w:ascii="Yu Mincho" w:cs="Yu Mincho" w:eastAsia="Yu Mincho" w:hAnsi="Yu Mincho"/>
          <w:sz w:val="21"/>
          <w:szCs w:val="21"/>
        </w:rPr>
        <w:t xml:space="preserve">・粗利の定義。粗利は変動販売費を控除した後の金額としている。</w:t>
      </w:r>
    </w:p>
    <w:p>
      <w:pPr>
        <w:pBdr>
          <w:bottom w:val="single" w:color="A78450" w:sz="6" w:space="6"/>
        </w:pBdr>
        <w:spacing w:after="180" w:before="360" w:line="300"/>
      </w:pPr>
      <w:r>
        <w:rPr>
          <w:rFonts w:ascii="Yu Mincho" w:cs="Yu Mincho" w:eastAsia="Yu Mincho" w:hAnsi="Yu Mincho"/>
          <w:b/>
          <w:bCs/>
          <w:sz w:val="26"/>
          <w:szCs w:val="26"/>
        </w:rPr>
        <w:t xml:space="preserve">5. ご留意いただきたい点</w:t>
      </w:r>
    </w:p>
    <w:p>
      <w:pPr>
        <w:spacing w:after="100" w:before="240" w:line="300"/>
      </w:pPr>
      <w:r>
        <w:rPr>
          <w:rFonts w:ascii="Yu Gothic" w:cs="Yu Gothic" w:eastAsia="Yu Gothic" w:hAnsi="Yu Gothic"/>
          <w:b/>
          <w:bCs/>
          <w:color w:val="6E5730"/>
          <w:sz w:val="21"/>
          <w:szCs w:val="21"/>
        </w:rPr>
        <w:t xml:space="preserve">20%までの余裕がなくなった</w:t>
      </w:r>
    </w:p>
    <w:p>
      <w:pPr>
        <w:spacing w:after="120" w:before="0" w:line="300"/>
        <w:jc w:val="left"/>
      </w:pPr>
      <w:r>
        <w:rPr>
          <w:rFonts w:ascii="Yu Mincho" w:cs="Yu Mincho" w:eastAsia="Yu Mincho" w:hAnsi="Yu Mincho"/>
          <w:b w:val="false"/>
          <w:bCs w:val="false"/>
          <w:color w:val="000000"/>
          <w:sz w:val="21"/>
          <w:szCs w:val="21"/>
        </w:rPr>
        <w:t xml:space="preserve">投資家利回りが20%を割り込む回転期間は、前回の12.2ヶ月から今回12.0ヶ月へ縮まった。主線の回転12ヶ月がそのまま分岐点であり、余裕はない。回転が15ヶ月へ延びれば16.6%、18ヶ月なら14.4%まで低下する。</w:t>
      </w:r>
    </w:p>
    <w:p>
      <w:pPr>
        <w:spacing w:after="120" w:before="0" w:line="300"/>
        <w:jc w:val="left"/>
      </w:pPr>
      <w:r>
        <w:rPr>
          <w:rFonts w:ascii="Yu Mincho" w:cs="Yu Mincho" w:eastAsia="Yu Mincho" w:hAnsi="Yu Mincho"/>
          <w:b w:val="false"/>
          <w:bCs w:val="false"/>
          <w:color w:val="000000"/>
          <w:sz w:val="21"/>
          <w:szCs w:val="21"/>
        </w:rPr>
        <w:t xml:space="preserve">ただし回転12ヶ月に必要な年間販売額は7.48億円から6.36億円へ下がった。卸値が上がったぶん同じ金額で持てるワインが減るためで、現状の販売実力（年5〜7億円）の範囲内に収まる点は前回より条件が良い。</w:t>
      </w:r>
    </w:p>
    <w:p>
      <w:pPr>
        <w:spacing w:after="100" w:before="240" w:line="300"/>
      </w:pPr>
      <w:r>
        <w:rPr>
          <w:rFonts w:ascii="Yu Gothic" w:cs="Yu Gothic" w:eastAsia="Yu Gothic" w:hAnsi="Yu Gothic"/>
          <w:b/>
          <w:bCs/>
          <w:color w:val="6E5730"/>
          <w:sz w:val="21"/>
          <w:szCs w:val="21"/>
        </w:rPr>
        <w:t xml:space="preserve">ワイン価格の上昇率への依存が強まった</w:t>
      </w:r>
    </w:p>
    <w:p>
      <w:pPr>
        <w:spacing w:after="120" w:before="0" w:line="300"/>
        <w:jc w:val="left"/>
      </w:pPr>
      <w:r>
        <w:rPr>
          <w:rFonts w:ascii="Yu Mincho" w:cs="Yu Mincho" w:eastAsia="Yu Mincho" w:hAnsi="Yu Mincho"/>
          <w:b w:val="false"/>
          <w:bCs w:val="false"/>
          <w:color w:val="000000"/>
          <w:sz w:val="21"/>
          <w:szCs w:val="21"/>
        </w:rPr>
        <w:t xml:space="preserve">SPCの収益は「αの取り込み」と「保有中の値上がり」の二階建てになる。前回は仕入の安さも収益源だったが、卸値が時価連動になったことでその分が消えた。値上がりを織り込まない場合、投資家利回りは主線でも13.3%まで下がり、20%を確保するには回転を8.6ヶ月まで縮める必要がある。</w:t>
      </w:r>
    </w:p>
    <w:p>
      <w:pPr>
        <w:spacing w:after="100" w:before="240" w:line="300"/>
      </w:pPr>
      <w:r>
        <w:rPr>
          <w:rFonts w:ascii="Yu Gothic" w:cs="Yu Gothic" w:eastAsia="Yu Gothic" w:hAnsi="Yu Gothic"/>
          <w:b/>
          <w:bCs/>
          <w:color w:val="6E5730"/>
          <w:sz w:val="21"/>
          <w:szCs w:val="21"/>
        </w:rPr>
        <w:t xml:space="preserve">ファンドの実質規模が小さくなる</w:t>
      </w:r>
    </w:p>
    <w:p>
      <w:pPr>
        <w:spacing w:after="120" w:before="0" w:line="300"/>
        <w:jc w:val="left"/>
      </w:pPr>
      <w:r>
        <w:rPr>
          <w:rFonts w:ascii="Yu Mincho" w:cs="Yu Mincho" w:eastAsia="Yu Mincho" w:hAnsi="Yu Mincho"/>
          <w:b w:val="false"/>
          <w:bCs w:val="false"/>
          <w:color w:val="000000"/>
          <w:sz w:val="21"/>
          <w:szCs w:val="21"/>
        </w:rPr>
        <w:t xml:space="preserve">SPC簿価が50.50から59.38へ上がるため、同じ5億円で持てるワインは定価換算で約15%少なくなる。利益は1本あたりで発生するので、ファンドが生む付加価値そのものが年218百万円から年185百万円へ、約33百万円小さくなる。WineBankはその分を卸値で前取りしているため自社の損得はおおむね中立だが、投資家から見ると「同じ2億円でより少ないワインを持つ」構造になる。</w:t>
      </w:r>
    </w:p>
    <w:p>
      <w:pPr>
        <w:spacing w:after="100" w:before="240" w:line="300"/>
      </w:pPr>
      <w:r>
        <w:rPr>
          <w:rFonts w:ascii="Yu Gothic" w:cs="Yu Gothic" w:eastAsia="Yu Gothic" w:hAnsi="Yu Gothic"/>
          <w:b/>
          <w:bCs/>
          <w:color w:val="6E5730"/>
          <w:sz w:val="21"/>
          <w:szCs w:val="21"/>
        </w:rPr>
        <w:t xml:space="preserve">WineBankの収入が前倒しで確定する</w:t>
      </w:r>
    </w:p>
    <w:p>
      <w:pPr>
        <w:spacing w:after="120" w:before="0" w:line="300"/>
        <w:jc w:val="left"/>
      </w:pPr>
      <w:r>
        <w:rPr>
          <w:rFonts w:ascii="Yu Mincho" w:cs="Yu Mincho" w:eastAsia="Yu Mincho" w:hAnsi="Yu Mincho"/>
          <w:b w:val="false"/>
          <w:bCs w:val="false"/>
          <w:color w:val="000000"/>
          <w:sz w:val="21"/>
          <w:szCs w:val="21"/>
        </w:rPr>
        <w:t xml:space="preserve">WineBank受取145百万円のうち、値入れ75百万円と管理報酬10百万円の計85百万円は運用成果によらず確定し、成果に連動するのは持分60百万円のみとなる。前回は178百万円のうち成果連動分が163百万円であった。持分60%を通じて損益を負う点は変わらないが、「投資家が儲からなければWineBankも儲からない」という説明はそのままでは使えない。提案資料では受取の内訳を明示している。</w:t>
      </w:r>
    </w:p>
    <w:p>
      <w:pPr>
        <w:spacing w:after="100" w:before="240" w:line="300"/>
      </w:pPr>
      <w:r>
        <w:rPr>
          <w:rFonts w:ascii="Yu Gothic" w:cs="Yu Gothic" w:eastAsia="Yu Gothic" w:hAnsi="Yu Gothic"/>
          <w:b/>
          <w:bCs/>
          <w:color w:val="6E5730"/>
          <w:sz w:val="21"/>
          <w:szCs w:val="21"/>
        </w:rPr>
        <w:t xml:space="preserve">卸値そのものが最大の利益相反論点になる</w:t>
      </w:r>
    </w:p>
    <w:p>
      <w:pPr>
        <w:spacing w:after="80" w:before="0" w:line="300"/>
        <w:ind w:left="431" w:hanging="259"/>
      </w:pPr>
      <w:r>
        <w:rPr>
          <w:rFonts w:ascii="Yu Mincho" w:cs="Yu Mincho" w:eastAsia="Yu Mincho" w:hAnsi="Yu Mincho"/>
          <w:sz w:val="21"/>
          <w:szCs w:val="21"/>
        </w:rPr>
        <w:t xml:space="preserve">・αを契約上20.8%に固定し、期中の変更には投資家の事前承認を要する設計とする。</w:t>
      </w:r>
    </w:p>
    <w:p>
      <w:pPr>
        <w:spacing w:after="80" w:before="0" w:line="300"/>
        <w:ind w:left="431" w:hanging="259"/>
      </w:pPr>
      <w:r>
        <w:rPr>
          <w:rFonts w:ascii="Yu Mincho" w:cs="Yu Mincho" w:eastAsia="Yu Mincho" w:hAnsi="Yu Mincho"/>
          <w:sz w:val="21"/>
          <w:szCs w:val="21"/>
        </w:rPr>
        <w:t xml:space="preserve">・時価の算定方法（B2B卸値とB2C売値の加重平均）を契約に明記し、算定根拠を四半期ごとに開示する。</w:t>
      </w:r>
    </w:p>
    <w:p>
      <w:pPr>
        <w:spacing w:after="80" w:before="0" w:line="300"/>
        <w:ind w:left="431" w:hanging="259"/>
      </w:pPr>
      <w:r>
        <w:rPr>
          <w:rFonts w:ascii="Yu Mincho" w:cs="Yu Mincho" w:eastAsia="Yu Mincho" w:hAnsi="Yu Mincho"/>
          <w:sz w:val="21"/>
          <w:szCs w:val="21"/>
        </w:rPr>
        <w:t xml:space="preserve">・WineBank出資分に対応する値入れは自己取引となるため、内部利益の消去要否を会計・税務の両面で組成前に確定させる。</w:t>
      </w:r>
    </w:p>
    <w:p>
      <w:pPr>
        <w:spacing w:after="80" w:before="0" w:line="300"/>
        <w:ind w:left="431" w:hanging="259"/>
      </w:pPr>
      <w:r>
        <w:rPr>
          <w:rFonts w:ascii="Yu Mincho" w:cs="Yu Mincho" w:eastAsia="Yu Mincho" w:hAnsi="Yu Mincho"/>
          <w:sz w:val="21"/>
          <w:szCs w:val="21"/>
        </w:rPr>
        <w:t xml:space="preserve">・第三者卸価格との比較資料を年次で整備し、移転価格上の説明責任を果たせる状態を維持する。AUPの検証対象にも含める。</w:t>
      </w:r>
    </w:p>
    <w:p>
      <w:pPr>
        <w:spacing w:after="100" w:before="240" w:line="300"/>
      </w:pPr>
      <w:r>
        <w:rPr>
          <w:rFonts w:ascii="Yu Gothic" w:cs="Yu Gothic" w:eastAsia="Yu Gothic" w:hAnsi="Yu Gothic"/>
          <w:b/>
          <w:bCs/>
          <w:color w:val="6E5730"/>
          <w:sz w:val="21"/>
          <w:szCs w:val="21"/>
        </w:rPr>
        <w:t xml:space="preserve">3シナリオの定義を組み替えた</w:t>
      </w:r>
    </w:p>
    <w:p>
      <w:pPr>
        <w:spacing w:after="120" w:before="0" w:line="300"/>
        <w:jc w:val="left"/>
      </w:pPr>
      <w:r>
        <w:rPr>
          <w:rFonts w:ascii="Yu Mincho" w:cs="Yu Mincho" w:eastAsia="Yu Mincho" w:hAnsi="Yu Mincho"/>
          <w:b w:val="false"/>
          <w:bCs w:val="false"/>
          <w:color w:val="000000"/>
          <w:sz w:val="21"/>
          <w:szCs w:val="21"/>
        </w:rPr>
        <w:t xml:space="preserve">前回は調達価格と売却価格でポジティブ／ネガティブを定義していたが、卸値が時価連動になったことでこれらは投資家利回りに効かなくなった。そのまま用いるとポジティブがニュートラルを下回る逆転が生じるため、今回はワイン価格の上昇率（年10%／6%／0%）でシナリオを定義し直している。</w:t>
      </w:r>
    </w:p>
    <w:sectPr>
      <w:footerReference w:type="default" r:id="rId7"/>
      <w:pgSz w:w="11906" w:h="16838" w:orient="portrait"/>
      <w:pgMar w:top="1411" w:right="1353" w:bottom="1411" w:left="135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2026-09-24T02:12:10.111Z</dcterms:created>
  <dcterms:modified xsi:type="dcterms:W3CDTF">2026-09-24T02:12:10.111Z</dcterms:modified>
</cp:coreProperties>
</file>

<file path=docProps/custom.xml><?xml version="1.0" encoding="utf-8"?>
<Properties xmlns="http://schemas.openxmlformats.org/officeDocument/2006/custom-properties" xmlns:vt="http://schemas.openxmlformats.org/officeDocument/2006/docPropsVTypes"/>
</file>