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mbria" w:cs="Cambria" w:eastAsia="Cambria" w:hAnsi="Cambria"/>
          <w:b/>
          <w:bCs/>
          <w:color w:val="6E5730"/>
          <w:spacing w:val="60"/>
          <w:sz w:val="20"/>
          <w:szCs w:val="20"/>
        </w:rPr>
        <w:t xml:space="preserve">WINEBANK WINE FUND</w:t>
      </w:r>
    </w:p>
    <w:p>
      <w:pPr>
        <w:spacing w:after="120" w:before="0"/>
        <w:jc w:val="center"/>
      </w:pPr>
      <w:r>
        <w:rPr>
          <w:rFonts w:ascii="Yu Mincho" w:cs="Yu Mincho" w:eastAsia="Yu Mincho" w:hAnsi="Yu Mincho"/>
          <w:b/>
          <w:bCs/>
          <w:sz w:val="44"/>
          <w:szCs w:val="44"/>
        </w:rPr>
        <w:t xml:space="preserve">匿名組合契約　別紙</w:t>
      </w:r>
    </w:p>
    <w:p>
      <w:pPr>
        <w:spacing w:after="720" w:before="0"/>
        <w:jc w:val="center"/>
      </w:pPr>
      <w:r>
        <w:rPr>
          <w:rFonts w:ascii="Yu Mincho" w:cs="Yu Mincho" w:eastAsia="Yu Mincho" w:hAnsi="Yu Mincho"/>
          <w:sz w:val="24"/>
          <w:szCs w:val="24"/>
        </w:rPr>
        <w:t xml:space="preserve">在庫配分方針／情報開示および報告事項／利益相反取引の管理</w:t>
      </w:r>
    </w:p>
    <w:p>
      <w:pPr>
        <w:spacing w:after="60" w:before="0"/>
        <w:jc w:val="center"/>
      </w:pPr>
      <w:r>
        <w:rPr>
          <w:rFonts w:ascii="Yu Gothic" w:cs="Yu Gothic" w:eastAsia="Yu Gothic" w:hAnsi="Yu Gothic"/>
          <w:b/>
          <w:bCs/>
          <w:color w:val="8B2E1F"/>
          <w:sz w:val="22"/>
          <w:szCs w:val="22"/>
        </w:rPr>
        <w:t xml:space="preserve">ドラフト（法務レビュー前）</w:t>
      </w:r>
    </w:p>
    <w:p>
      <w:pPr>
        <w:spacing w:after="900" w:before="0"/>
        <w:jc w:val="center"/>
      </w:pPr>
      <w:r>
        <w:rPr>
          <w:rFonts w:ascii="Yu Mincho" w:cs="Yu Mincho" w:eastAsia="Yu Mincho" w:hAnsi="Yu Mincho"/>
          <w:sz w:val="21"/>
          <w:szCs w:val="21"/>
        </w:rPr>
        <w:t xml:space="preserve">2026年8月　株式会社WineBank</w:t>
      </w:r>
    </w:p>
    <w:p>
      <w:pPr>
        <w:pBdr>
          <w:top w:val="single" w:color="BFBFBF" w:sz="4" w:space="10"/>
        </w:pBdr>
        <w:spacing w:after="140" w:before="0"/>
      </w:pPr>
      <w:r>
        <w:rPr>
          <w:rFonts w:ascii="Yu Gothic" w:cs="Yu Gothic" w:eastAsia="Yu Gothic" w:hAnsi="Yu Gothic"/>
          <w:b/>
          <w:bCs/>
          <w:sz w:val="21"/>
          <w:szCs w:val="21"/>
        </w:rPr>
        <w:t xml:space="preserve">本書の位置づけ</w:t>
      </w:r>
    </w:p>
    <w:p>
      <w:pPr>
        <w:spacing w:after="120" w:before="0" w:line="300"/>
        <w:jc w:val="left"/>
      </w:pPr>
      <w:r>
        <w:rPr>
          <w:rFonts w:ascii="Yu Mincho" w:cs="Yu Mincho" w:eastAsia="Yu Mincho" w:hAnsi="Yu Mincho"/>
          <w:b w:val="false"/>
          <w:bCs w:val="false"/>
          <w:color w:val="000000"/>
          <w:sz w:val="21"/>
          <w:szCs w:val="21"/>
        </w:rPr>
        <w:t xml:space="preserve">本書は、株式会社WineBank（以下「営業者」という。）を営業者とする匿名組合契約に添付する別紙のドラフトである。2026年8月の打合せにおいて公認会計士より指摘された、運営者の情報開示義務および報告義務の具体化、ならびに利益相反管理ルールの整備に対応するものである。</w:t>
      </w:r>
    </w:p>
    <w:p>
      <w:pPr>
        <w:spacing w:after="120" w:before="0" w:line="300"/>
        <w:jc w:val="left"/>
      </w:pPr>
      <w:r>
        <w:rPr>
          <w:rFonts w:ascii="Yu Mincho" w:cs="Yu Mincho" w:eastAsia="Yu Mincho" w:hAnsi="Yu Mincho"/>
          <w:b w:val="false"/>
          <w:bCs w:val="false"/>
          <w:color w:val="000000"/>
          <w:sz w:val="21"/>
          <w:szCs w:val="21"/>
        </w:rPr>
        <w:t xml:space="preserve">あわせて、営業者が自己の計算において保有するワイン在庫と本匿名組合の在庫との間の配分の公平性についても、取扱いを明文化している。配分は在庫数量の比率によるプロラタを原則とし、プロラタにより決し得ない部分について本匿名組合の在庫を優先する構成としている。</w:t>
      </w:r>
    </w:p>
    <w:p>
      <w:pPr>
        <w:spacing w:after="120" w:before="0" w:line="300"/>
        <w:jc w:val="left"/>
      </w:pPr>
      <w:r>
        <w:rPr>
          <w:rFonts w:ascii="Yu Mincho" w:cs="Yu Mincho" w:eastAsia="Yu Mincho" w:hAnsi="Yu Mincho"/>
          <w:b w:val="false"/>
          <w:bCs w:val="false"/>
          <w:color w:val="000000"/>
          <w:sz w:val="21"/>
          <w:szCs w:val="21"/>
        </w:rPr>
        <w:t xml:space="preserve">本書は事業側での検討のためのたたき台であり、法的助言を構成するものではない。条項の効力、匿名組合契約との整合、金融商品取引法その他の関係法令上の取扱いについては、顧問弁護士および公認会計士の確認を経たうえで確定するものとする。金額その他の未確定事項は「●」で表示している。</w:t>
      </w:r>
    </w:p>
    <w:p>
      <w:r>
        <w:br w:type="page"/>
      </w:r>
    </w:p>
    <w:p>
      <w:pPr>
        <w:spacing w:after="60" w:before="0"/>
      </w:pPr>
      <w:r>
        <w:rPr>
          <w:rFonts w:ascii="Yu Gothic" w:cs="Yu Gothic" w:eastAsia="Yu Gothic" w:hAnsi="Yu Gothic"/>
          <w:b/>
          <w:bCs/>
          <w:color w:val="6E5730"/>
          <w:sz w:val="20"/>
          <w:szCs w:val="20"/>
        </w:rPr>
        <w:t xml:space="preserve">別紙 1</w:t>
      </w:r>
    </w:p>
    <w:p>
      <w:pPr>
        <w:pBdr>
          <w:bottom w:val="single" w:color="A78450" w:sz="6" w:space="6"/>
        </w:pBdr>
        <w:spacing w:after="240" w:before="0"/>
      </w:pPr>
      <w:r>
        <w:rPr>
          <w:rFonts w:ascii="Yu Mincho" w:cs="Yu Mincho" w:eastAsia="Yu Mincho" w:hAnsi="Yu Mincho"/>
          <w:b/>
          <w:bCs/>
          <w:sz w:val="30"/>
          <w:szCs w:val="30"/>
        </w:rPr>
        <w:t xml:space="preserve">在庫配分方針</w:t>
      </w:r>
    </w:p>
    <w:p>
      <w:pPr>
        <w:spacing w:after="100" w:before="260" w:line="300"/>
      </w:pPr>
      <w:r>
        <w:rPr>
          <w:rFonts w:ascii="Yu Gothic" w:cs="Yu Gothic" w:eastAsia="Yu Gothic" w:hAnsi="Yu Gothic"/>
          <w:b/>
          <w:bCs/>
          <w:sz w:val="21"/>
          <w:szCs w:val="21"/>
        </w:rPr>
        <w:t xml:space="preserve">第1条（目的）</w:t>
      </w:r>
    </w:p>
    <w:p>
      <w:pPr>
        <w:spacing w:after="100" w:before="0" w:line="300"/>
        <w:ind w:left="403"/>
      </w:pPr>
      <w:r>
        <w:rPr>
          <w:rFonts w:ascii="Yu Mincho" w:cs="Yu Mincho" w:eastAsia="Yu Mincho" w:hAnsi="Yu Mincho"/>
          <w:sz w:val="21"/>
          <w:szCs w:val="21"/>
        </w:rPr>
        <w:t xml:space="preserve">本別紙は、営業者が本匿名組合の営業のために取得し、保管し、および販売するワイン（以下「本件在庫」という。）と、営業者が自己の計算において保有するワイン（以下「自己勘定在庫」という。）との間に生じうる利益相反を防止し、本件在庫の売却が匿名組合員の利益に適合する形で行われることを担保するための取扱いを定めるものである。</w:t>
      </w:r>
    </w:p>
    <w:p>
      <w:pPr>
        <w:spacing w:after="100" w:before="260" w:line="300"/>
      </w:pPr>
      <w:r>
        <w:rPr>
          <w:rFonts w:ascii="Yu Gothic" w:cs="Yu Gothic" w:eastAsia="Yu Gothic" w:hAnsi="Yu Gothic"/>
          <w:b/>
          <w:bCs/>
          <w:sz w:val="21"/>
          <w:szCs w:val="21"/>
        </w:rPr>
        <w:t xml:space="preserve">第2条（定義）</w:t>
      </w:r>
    </w:p>
    <w:p>
      <w:pPr>
        <w:spacing w:after="100" w:before="0" w:line="300"/>
        <w:ind w:left="403" w:hanging="403"/>
      </w:pPr>
      <w:r>
        <w:rPr>
          <w:rFonts w:ascii="Yu Mincho" w:cs="Yu Mincho" w:eastAsia="Yu Mincho" w:hAnsi="Yu Mincho"/>
          <w:sz w:val="21"/>
          <w:szCs w:val="21"/>
        </w:rPr>
        <w:t xml:space="preserve">1　「対象銘柄」とは、生産者名、銘柄名、ヴィンテージおよび容量の組合せにより特定される単位をいう。</w:t>
      </w:r>
    </w:p>
    <w:p>
      <w:pPr>
        <w:spacing w:after="100" w:before="0" w:line="300"/>
        <w:ind w:left="403" w:hanging="403"/>
      </w:pPr>
      <w:r>
        <w:rPr>
          <w:rFonts w:ascii="Yu Mincho" w:cs="Yu Mincho" w:eastAsia="Yu Mincho" w:hAnsi="Yu Mincho"/>
          <w:sz w:val="21"/>
          <w:szCs w:val="21"/>
        </w:rPr>
        <w:t xml:space="preserve">2　「実現単価」とは、対象銘柄ごとの、当該四半期における売却総額を当該四半期における売却本数で除して得られる金額をいう。</w:t>
      </w:r>
    </w:p>
    <w:p>
      <w:pPr>
        <w:spacing w:after="100" w:before="0" w:line="300"/>
        <w:ind w:left="403" w:hanging="403"/>
      </w:pPr>
      <w:r>
        <w:rPr>
          <w:rFonts w:ascii="Yu Mincho" w:cs="Yu Mincho" w:eastAsia="Yu Mincho" w:hAnsi="Yu Mincho"/>
          <w:sz w:val="21"/>
          <w:szCs w:val="21"/>
        </w:rPr>
        <w:t xml:space="preserve">3　「四半期」とは、本匿名組合の事業年度を3か月ごとに区分した各期間をいう。</w:t>
      </w:r>
    </w:p>
    <w:p>
      <w:pPr>
        <w:spacing w:after="100" w:before="260" w:line="300"/>
      </w:pPr>
      <w:r>
        <w:rPr>
          <w:rFonts w:ascii="Yu Gothic" w:cs="Yu Gothic" w:eastAsia="Yu Gothic" w:hAnsi="Yu Gothic"/>
          <w:b/>
          <w:bCs/>
          <w:sz w:val="21"/>
          <w:szCs w:val="21"/>
        </w:rPr>
        <w:t xml:space="preserve">第3条（売却の配分）</w:t>
      </w:r>
    </w:p>
    <w:p>
      <w:pPr>
        <w:spacing w:after="100" w:before="0" w:line="300"/>
        <w:ind w:left="403" w:hanging="403"/>
      </w:pPr>
      <w:r>
        <w:rPr>
          <w:rFonts w:ascii="Yu Mincho" w:cs="Yu Mincho" w:eastAsia="Yu Mincho" w:hAnsi="Yu Mincho"/>
          <w:sz w:val="21"/>
          <w:szCs w:val="21"/>
        </w:rPr>
        <w:t xml:space="preserve">1　営業者は、同一の対象銘柄について本件在庫および自己勘定在庫の双方を保有する場合、当該対象銘柄の売却を、売却時点における両者の在庫数量の比率に応じて配分するものとする。</w:t>
      </w:r>
    </w:p>
    <w:p>
      <w:pPr>
        <w:spacing w:after="100" w:before="0" w:line="300"/>
        <w:ind w:left="403" w:hanging="403"/>
      </w:pPr>
      <w:r>
        <w:rPr>
          <w:rFonts w:ascii="Yu Mincho" w:cs="Yu Mincho" w:eastAsia="Yu Mincho" w:hAnsi="Yu Mincho"/>
          <w:sz w:val="21"/>
          <w:szCs w:val="21"/>
        </w:rPr>
        <w:t xml:space="preserve">2　個々の売却は数量の分割になじまないことから、営業者は、対象銘柄ごとの累計売却数量の配分比率が前項の比率に一致するよう第8条に定める配分台帳により管理し、当該比率からの乖離が大きい側の在庫から出庫するものとする。</w:t>
      </w:r>
    </w:p>
    <w:p>
      <w:pPr>
        <w:spacing w:after="100" w:before="0" w:line="300"/>
        <w:ind w:left="403" w:hanging="403"/>
      </w:pPr>
      <w:r>
        <w:rPr>
          <w:rFonts w:ascii="Yu Mincho" w:cs="Yu Mincho" w:eastAsia="Yu Mincho" w:hAnsi="Yu Mincho"/>
          <w:sz w:val="21"/>
          <w:szCs w:val="21"/>
        </w:rPr>
        <w:t xml:space="preserve">3　前項による乖離が同等である場合、ロット単位での売却その他前項の方法により配分を決し得ない場合、または購入者の指定その他の事由により配分の判断を要する場合は、本件在庫を優先して売却するものとする。</w:t>
      </w:r>
    </w:p>
    <w:p>
      <w:pPr>
        <w:spacing w:after="100" w:before="0" w:line="300"/>
        <w:ind w:left="403" w:hanging="403"/>
      </w:pPr>
      <w:r>
        <w:rPr>
          <w:rFonts w:ascii="Yu Mincho" w:cs="Yu Mincho" w:eastAsia="Yu Mincho" w:hAnsi="Yu Mincho"/>
          <w:sz w:val="21"/>
          <w:szCs w:val="21"/>
        </w:rPr>
        <w:t xml:space="preserve">4　四半期の末日における累計配分比率と第1項の比率との乖離が●パーセントを超えた場合、営業者は、翌四半期においてこれを是正するものとする。</w:t>
      </w:r>
    </w:p>
    <w:p>
      <w:pPr>
        <w:spacing w:after="100" w:before="0" w:line="300"/>
        <w:ind w:left="403" w:hanging="403"/>
      </w:pPr>
      <w:r>
        <w:rPr>
          <w:rFonts w:ascii="Yu Mincho" w:cs="Yu Mincho" w:eastAsia="Yu Mincho" w:hAnsi="Yu Mincho"/>
          <w:sz w:val="21"/>
          <w:szCs w:val="21"/>
        </w:rPr>
        <w:t xml:space="preserve">5　購入者が自己勘定在庫を特定して指名した場合その他やむを得ない事由により前各項によらず売却を行った場合、営業者は、当該売却の日時、数量、単価および事由を記録し、配分台帳に記載するものとする。</w:t>
      </w:r>
    </w:p>
    <w:p>
      <w:pPr>
        <w:spacing w:after="100" w:before="260" w:line="300"/>
      </w:pPr>
      <w:r>
        <w:rPr>
          <w:rFonts w:ascii="Yu Gothic" w:cs="Yu Gothic" w:eastAsia="Yu Gothic" w:hAnsi="Yu Gothic"/>
          <w:b/>
          <w:bCs/>
          <w:sz w:val="21"/>
          <w:szCs w:val="21"/>
        </w:rPr>
        <w:t xml:space="preserve">第4条（組入銘柄の選定）</w:t>
      </w:r>
    </w:p>
    <w:p>
      <w:pPr>
        <w:spacing w:after="100" w:before="0" w:line="300"/>
        <w:ind w:left="403" w:hanging="403"/>
      </w:pPr>
      <w:r>
        <w:rPr>
          <w:rFonts w:ascii="Yu Mincho" w:cs="Yu Mincho" w:eastAsia="Yu Mincho" w:hAnsi="Yu Mincho"/>
          <w:sz w:val="21"/>
          <w:szCs w:val="21"/>
        </w:rPr>
        <w:t xml:space="preserve">1　営業者は、本件在庫に組み入れる対象銘柄の選定にあたり、流通量が多く売却までの期間が短いと見込まれる銘柄を優先するものとする。</w:t>
      </w:r>
    </w:p>
    <w:p>
      <w:pPr>
        <w:spacing w:after="100" w:before="0" w:line="300"/>
        <w:ind w:left="403" w:hanging="403"/>
      </w:pPr>
      <w:r>
        <w:rPr>
          <w:rFonts w:ascii="Yu Mincho" w:cs="Yu Mincho" w:eastAsia="Yu Mincho" w:hAnsi="Yu Mincho"/>
          <w:sz w:val="21"/>
          <w:szCs w:val="21"/>
        </w:rPr>
        <w:t xml:space="preserve">2　営業者は、本件在庫に組み入れる対象銘柄と自己勘定在庫に係る対象銘柄とが可能な限り重複しないよう努めるものとする。営業者は、組成時において両者の重複状況を調査し、その結果を匿名組合員に報告する。</w:t>
      </w:r>
    </w:p>
    <w:p>
      <w:pPr>
        <w:spacing w:after="100" w:before="0" w:line="300"/>
        <w:ind w:left="403" w:hanging="403"/>
      </w:pPr>
      <w:r>
        <w:rPr>
          <w:rFonts w:ascii="Yu Mincho" w:cs="Yu Mincho" w:eastAsia="Yu Mincho" w:hAnsi="Yu Mincho"/>
          <w:sz w:val="21"/>
          <w:szCs w:val="21"/>
        </w:rPr>
        <w:t xml:space="preserve">3　本匿名組合の在庫回転期間に係る運用目標（12か月）の達成は、主として本条に定める組入銘柄の選定によることを、両当事者は確認する。</w:t>
      </w:r>
    </w:p>
    <w:p>
      <w:pPr>
        <w:spacing w:after="100" w:before="260" w:line="300"/>
      </w:pPr>
      <w:r>
        <w:rPr>
          <w:rFonts w:ascii="Yu Gothic" w:cs="Yu Gothic" w:eastAsia="Yu Gothic" w:hAnsi="Yu Gothic"/>
          <w:b/>
          <w:bCs/>
          <w:sz w:val="21"/>
          <w:szCs w:val="21"/>
        </w:rPr>
        <w:t xml:space="preserve">第5条（取得時の按分）</w:t>
      </w:r>
    </w:p>
    <w:p>
      <w:pPr>
        <w:spacing w:after="100" w:before="0" w:line="300"/>
        <w:ind w:left="403"/>
      </w:pPr>
      <w:r>
        <w:rPr>
          <w:rFonts w:ascii="Yu Mincho" w:cs="Yu Mincho" w:eastAsia="Yu Mincho" w:hAnsi="Yu Mincho"/>
          <w:sz w:val="21"/>
          <w:szCs w:val="21"/>
        </w:rPr>
        <w:t xml:space="preserve">営業者が同一の対象銘柄を複数ロット取得する場合、本件在庫および自己勘定在庫への割当ては、取得時点における両者の在庫金額の比率に応じて按分するものとする。</w:t>
      </w:r>
    </w:p>
    <w:p>
      <w:pPr>
        <w:spacing w:after="100" w:before="260" w:line="300"/>
      </w:pPr>
      <w:r>
        <w:rPr>
          <w:rFonts w:ascii="Yu Gothic" w:cs="Yu Gothic" w:eastAsia="Yu Gothic" w:hAnsi="Yu Gothic"/>
          <w:b/>
          <w:bCs/>
          <w:sz w:val="21"/>
          <w:szCs w:val="21"/>
        </w:rPr>
        <w:t xml:space="preserve">第6条（実現単価の同一性）</w:t>
      </w:r>
    </w:p>
    <w:p>
      <w:pPr>
        <w:spacing w:after="100" w:before="0" w:line="300"/>
        <w:ind w:left="403"/>
      </w:pPr>
      <w:r>
        <w:rPr>
          <w:rFonts w:ascii="Yu Mincho" w:cs="Yu Mincho" w:eastAsia="Yu Mincho" w:hAnsi="Yu Mincho"/>
          <w:sz w:val="21"/>
          <w:szCs w:val="21"/>
        </w:rPr>
        <w:t xml:space="preserve">営業者は、同一の対象銘柄について同一の四半期に本件在庫および自己勘定在庫の双方を売却した場合において、本件在庫に係る実現単価が自己勘定在庫に係る実現単価を下回らないようにしなければならない。</w:t>
      </w:r>
    </w:p>
    <w:p>
      <w:pPr>
        <w:spacing w:after="100" w:before="260" w:line="300"/>
      </w:pPr>
      <w:r>
        <w:rPr>
          <w:rFonts w:ascii="Yu Gothic" w:cs="Yu Gothic" w:eastAsia="Yu Gothic" w:hAnsi="Yu Gothic"/>
          <w:b/>
          <w:bCs/>
          <w:sz w:val="21"/>
          <w:szCs w:val="21"/>
        </w:rPr>
        <w:t xml:space="preserve">第7条（差額の補填）</w:t>
      </w:r>
    </w:p>
    <w:p>
      <w:pPr>
        <w:spacing w:after="100" w:before="0" w:line="300"/>
        <w:ind w:left="403" w:hanging="403"/>
      </w:pPr>
      <w:r>
        <w:rPr>
          <w:rFonts w:ascii="Yu Mincho" w:cs="Yu Mincho" w:eastAsia="Yu Mincho" w:hAnsi="Yu Mincho"/>
          <w:sz w:val="21"/>
          <w:szCs w:val="21"/>
        </w:rPr>
        <w:t xml:space="preserve">1　前条の規定に反し、本件在庫に係る実現単価が自己勘定在庫に係る実現単価を下回った場合、営業者は、その差額に当該四半期における本件在庫の売却本数を乗じて得られる金額を、本匿名組合に対して支払うものとする。</w:t>
      </w:r>
    </w:p>
    <w:p>
      <w:pPr>
        <w:spacing w:after="100" w:before="0" w:line="300"/>
        <w:ind w:left="403" w:hanging="403"/>
      </w:pPr>
      <w:r>
        <w:rPr>
          <w:rFonts w:ascii="Yu Mincho" w:cs="Yu Mincho" w:eastAsia="Yu Mincho" w:hAnsi="Yu Mincho"/>
          <w:sz w:val="21"/>
          <w:szCs w:val="21"/>
        </w:rPr>
        <w:t xml:space="preserve">2　前項の支払は、当該四半期に係る別紙2第1条の報告書の提出後30日以内に行うものとする。</w:t>
      </w:r>
    </w:p>
    <w:p>
      <w:pPr>
        <w:spacing w:after="100" w:before="260" w:line="300"/>
      </w:pPr>
      <w:r>
        <w:rPr>
          <w:rFonts w:ascii="Yu Gothic" w:cs="Yu Gothic" w:eastAsia="Yu Gothic" w:hAnsi="Yu Gothic"/>
          <w:b/>
          <w:bCs/>
          <w:sz w:val="21"/>
          <w:szCs w:val="21"/>
        </w:rPr>
        <w:t xml:space="preserve">第8条（配分台帳）</w:t>
      </w:r>
    </w:p>
    <w:p>
      <w:pPr>
        <w:spacing w:after="100" w:before="0" w:line="300"/>
        <w:ind w:left="403" w:hanging="403"/>
      </w:pPr>
      <w:r>
        <w:rPr>
          <w:rFonts w:ascii="Yu Mincho" w:cs="Yu Mincho" w:eastAsia="Yu Mincho" w:hAnsi="Yu Mincho"/>
          <w:sz w:val="21"/>
          <w:szCs w:val="21"/>
        </w:rPr>
        <w:t xml:space="preserve">1　営業者は、対象銘柄ごとに、本件在庫および自己勘定在庫のそれぞれについて、期首数量、取得数量、取得単価、売却数量、売却単価および期末数量を記録した台帳（以下「配分台帳」という。）を作成し、維持するものとする。</w:t>
      </w:r>
    </w:p>
    <w:p>
      <w:pPr>
        <w:spacing w:after="100" w:before="0" w:line="300"/>
        <w:ind w:left="403" w:hanging="403"/>
      </w:pPr>
      <w:r>
        <w:rPr>
          <w:rFonts w:ascii="Yu Mincho" w:cs="Yu Mincho" w:eastAsia="Yu Mincho" w:hAnsi="Yu Mincho"/>
          <w:sz w:val="21"/>
          <w:szCs w:val="21"/>
        </w:rPr>
        <w:t xml:space="preserve">2　配分台帳には、対象銘柄ごとの累計売却数量の配分比率および第3条第1項の比率からの乖離を記載するものとする。</w:t>
      </w:r>
    </w:p>
    <w:p>
      <w:pPr>
        <w:spacing w:after="100" w:before="0" w:line="300"/>
        <w:ind w:left="403" w:hanging="403"/>
      </w:pPr>
      <w:r>
        <w:rPr>
          <w:rFonts w:ascii="Yu Mincho" w:cs="Yu Mincho" w:eastAsia="Yu Mincho" w:hAnsi="Yu Mincho"/>
          <w:sz w:val="21"/>
          <w:szCs w:val="21"/>
        </w:rPr>
        <w:t xml:space="preserve">3　営業者は、四半期ごとに配分台帳を匿名組合員に開示するものとする。</w:t>
      </w:r>
    </w:p>
    <w:p>
      <w:pPr>
        <w:spacing w:after="100" w:before="260" w:line="300"/>
      </w:pPr>
      <w:r>
        <w:rPr>
          <w:rFonts w:ascii="Yu Gothic" w:cs="Yu Gothic" w:eastAsia="Yu Gothic" w:hAnsi="Yu Gothic"/>
          <w:b/>
          <w:bCs/>
          <w:sz w:val="21"/>
          <w:szCs w:val="21"/>
        </w:rPr>
        <w:t xml:space="preserve">第9条（出庫指示の自動割当）</w:t>
      </w:r>
    </w:p>
    <w:p>
      <w:pPr>
        <w:spacing w:after="100" w:before="0" w:line="300"/>
        <w:ind w:left="403" w:hanging="403"/>
      </w:pPr>
      <w:r>
        <w:rPr>
          <w:rFonts w:ascii="Yu Mincho" w:cs="Yu Mincho" w:eastAsia="Yu Mincho" w:hAnsi="Yu Mincho"/>
          <w:sz w:val="21"/>
          <w:szCs w:val="21"/>
        </w:rPr>
        <w:t xml:space="preserve">1　営業者は、本件在庫および自己勘定在庫のいずれから出庫するかの決定を、第3条に定める規則に基づき情報システムにより自動的に行うものとし、担当者の裁量によらない運用とする。</w:t>
      </w:r>
    </w:p>
    <w:p>
      <w:pPr>
        <w:spacing w:after="100" w:before="0" w:line="300"/>
        <w:ind w:left="403" w:hanging="403"/>
      </w:pPr>
      <w:r>
        <w:rPr>
          <w:rFonts w:ascii="Yu Mincho" w:cs="Yu Mincho" w:eastAsia="Yu Mincho" w:hAnsi="Yu Mincho"/>
          <w:sz w:val="21"/>
          <w:szCs w:val="21"/>
        </w:rPr>
        <w:t xml:space="preserve">2　担当者が前項の決定を変更する場合、営業者は、その理由を記録し、配分台帳に記載するものとする。</w:t>
      </w:r>
    </w:p>
    <w:p>
      <w:pPr>
        <w:spacing w:after="100" w:before="260" w:line="300"/>
      </w:pPr>
      <w:r>
        <w:rPr>
          <w:rFonts w:ascii="Yu Gothic" w:cs="Yu Gothic" w:eastAsia="Yu Gothic" w:hAnsi="Yu Gothic"/>
          <w:b/>
          <w:bCs/>
          <w:sz w:val="21"/>
          <w:szCs w:val="21"/>
        </w:rPr>
        <w:t xml:space="preserve">第10条（分別保管）</w:t>
      </w:r>
    </w:p>
    <w:p>
      <w:pPr>
        <w:spacing w:after="100" w:before="0" w:line="300"/>
        <w:ind w:left="403" w:hanging="403"/>
      </w:pPr>
      <w:r>
        <w:rPr>
          <w:rFonts w:ascii="Yu Mincho" w:cs="Yu Mincho" w:eastAsia="Yu Mincho" w:hAnsi="Yu Mincho"/>
          <w:sz w:val="21"/>
          <w:szCs w:val="21"/>
        </w:rPr>
        <w:t xml:space="preserve">1　営業者は、本件在庫を自己勘定在庫と区分されたロケーションにおいて保管し、本件在庫であることを識別できる表示を付すものとする。</w:t>
      </w:r>
    </w:p>
    <w:p>
      <w:pPr>
        <w:spacing w:after="100" w:before="0" w:line="300"/>
        <w:ind w:left="403" w:hanging="403"/>
      </w:pPr>
      <w:r>
        <w:rPr>
          <w:rFonts w:ascii="Yu Mincho" w:cs="Yu Mincho" w:eastAsia="Yu Mincho" w:hAnsi="Yu Mincho"/>
          <w:sz w:val="21"/>
          <w:szCs w:val="21"/>
        </w:rPr>
        <w:t xml:space="preserve">2　営業者は、四半期ごとに第三者による実地棚卸を実施し、その結果を匿名組合員に報告するものとする。</w:t>
      </w:r>
    </w:p>
    <w:p>
      <w:pPr>
        <w:spacing w:after="100" w:before="260" w:line="300"/>
      </w:pPr>
      <w:r>
        <w:rPr>
          <w:rFonts w:ascii="Yu Gothic" w:cs="Yu Gothic" w:eastAsia="Yu Gothic" w:hAnsi="Yu Gothic"/>
          <w:b/>
          <w:bCs/>
          <w:sz w:val="21"/>
          <w:szCs w:val="21"/>
        </w:rPr>
        <w:t xml:space="preserve">第11条（遵守状況の検証）</w:t>
      </w:r>
    </w:p>
    <w:p>
      <w:pPr>
        <w:spacing w:after="100" w:before="0" w:line="300"/>
        <w:ind w:left="403"/>
      </w:pPr>
      <w:r>
        <w:rPr>
          <w:rFonts w:ascii="Yu Mincho" w:cs="Yu Mincho" w:eastAsia="Yu Mincho" w:hAnsi="Yu Mincho"/>
          <w:sz w:val="21"/>
          <w:szCs w:val="21"/>
        </w:rPr>
        <w:t xml:space="preserve">本別紙に定める取扱いの遵守状況は、公認会計士による合意された手続の対象に含めるものとし、営業者は、年1回、その報告書を匿名組合員に提出するものとする。</w:t>
      </w:r>
    </w:p>
    <w:p>
      <w:pPr>
        <w:spacing w:after="100" w:before="260" w:line="300"/>
      </w:pPr>
      <w:r>
        <w:rPr>
          <w:rFonts w:ascii="Yu Gothic" w:cs="Yu Gothic" w:eastAsia="Yu Gothic" w:hAnsi="Yu Gothic"/>
          <w:b/>
          <w:bCs/>
          <w:sz w:val="21"/>
          <w:szCs w:val="21"/>
        </w:rPr>
        <w:t xml:space="preserve">第12条（違反時の是正）</w:t>
      </w:r>
    </w:p>
    <w:p>
      <w:pPr>
        <w:spacing w:after="100" w:before="0" w:line="300"/>
        <w:ind w:left="403"/>
      </w:pPr>
      <w:r>
        <w:rPr>
          <w:rFonts w:ascii="Yu Mincho" w:cs="Yu Mincho" w:eastAsia="Yu Mincho" w:hAnsi="Yu Mincho"/>
          <w:sz w:val="21"/>
          <w:szCs w:val="21"/>
        </w:rPr>
        <w:t xml:space="preserve">営業者は、本別紙に定める取扱いに違反した場合、遅滞なく匿名組合員に報告するとともに、是正措置の内容およびその実施時期を書面により提示するものとする。</w:t>
      </w:r>
    </w:p>
    <w:p>
      <w:r>
        <w:br w:type="page"/>
      </w:r>
    </w:p>
    <w:p>
      <w:pPr>
        <w:spacing w:after="60" w:before="0"/>
      </w:pPr>
      <w:r>
        <w:rPr>
          <w:rFonts w:ascii="Yu Gothic" w:cs="Yu Gothic" w:eastAsia="Yu Gothic" w:hAnsi="Yu Gothic"/>
          <w:b/>
          <w:bCs/>
          <w:color w:val="6E5730"/>
          <w:sz w:val="20"/>
          <w:szCs w:val="20"/>
        </w:rPr>
        <w:t xml:space="preserve">別紙 2</w:t>
      </w:r>
    </w:p>
    <w:p>
      <w:pPr>
        <w:pBdr>
          <w:bottom w:val="single" w:color="A78450" w:sz="6" w:space="6"/>
        </w:pBdr>
        <w:spacing w:after="240" w:before="0"/>
      </w:pPr>
      <w:r>
        <w:rPr>
          <w:rFonts w:ascii="Yu Mincho" w:cs="Yu Mincho" w:eastAsia="Yu Mincho" w:hAnsi="Yu Mincho"/>
          <w:b/>
          <w:bCs/>
          <w:sz w:val="30"/>
          <w:szCs w:val="30"/>
        </w:rPr>
        <w:t xml:space="preserve">情報開示および報告事項</w:t>
      </w:r>
    </w:p>
    <w:p>
      <w:pPr>
        <w:spacing w:after="100" w:before="260" w:line="300"/>
      </w:pPr>
      <w:r>
        <w:rPr>
          <w:rFonts w:ascii="Yu Gothic" w:cs="Yu Gothic" w:eastAsia="Yu Gothic" w:hAnsi="Yu Gothic"/>
          <w:b/>
          <w:bCs/>
          <w:sz w:val="21"/>
          <w:szCs w:val="21"/>
        </w:rPr>
        <w:t xml:space="preserve">第1条（四半期報告）</w:t>
      </w:r>
    </w:p>
    <w:p>
      <w:pPr>
        <w:spacing w:after="100" w:before="0" w:line="300"/>
        <w:ind w:left="403"/>
      </w:pPr>
      <w:r>
        <w:rPr>
          <w:rFonts w:ascii="Yu Mincho" w:cs="Yu Mincho" w:eastAsia="Yu Mincho" w:hAnsi="Yu Mincho"/>
          <w:sz w:val="21"/>
          <w:szCs w:val="21"/>
        </w:rPr>
        <w:t xml:space="preserve">営業者は、各四半期の末日から45日以内に、次に掲げる事項を記載した報告書を匿名組合員に提出するものとする。</w:t>
      </w:r>
    </w:p>
    <w:p>
      <w:pPr>
        <w:spacing w:after="80" w:before="0" w:line="300"/>
        <w:ind w:left="892" w:hanging="489"/>
      </w:pPr>
      <w:r>
        <w:rPr>
          <w:rFonts w:ascii="Yu Mincho" w:cs="Yu Mincho" w:eastAsia="Yu Mincho" w:hAnsi="Yu Mincho"/>
          <w:sz w:val="21"/>
          <w:szCs w:val="21"/>
        </w:rPr>
        <w:t xml:space="preserve">(1)　損益計算書、貸借対照表および資金収支計算書</w:t>
      </w:r>
    </w:p>
    <w:p>
      <w:pPr>
        <w:spacing w:after="80" w:before="0" w:line="300"/>
        <w:ind w:left="892" w:hanging="489"/>
      </w:pPr>
      <w:r>
        <w:rPr>
          <w:rFonts w:ascii="Yu Mincho" w:cs="Yu Mincho" w:eastAsia="Yu Mincho" w:hAnsi="Yu Mincho"/>
          <w:sz w:val="21"/>
          <w:szCs w:val="21"/>
        </w:rPr>
        <w:t xml:space="preserve">(2)　対象銘柄ごとの仕入数量、仕入単価、販売数量、販売単価および在庫数量</w:t>
      </w:r>
    </w:p>
    <w:p>
      <w:pPr>
        <w:spacing w:after="80" w:before="0" w:line="300"/>
        <w:ind w:left="892" w:hanging="489"/>
      </w:pPr>
      <w:r>
        <w:rPr>
          <w:rFonts w:ascii="Yu Mincho" w:cs="Yu Mincho" w:eastAsia="Yu Mincho" w:hAnsi="Yu Mincho"/>
          <w:sz w:val="21"/>
          <w:szCs w:val="21"/>
        </w:rPr>
        <w:t xml:space="preserve">(3)　在庫明細および帳簿価額</w:t>
      </w:r>
    </w:p>
    <w:p>
      <w:pPr>
        <w:spacing w:after="80" w:before="0" w:line="300"/>
        <w:ind w:left="892" w:hanging="489"/>
      </w:pPr>
      <w:r>
        <w:rPr>
          <w:rFonts w:ascii="Yu Mincho" w:cs="Yu Mincho" w:eastAsia="Yu Mincho" w:hAnsi="Yu Mincho"/>
          <w:sz w:val="21"/>
          <w:szCs w:val="21"/>
        </w:rPr>
        <w:t xml:space="preserve">(4)　本匿名組合に係る銀行口座の残高および主要な支払内容</w:t>
      </w:r>
    </w:p>
    <w:p>
      <w:pPr>
        <w:spacing w:after="80" w:before="0" w:line="300"/>
        <w:ind w:left="892" w:hanging="489"/>
      </w:pPr>
      <w:r>
        <w:rPr>
          <w:rFonts w:ascii="Yu Mincho" w:cs="Yu Mincho" w:eastAsia="Yu Mincho" w:hAnsi="Yu Mincho"/>
          <w:sz w:val="21"/>
          <w:szCs w:val="21"/>
        </w:rPr>
        <w:t xml:space="preserve">(5)　営業者またはその関係会社との取引の内容、金額および取引条件</w:t>
      </w:r>
    </w:p>
    <w:p>
      <w:pPr>
        <w:spacing w:after="80" w:before="0" w:line="300"/>
        <w:ind w:left="892" w:hanging="489"/>
      </w:pPr>
      <w:r>
        <w:rPr>
          <w:rFonts w:ascii="Yu Mincho" w:cs="Yu Mincho" w:eastAsia="Yu Mincho" w:hAnsi="Yu Mincho"/>
          <w:sz w:val="21"/>
          <w:szCs w:val="21"/>
        </w:rPr>
        <w:t xml:space="preserve">(6)　別紙1第8条に定める配分台帳</w:t>
      </w:r>
    </w:p>
    <w:p>
      <w:pPr>
        <w:spacing w:after="80" w:before="0" w:line="300"/>
        <w:ind w:left="892" w:hanging="489"/>
      </w:pPr>
      <w:r>
        <w:rPr>
          <w:rFonts w:ascii="Yu Mincho" w:cs="Yu Mincho" w:eastAsia="Yu Mincho" w:hAnsi="Yu Mincho"/>
          <w:sz w:val="21"/>
          <w:szCs w:val="21"/>
        </w:rPr>
        <w:t xml:space="preserve">(7)　在庫回転期間の実績および運用目標との差異ならびにその要因</w:t>
      </w:r>
    </w:p>
    <w:p>
      <w:pPr>
        <w:spacing w:after="80" w:before="0" w:line="300"/>
        <w:ind w:left="892" w:hanging="489"/>
      </w:pPr>
      <w:r>
        <w:rPr>
          <w:rFonts w:ascii="Yu Mincho" w:cs="Yu Mincho" w:eastAsia="Yu Mincho" w:hAnsi="Yu Mincho"/>
          <w:sz w:val="21"/>
          <w:szCs w:val="21"/>
        </w:rPr>
        <w:t xml:space="preserve">(8)　販売チャネルごとの販売実績および変動販売費の実績</w:t>
      </w:r>
    </w:p>
    <w:p>
      <w:pPr>
        <w:spacing w:after="80" w:before="0" w:line="300"/>
        <w:ind w:left="892" w:hanging="489"/>
      </w:pPr>
      <w:r>
        <w:rPr>
          <w:rFonts w:ascii="Yu Mincho" w:cs="Yu Mincho" w:eastAsia="Yu Mincho" w:hAnsi="Yu Mincho"/>
          <w:sz w:val="21"/>
          <w:szCs w:val="21"/>
        </w:rPr>
        <w:t xml:space="preserve">(9)　事業の進捗状況</w:t>
      </w:r>
    </w:p>
    <w:p>
      <w:pPr>
        <w:spacing w:after="100" w:before="260" w:line="300"/>
      </w:pPr>
      <w:r>
        <w:rPr>
          <w:rFonts w:ascii="Yu Gothic" w:cs="Yu Gothic" w:eastAsia="Yu Gothic" w:hAnsi="Yu Gothic"/>
          <w:b/>
          <w:bCs/>
          <w:sz w:val="21"/>
          <w:szCs w:val="21"/>
        </w:rPr>
        <w:t xml:space="preserve">第2条（年次報告）</w:t>
      </w:r>
    </w:p>
    <w:p>
      <w:pPr>
        <w:spacing w:after="100" w:before="0" w:line="300"/>
        <w:ind w:left="403"/>
      </w:pPr>
      <w:r>
        <w:rPr>
          <w:rFonts w:ascii="Yu Mincho" w:cs="Yu Mincho" w:eastAsia="Yu Mincho" w:hAnsi="Yu Mincho"/>
          <w:sz w:val="21"/>
          <w:szCs w:val="21"/>
        </w:rPr>
        <w:t xml:space="preserve">営業者は、各事業年度の終了後90日以内に、当該事業年度に係る決算書類および公認会計士による合意された手続に係る報告書を匿名組合員に提出するものとする。</w:t>
      </w:r>
    </w:p>
    <w:p>
      <w:pPr>
        <w:spacing w:after="100" w:before="260" w:line="300"/>
      </w:pPr>
      <w:r>
        <w:rPr>
          <w:rFonts w:ascii="Yu Gothic" w:cs="Yu Gothic" w:eastAsia="Yu Gothic" w:hAnsi="Yu Gothic"/>
          <w:b/>
          <w:bCs/>
          <w:sz w:val="21"/>
          <w:szCs w:val="21"/>
        </w:rPr>
        <w:t xml:space="preserve">第3条（随時報告）</w:t>
      </w:r>
    </w:p>
    <w:p>
      <w:pPr>
        <w:spacing w:after="100" w:before="0" w:line="300"/>
        <w:ind w:left="403"/>
      </w:pPr>
      <w:r>
        <w:rPr>
          <w:rFonts w:ascii="Yu Mincho" w:cs="Yu Mincho" w:eastAsia="Yu Mincho" w:hAnsi="Yu Mincho"/>
          <w:sz w:val="21"/>
          <w:szCs w:val="21"/>
        </w:rPr>
        <w:t xml:space="preserve">営業者は、次に掲げる事由が生じた場合、当該事由を知った日から5営業日以内に、その内容および対応方針を匿名組合員に報告するものとする。</w:t>
      </w:r>
    </w:p>
    <w:p>
      <w:pPr>
        <w:spacing w:after="80" w:before="0" w:line="300"/>
        <w:ind w:left="892" w:hanging="489"/>
      </w:pPr>
      <w:r>
        <w:rPr>
          <w:rFonts w:ascii="Yu Mincho" w:cs="Yu Mincho" w:eastAsia="Yu Mincho" w:hAnsi="Yu Mincho"/>
          <w:sz w:val="21"/>
          <w:szCs w:val="21"/>
        </w:rPr>
        <w:t xml:space="preserve">(1)　事業計画の重大な変更</w:t>
      </w:r>
    </w:p>
    <w:p>
      <w:pPr>
        <w:spacing w:after="80" w:before="0" w:line="300"/>
        <w:ind w:left="892" w:hanging="489"/>
      </w:pPr>
      <w:r>
        <w:rPr>
          <w:rFonts w:ascii="Yu Mincho" w:cs="Yu Mincho" w:eastAsia="Yu Mincho" w:hAnsi="Yu Mincho"/>
          <w:sz w:val="21"/>
          <w:szCs w:val="21"/>
        </w:rPr>
        <w:t xml:space="preserve">(2)　一の事由につき●円を超える損失の発生またはそのおそれ</w:t>
      </w:r>
    </w:p>
    <w:p>
      <w:pPr>
        <w:spacing w:after="80" w:before="0" w:line="300"/>
        <w:ind w:left="892" w:hanging="489"/>
      </w:pPr>
      <w:r>
        <w:rPr>
          <w:rFonts w:ascii="Yu Mincho" w:cs="Yu Mincho" w:eastAsia="Yu Mincho" w:hAnsi="Yu Mincho"/>
          <w:sz w:val="21"/>
          <w:szCs w:val="21"/>
        </w:rPr>
        <w:t xml:space="preserve">(3)　不正または法令違反の発生またはそのおそれ</w:t>
      </w:r>
    </w:p>
    <w:p>
      <w:pPr>
        <w:spacing w:after="80" w:before="0" w:line="300"/>
        <w:ind w:left="892" w:hanging="489"/>
      </w:pPr>
      <w:r>
        <w:rPr>
          <w:rFonts w:ascii="Yu Mincho" w:cs="Yu Mincho" w:eastAsia="Yu Mincho" w:hAnsi="Yu Mincho"/>
          <w:sz w:val="21"/>
          <w:szCs w:val="21"/>
        </w:rPr>
        <w:t xml:space="preserve">(4)　酒類販売業免許の取消、失効その他の変更</w:t>
      </w:r>
    </w:p>
    <w:p>
      <w:pPr>
        <w:spacing w:after="80" w:before="0" w:line="300"/>
        <w:ind w:left="892" w:hanging="489"/>
      </w:pPr>
      <w:r>
        <w:rPr>
          <w:rFonts w:ascii="Yu Mincho" w:cs="Yu Mincho" w:eastAsia="Yu Mincho" w:hAnsi="Yu Mincho"/>
          <w:sz w:val="21"/>
          <w:szCs w:val="21"/>
        </w:rPr>
        <w:t xml:space="preserve">(5)　主要な仕入先または販売先との取引の停止</w:t>
      </w:r>
    </w:p>
    <w:p>
      <w:pPr>
        <w:spacing w:after="80" w:before="0" w:line="300"/>
        <w:ind w:left="892" w:hanging="489"/>
      </w:pPr>
      <w:r>
        <w:rPr>
          <w:rFonts w:ascii="Yu Mincho" w:cs="Yu Mincho" w:eastAsia="Yu Mincho" w:hAnsi="Yu Mincho"/>
          <w:sz w:val="21"/>
          <w:szCs w:val="21"/>
        </w:rPr>
        <w:t xml:space="preserve">(6)　保管中の本件在庫に係る重大な滅失、毀損または盗難</w:t>
      </w:r>
    </w:p>
    <w:p>
      <w:pPr>
        <w:spacing w:after="80" w:before="0" w:line="300"/>
        <w:ind w:left="892" w:hanging="489"/>
      </w:pPr>
      <w:r>
        <w:rPr>
          <w:rFonts w:ascii="Yu Mincho" w:cs="Yu Mincho" w:eastAsia="Yu Mincho" w:hAnsi="Yu Mincho"/>
          <w:sz w:val="21"/>
          <w:szCs w:val="21"/>
        </w:rPr>
        <w:t xml:space="preserve">(7)　その他本匿名組合の財産または損益に重大な影響を及ぼす事由</w:t>
      </w:r>
    </w:p>
    <w:p>
      <w:pPr>
        <w:spacing w:after="100" w:before="260" w:line="300"/>
      </w:pPr>
      <w:r>
        <w:rPr>
          <w:rFonts w:ascii="Yu Gothic" w:cs="Yu Gothic" w:eastAsia="Yu Gothic" w:hAnsi="Yu Gothic"/>
          <w:b/>
          <w:bCs/>
          <w:sz w:val="21"/>
          <w:szCs w:val="21"/>
        </w:rPr>
        <w:t xml:space="preserve">第4条（事前承認事項）</w:t>
      </w:r>
    </w:p>
    <w:p>
      <w:pPr>
        <w:spacing w:after="100" w:before="0" w:line="300"/>
        <w:ind w:left="403"/>
      </w:pPr>
      <w:r>
        <w:rPr>
          <w:rFonts w:ascii="Yu Mincho" w:cs="Yu Mincho" w:eastAsia="Yu Mincho" w:hAnsi="Yu Mincho"/>
          <w:sz w:val="21"/>
          <w:szCs w:val="21"/>
        </w:rPr>
        <w:t xml:space="preserve">営業者は、次に掲げる行為を行う場合、あらかじめ匿名組合員の書面による承認を得るものとする。</w:t>
      </w:r>
    </w:p>
    <w:p>
      <w:pPr>
        <w:spacing w:after="80" w:before="0" w:line="300"/>
        <w:ind w:left="892" w:hanging="489"/>
      </w:pPr>
      <w:r>
        <w:rPr>
          <w:rFonts w:ascii="Yu Mincho" w:cs="Yu Mincho" w:eastAsia="Yu Mincho" w:hAnsi="Yu Mincho"/>
          <w:sz w:val="21"/>
          <w:szCs w:val="21"/>
        </w:rPr>
        <w:t xml:space="preserve">(1)　一の取引につき●円を超える仕入または売却</w:t>
      </w:r>
    </w:p>
    <w:p>
      <w:pPr>
        <w:spacing w:after="80" w:before="0" w:line="300"/>
        <w:ind w:left="892" w:hanging="489"/>
      </w:pPr>
      <w:r>
        <w:rPr>
          <w:rFonts w:ascii="Yu Mincho" w:cs="Yu Mincho" w:eastAsia="Yu Mincho" w:hAnsi="Yu Mincho"/>
          <w:sz w:val="21"/>
          <w:szCs w:val="21"/>
        </w:rPr>
        <w:t xml:space="preserve">(2)　借入れその他の資金調達および担保の設定</w:t>
      </w:r>
    </w:p>
    <w:p>
      <w:pPr>
        <w:spacing w:after="80" w:before="0" w:line="300"/>
        <w:ind w:left="892" w:hanging="489"/>
      </w:pPr>
      <w:r>
        <w:rPr>
          <w:rFonts w:ascii="Yu Mincho" w:cs="Yu Mincho" w:eastAsia="Yu Mincho" w:hAnsi="Yu Mincho"/>
          <w:sz w:val="21"/>
          <w:szCs w:val="21"/>
        </w:rPr>
        <w:t xml:space="preserve">(3)　本匿名組合の財産による追加投資</w:t>
      </w:r>
    </w:p>
    <w:p>
      <w:pPr>
        <w:spacing w:after="80" w:before="0" w:line="300"/>
        <w:ind w:left="892" w:hanging="489"/>
      </w:pPr>
      <w:r>
        <w:rPr>
          <w:rFonts w:ascii="Yu Mincho" w:cs="Yu Mincho" w:eastAsia="Yu Mincho" w:hAnsi="Yu Mincho"/>
          <w:sz w:val="21"/>
          <w:szCs w:val="21"/>
        </w:rPr>
        <w:t xml:space="preserve">(4)　本契約および本匿名組合に係る関連契約の変更</w:t>
      </w:r>
    </w:p>
    <w:p>
      <w:pPr>
        <w:spacing w:after="80" w:before="0" w:line="300"/>
        <w:ind w:left="892" w:hanging="489"/>
      </w:pPr>
      <w:r>
        <w:rPr>
          <w:rFonts w:ascii="Yu Mincho" w:cs="Yu Mincho" w:eastAsia="Yu Mincho" w:hAnsi="Yu Mincho"/>
          <w:sz w:val="21"/>
          <w:szCs w:val="21"/>
        </w:rPr>
        <w:t xml:space="preserve">(5)　運用方針、在庫回転期間に係る運用目標または販売チャネル構成の重大な変更</w:t>
      </w:r>
    </w:p>
    <w:p>
      <w:pPr>
        <w:spacing w:after="80" w:before="0" w:line="300"/>
        <w:ind w:left="892" w:hanging="489"/>
      </w:pPr>
      <w:r>
        <w:rPr>
          <w:rFonts w:ascii="Yu Mincho" w:cs="Yu Mincho" w:eastAsia="Yu Mincho" w:hAnsi="Yu Mincho"/>
          <w:sz w:val="21"/>
          <w:szCs w:val="21"/>
        </w:rPr>
        <w:t xml:space="preserve">(6)　営業者またはその関係会社との間の取引であって別紙3第4条に定めるもの</w:t>
      </w:r>
    </w:p>
    <w:p>
      <w:pPr>
        <w:spacing w:after="100" w:before="260" w:line="300"/>
      </w:pPr>
      <w:r>
        <w:rPr>
          <w:rFonts w:ascii="Yu Gothic" w:cs="Yu Gothic" w:eastAsia="Yu Gothic" w:hAnsi="Yu Gothic"/>
          <w:b/>
          <w:bCs/>
          <w:sz w:val="21"/>
          <w:szCs w:val="21"/>
        </w:rPr>
        <w:t xml:space="preserve">第5条（閲覧および調査）</w:t>
      </w:r>
    </w:p>
    <w:p>
      <w:pPr>
        <w:spacing w:after="100" w:before="0" w:line="300"/>
        <w:ind w:left="403" w:hanging="403"/>
      </w:pPr>
      <w:r>
        <w:rPr>
          <w:rFonts w:ascii="Yu Mincho" w:cs="Yu Mincho" w:eastAsia="Yu Mincho" w:hAnsi="Yu Mincho"/>
          <w:sz w:val="21"/>
          <w:szCs w:val="21"/>
        </w:rPr>
        <w:t xml:space="preserve">1　匿名組合員は、営業者に対し、本匿名組合に係る会計帳簿、請求書、契約書、銀行取引記録その他の資料の閲覧および謄写を求めることができる。</w:t>
      </w:r>
    </w:p>
    <w:p>
      <w:pPr>
        <w:spacing w:after="100" w:before="0" w:line="300"/>
        <w:ind w:left="403" w:hanging="403"/>
      </w:pPr>
      <w:r>
        <w:rPr>
          <w:rFonts w:ascii="Yu Mincho" w:cs="Yu Mincho" w:eastAsia="Yu Mincho" w:hAnsi="Yu Mincho"/>
          <w:sz w:val="21"/>
          <w:szCs w:val="21"/>
        </w:rPr>
        <w:t xml:space="preserve">2　匿名組合員は、あらかじめ営業者に通知したうえで、本件在庫が保管される倉庫について実地調査を行うことができる。</w:t>
      </w:r>
    </w:p>
    <w:p>
      <w:pPr>
        <w:spacing w:after="100" w:before="0" w:line="300"/>
        <w:ind w:left="403" w:hanging="403"/>
      </w:pPr>
      <w:r>
        <w:rPr>
          <w:rFonts w:ascii="Yu Mincho" w:cs="Yu Mincho" w:eastAsia="Yu Mincho" w:hAnsi="Yu Mincho"/>
          <w:sz w:val="21"/>
          <w:szCs w:val="21"/>
        </w:rPr>
        <w:t xml:space="preserve">3　営業者は、前2項の求めに対し、正当な理由なくこれを拒んではならない。</w:t>
      </w:r>
    </w:p>
    <w:p>
      <w:pPr>
        <w:spacing w:after="100" w:before="260" w:line="300"/>
      </w:pPr>
      <w:r>
        <w:rPr>
          <w:rFonts w:ascii="Yu Gothic" w:cs="Yu Gothic" w:eastAsia="Yu Gothic" w:hAnsi="Yu Gothic"/>
          <w:b/>
          <w:bCs/>
          <w:sz w:val="21"/>
          <w:szCs w:val="21"/>
        </w:rPr>
        <w:t xml:space="preserve">第6条（報告様式）</w:t>
      </w:r>
    </w:p>
    <w:p>
      <w:pPr>
        <w:spacing w:after="100" w:before="0" w:line="300"/>
        <w:ind w:left="403"/>
      </w:pPr>
      <w:r>
        <w:rPr>
          <w:rFonts w:ascii="Yu Mincho" w:cs="Yu Mincho" w:eastAsia="Yu Mincho" w:hAnsi="Yu Mincho"/>
          <w:sz w:val="21"/>
          <w:szCs w:val="21"/>
        </w:rPr>
        <w:t xml:space="preserve">第1条および第2条に定める報告の様式は、営業者と匿名組合員との協議により定めるものとし、本匿名組合の期間を通じて継続的に比較可能な形式を維持するものとする。</w:t>
      </w:r>
    </w:p>
    <w:p>
      <w:r>
        <w:br w:type="page"/>
      </w:r>
    </w:p>
    <w:p>
      <w:pPr>
        <w:spacing w:after="60" w:before="0"/>
      </w:pPr>
      <w:r>
        <w:rPr>
          <w:rFonts w:ascii="Yu Gothic" w:cs="Yu Gothic" w:eastAsia="Yu Gothic" w:hAnsi="Yu Gothic"/>
          <w:b/>
          <w:bCs/>
          <w:color w:val="6E5730"/>
          <w:sz w:val="20"/>
          <w:szCs w:val="20"/>
        </w:rPr>
        <w:t xml:space="preserve">別紙 3</w:t>
      </w:r>
    </w:p>
    <w:p>
      <w:pPr>
        <w:pBdr>
          <w:bottom w:val="single" w:color="A78450" w:sz="6" w:space="6"/>
        </w:pBdr>
        <w:spacing w:after="240" w:before="0"/>
      </w:pPr>
      <w:r>
        <w:rPr>
          <w:rFonts w:ascii="Yu Mincho" w:cs="Yu Mincho" w:eastAsia="Yu Mincho" w:hAnsi="Yu Mincho"/>
          <w:b/>
          <w:bCs/>
          <w:sz w:val="30"/>
          <w:szCs w:val="30"/>
        </w:rPr>
        <w:t xml:space="preserve">利益相反取引の管理</w:t>
      </w:r>
    </w:p>
    <w:p>
      <w:pPr>
        <w:spacing w:after="100" w:before="260" w:line="300"/>
      </w:pPr>
      <w:r>
        <w:rPr>
          <w:rFonts w:ascii="Yu Gothic" w:cs="Yu Gothic" w:eastAsia="Yu Gothic" w:hAnsi="Yu Gothic"/>
          <w:b/>
          <w:bCs/>
          <w:sz w:val="21"/>
          <w:szCs w:val="21"/>
        </w:rPr>
        <w:t xml:space="preserve">第1条（独立企業間価格の原則）</w:t>
      </w:r>
    </w:p>
    <w:p>
      <w:pPr>
        <w:spacing w:after="100" w:before="0" w:line="300"/>
        <w:ind w:left="403"/>
      </w:pPr>
      <w:r>
        <w:rPr>
          <w:rFonts w:ascii="Yu Mincho" w:cs="Yu Mincho" w:eastAsia="Yu Mincho" w:hAnsi="Yu Mincho"/>
          <w:sz w:val="21"/>
          <w:szCs w:val="21"/>
        </w:rPr>
        <w:t xml:space="preserve">営業者またはその関係会社と本匿名組合との間の取引は、第三者との間の取引において通常適用される条件と同等の条件によるものとする。</w:t>
      </w:r>
    </w:p>
    <w:p>
      <w:pPr>
        <w:spacing w:after="100" w:before="260" w:line="300"/>
      </w:pPr>
      <w:r>
        <w:rPr>
          <w:rFonts w:ascii="Yu Gothic" w:cs="Yu Gothic" w:eastAsia="Yu Gothic" w:hAnsi="Yu Gothic"/>
          <w:b/>
          <w:bCs/>
          <w:sz w:val="21"/>
          <w:szCs w:val="21"/>
        </w:rPr>
        <w:t xml:space="preserve">第2条（現物の譲渡価格）</w:t>
      </w:r>
    </w:p>
    <w:p>
      <w:pPr>
        <w:spacing w:after="100" w:before="0" w:line="300"/>
        <w:ind w:left="403" w:hanging="403"/>
      </w:pPr>
      <w:r>
        <w:rPr>
          <w:rFonts w:ascii="Yu Mincho" w:cs="Yu Mincho" w:eastAsia="Yu Mincho" w:hAnsi="Yu Mincho"/>
          <w:sz w:val="21"/>
          <w:szCs w:val="21"/>
        </w:rPr>
        <w:t xml:space="preserve">1　営業者が調達したワインを本匿名組合に譲渡する場合の価格は、営業者の取得価額に1パーセントを加算した金額とする。</w:t>
      </w:r>
    </w:p>
    <w:p>
      <w:pPr>
        <w:spacing w:after="100" w:before="0" w:line="300"/>
        <w:ind w:left="403" w:hanging="403"/>
      </w:pPr>
      <w:r>
        <w:rPr>
          <w:rFonts w:ascii="Yu Mincho" w:cs="Yu Mincho" w:eastAsia="Yu Mincho" w:hAnsi="Yu Mincho"/>
          <w:sz w:val="21"/>
          <w:szCs w:val="21"/>
        </w:rPr>
        <w:t xml:space="preserve">2　前項の加算率は、本契約の期間を通じて変更しないものとする。</w:t>
      </w:r>
    </w:p>
    <w:p>
      <w:pPr>
        <w:spacing w:after="100" w:before="0" w:line="300"/>
        <w:ind w:left="403" w:hanging="403"/>
      </w:pPr>
      <w:r>
        <w:rPr>
          <w:rFonts w:ascii="Yu Mincho" w:cs="Yu Mincho" w:eastAsia="Yu Mincho" w:hAnsi="Yu Mincho"/>
          <w:sz w:val="21"/>
          <w:szCs w:val="21"/>
        </w:rPr>
        <w:t xml:space="preserve">3　営業者は、第1項の価格の合理性を説明するため、同種の取引に係る第三者の卸売価格との比較資料を毎事業年度作成し、保存するものとする。</w:t>
      </w:r>
    </w:p>
    <w:p>
      <w:pPr>
        <w:spacing w:after="100" w:before="0" w:line="300"/>
        <w:ind w:left="403" w:hanging="403"/>
      </w:pPr>
      <w:r>
        <w:rPr>
          <w:rFonts w:ascii="Yu Mincho" w:cs="Yu Mincho" w:eastAsia="Yu Mincho" w:hAnsi="Yu Mincho"/>
          <w:sz w:val="21"/>
          <w:szCs w:val="21"/>
        </w:rPr>
        <w:t xml:space="preserve">4　第1項の加算は、営業者が酒類販売業免許に基づく売買の当事者として在庫リスク、与信および入出庫事務を負担することの対価であり、次条に定める成功報酬とは別個のものとする。</w:t>
      </w:r>
    </w:p>
    <w:p>
      <w:pPr>
        <w:spacing w:after="100" w:before="260" w:line="300"/>
      </w:pPr>
      <w:r>
        <w:rPr>
          <w:rFonts w:ascii="Yu Gothic" w:cs="Yu Gothic" w:eastAsia="Yu Gothic" w:hAnsi="Yu Gothic"/>
          <w:b/>
          <w:bCs/>
          <w:sz w:val="21"/>
          <w:szCs w:val="21"/>
        </w:rPr>
        <w:t xml:space="preserve">第3条（営業者の報酬）</w:t>
      </w:r>
    </w:p>
    <w:p>
      <w:pPr>
        <w:spacing w:after="100" w:before="0" w:line="300"/>
        <w:ind w:left="403" w:hanging="403"/>
      </w:pPr>
      <w:r>
        <w:rPr>
          <w:rFonts w:ascii="Yu Mincho" w:cs="Yu Mincho" w:eastAsia="Yu Mincho" w:hAnsi="Yu Mincho"/>
          <w:sz w:val="21"/>
          <w:szCs w:val="21"/>
        </w:rPr>
        <w:t xml:space="preserve">1　営業者が本匿名組合から受領する報酬は、次項に定める成功報酬に限るものとし、営業者は、出資金額または純資産額に比例する期中の管理報酬を受領しない。</w:t>
      </w:r>
    </w:p>
    <w:p>
      <w:pPr>
        <w:spacing w:after="100" w:before="0" w:line="300"/>
        <w:ind w:left="403" w:hanging="403"/>
      </w:pPr>
      <w:r>
        <w:rPr>
          <w:rFonts w:ascii="Yu Mincho" w:cs="Yu Mincho" w:eastAsia="Yu Mincho" w:hAnsi="Yu Mincho"/>
          <w:sz w:val="21"/>
          <w:szCs w:val="21"/>
        </w:rPr>
        <w:t xml:space="preserve">2　成功報酬の額は、本匿名組合の税引前利益のうち匿名組合員の出資金額が本匿名組合の運用総額に占める割合に応じて匿名組合員に帰属する金額（以下「帰属利益」という。）の100分の50に相当する金額とする。</w:t>
      </w:r>
    </w:p>
    <w:p>
      <w:pPr>
        <w:spacing w:after="100" w:before="0" w:line="300"/>
        <w:ind w:left="403" w:hanging="403"/>
      </w:pPr>
      <w:r>
        <w:rPr>
          <w:rFonts w:ascii="Yu Mincho" w:cs="Yu Mincho" w:eastAsia="Yu Mincho" w:hAnsi="Yu Mincho"/>
          <w:sz w:val="21"/>
          <w:szCs w:val="21"/>
        </w:rPr>
        <w:t xml:space="preserve">3　匿名組合員に対する分配額は、帰属利益から前項の成功報酬を控除した金額とする。</w:t>
      </w:r>
    </w:p>
    <w:p>
      <w:pPr>
        <w:spacing w:after="100" w:before="0" w:line="300"/>
        <w:ind w:left="403" w:hanging="403"/>
      </w:pPr>
      <w:r>
        <w:rPr>
          <w:rFonts w:ascii="Yu Mincho" w:cs="Yu Mincho" w:eastAsia="Yu Mincho" w:hAnsi="Yu Mincho"/>
          <w:sz w:val="21"/>
          <w:szCs w:val="21"/>
        </w:rPr>
        <w:t xml:space="preserve">4　本匿名組合が損失を計上した事業年度については、成功報酬は発生しない。過年度の損失が繰り越されている場合、当該損失を回復した後の金額を基準として成功報酬を算定するものとする。</w:t>
      </w:r>
    </w:p>
    <w:p>
      <w:pPr>
        <w:spacing w:after="100" w:before="0" w:line="300"/>
        <w:ind w:left="403" w:hanging="403"/>
      </w:pPr>
      <w:r>
        <w:rPr>
          <w:rFonts w:ascii="Yu Mincho" w:cs="Yu Mincho" w:eastAsia="Yu Mincho" w:hAnsi="Yu Mincho"/>
          <w:sz w:val="21"/>
          <w:szCs w:val="21"/>
        </w:rPr>
        <w:t xml:space="preserve">5　本件ワインの販売、保管の手配その他の運営に係る営業者側の人件費および販売関連費用のうち、別紙2および本契約において本匿名組合の負担と明記されたものを除く費用は、営業者が前項までの報酬の中から負担するものとし、本匿名組合に請求しない。</w:t>
      </w:r>
    </w:p>
    <w:p>
      <w:pPr>
        <w:spacing w:after="100" w:before="0" w:line="300"/>
        <w:ind w:left="403" w:hanging="403"/>
      </w:pPr>
      <w:r>
        <w:rPr>
          <w:rFonts w:ascii="Yu Mincho" w:cs="Yu Mincho" w:eastAsia="Yu Mincho" w:hAnsi="Yu Mincho"/>
          <w:sz w:val="21"/>
          <w:szCs w:val="21"/>
        </w:rPr>
        <w:t xml:space="preserve">6　営業者は、各事業年度の成功報酬の算定根拠を、別紙2第2条に定める年次報告において開示するものとする。</w:t>
      </w:r>
    </w:p>
    <w:p>
      <w:pPr>
        <w:spacing w:after="100" w:before="260" w:line="300"/>
      </w:pPr>
      <w:r>
        <w:rPr>
          <w:rFonts w:ascii="Yu Gothic" w:cs="Yu Gothic" w:eastAsia="Yu Gothic" w:hAnsi="Yu Gothic"/>
          <w:b/>
          <w:bCs/>
          <w:sz w:val="21"/>
          <w:szCs w:val="21"/>
        </w:rPr>
        <w:t xml:space="preserve">第4条（関連当事者取引の事前承認）</w:t>
      </w:r>
    </w:p>
    <w:p>
      <w:pPr>
        <w:spacing w:after="100" w:before="0" w:line="300"/>
        <w:ind w:left="403"/>
      </w:pPr>
      <w:r>
        <w:rPr>
          <w:rFonts w:ascii="Yu Mincho" w:cs="Yu Mincho" w:eastAsia="Yu Mincho" w:hAnsi="Yu Mincho"/>
          <w:sz w:val="21"/>
          <w:szCs w:val="21"/>
        </w:rPr>
        <w:t xml:space="preserve">営業者は、営業者またはその関係会社と本匿名組合との間で、一の取引につき●円を超える取引を行う場合、あらかじめ匿名組合員の書面による承認を得るものとする。ただし、前条に定める現物の譲渡については、この限りでない。</w:t>
      </w:r>
    </w:p>
    <w:p>
      <w:pPr>
        <w:spacing w:after="100" w:before="260" w:line="300"/>
      </w:pPr>
      <w:r>
        <w:rPr>
          <w:rFonts w:ascii="Yu Gothic" w:cs="Yu Gothic" w:eastAsia="Yu Gothic" w:hAnsi="Yu Gothic"/>
          <w:b/>
          <w:bCs/>
          <w:sz w:val="21"/>
          <w:szCs w:val="21"/>
        </w:rPr>
        <w:t xml:space="preserve">第5条（記録の作成および保存）</w:t>
      </w:r>
    </w:p>
    <w:p>
      <w:pPr>
        <w:spacing w:after="100" w:before="0" w:line="300"/>
        <w:ind w:left="403"/>
      </w:pPr>
      <w:r>
        <w:rPr>
          <w:rFonts w:ascii="Yu Mincho" w:cs="Yu Mincho" w:eastAsia="Yu Mincho" w:hAnsi="Yu Mincho"/>
          <w:sz w:val="21"/>
          <w:szCs w:val="21"/>
        </w:rPr>
        <w:t xml:space="preserve">営業者は、営業者またはその関係会社との取引について、取引の内容、金額、取引条件およびその決定根拠を記録し、本契約の終了後●年間保存するものとする。</w:t>
      </w:r>
    </w:p>
    <w:p>
      <w:pPr>
        <w:spacing w:after="100" w:before="260" w:line="300"/>
      </w:pPr>
      <w:r>
        <w:rPr>
          <w:rFonts w:ascii="Yu Gothic" w:cs="Yu Gothic" w:eastAsia="Yu Gothic" w:hAnsi="Yu Gothic"/>
          <w:b/>
          <w:bCs/>
          <w:sz w:val="21"/>
          <w:szCs w:val="21"/>
        </w:rPr>
        <w:t xml:space="preserve">第6条（報告）</w:t>
      </w:r>
    </w:p>
    <w:p>
      <w:pPr>
        <w:spacing w:after="100" w:before="0" w:line="300"/>
        <w:ind w:left="403"/>
      </w:pPr>
      <w:r>
        <w:rPr>
          <w:rFonts w:ascii="Yu Mincho" w:cs="Yu Mincho" w:eastAsia="Yu Mincho" w:hAnsi="Yu Mincho"/>
          <w:sz w:val="21"/>
          <w:szCs w:val="21"/>
        </w:rPr>
        <w:t xml:space="preserve">営業者は、営業者またはその関係会社との取引の内容、金額および取引条件を、別紙2第1条第5号に基づき四半期ごとに匿名組合員に報告するものとする。</w:t>
      </w:r>
    </w:p>
    <w:p>
      <w:pPr>
        <w:spacing w:after="100" w:before="260" w:line="300"/>
      </w:pPr>
      <w:r>
        <w:rPr>
          <w:rFonts w:ascii="Yu Gothic" w:cs="Yu Gothic" w:eastAsia="Yu Gothic" w:hAnsi="Yu Gothic"/>
          <w:b/>
          <w:bCs/>
          <w:sz w:val="21"/>
          <w:szCs w:val="21"/>
        </w:rPr>
        <w:t xml:space="preserve">第7条（在庫配分との関係）</w:t>
      </w:r>
    </w:p>
    <w:p>
      <w:pPr>
        <w:spacing w:after="100" w:before="0" w:line="300"/>
        <w:ind w:left="403"/>
      </w:pPr>
      <w:r>
        <w:rPr>
          <w:rFonts w:ascii="Yu Mincho" w:cs="Yu Mincho" w:eastAsia="Yu Mincho" w:hAnsi="Yu Mincho"/>
          <w:sz w:val="21"/>
          <w:szCs w:val="21"/>
        </w:rPr>
        <w:t xml:space="preserve">本件在庫と自己勘定在庫との間の配分に係る利益相反の管理については、別紙1の定めるところによる。</w:t>
      </w:r>
    </w:p>
    <w:p>
      <w:r>
        <w:br w:type="page"/>
      </w:r>
    </w:p>
    <w:p>
      <w:pPr>
        <w:spacing w:after="60" w:before="0"/>
      </w:pPr>
      <w:r>
        <w:rPr>
          <w:rFonts w:ascii="Yu Gothic" w:cs="Yu Gothic" w:eastAsia="Yu Gothic" w:hAnsi="Yu Gothic"/>
          <w:b/>
          <w:bCs/>
          <w:color w:val="6E5730"/>
          <w:sz w:val="20"/>
          <w:szCs w:val="20"/>
        </w:rPr>
        <w:t xml:space="preserve">参考</w:t>
      </w:r>
    </w:p>
    <w:p>
      <w:pPr>
        <w:pBdr>
          <w:bottom w:val="single" w:color="A78450" w:sz="6" w:space="6"/>
        </w:pBdr>
        <w:spacing w:after="240" w:before="0"/>
      </w:pPr>
      <w:r>
        <w:rPr>
          <w:rFonts w:ascii="Yu Mincho" w:cs="Yu Mincho" w:eastAsia="Yu Mincho" w:hAnsi="Yu Mincho"/>
          <w:b/>
          <w:bCs/>
          <w:sz w:val="30"/>
          <w:szCs w:val="30"/>
        </w:rPr>
        <w:t xml:space="preserve">確定を要する事項</w:t>
      </w:r>
    </w:p>
    <w:p>
      <w:pPr>
        <w:spacing w:after="200" w:before="0" w:line="300"/>
        <w:jc w:val="left"/>
      </w:pPr>
      <w:r>
        <w:rPr>
          <w:rFonts w:ascii="Yu Mincho" w:cs="Yu Mincho" w:eastAsia="Yu Mincho" w:hAnsi="Yu Mincho"/>
          <w:b w:val="false"/>
          <w:bCs w:val="false"/>
          <w:color w:val="000000"/>
          <w:sz w:val="21"/>
          <w:szCs w:val="21"/>
        </w:rPr>
        <w:t xml:space="preserve">本ドラフトにおいて「●」で表示した事項および契約締結前に確定を要する事項は、以下のとおりである。</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【別紙2 第3条(2)】</w:t>
      </w:r>
      <w:r>
        <w:rPr>
          <w:rFonts w:ascii="Yu Mincho" w:cs="Yu Mincho" w:eastAsia="Yu Mincho" w:hAnsi="Yu Mincho"/>
          <w:sz w:val="21"/>
          <w:szCs w:val="21"/>
        </w:rPr>
        <w:t xml:space="preserve">随時報告を要する損失の金額基準</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【別紙2 第4条(1)】</w:t>
      </w:r>
      <w:r>
        <w:rPr>
          <w:rFonts w:ascii="Yu Mincho" w:cs="Yu Mincho" w:eastAsia="Yu Mincho" w:hAnsi="Yu Mincho"/>
          <w:sz w:val="21"/>
          <w:szCs w:val="21"/>
        </w:rPr>
        <w:t xml:space="preserve">事前承認を要する仕入または売却の金額基準</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【別紙3 第4条】</w:t>
      </w:r>
      <w:r>
        <w:rPr>
          <w:rFonts w:ascii="Yu Mincho" w:cs="Yu Mincho" w:eastAsia="Yu Mincho" w:hAnsi="Yu Mincho"/>
          <w:sz w:val="21"/>
          <w:szCs w:val="21"/>
        </w:rPr>
        <w:t xml:space="preserve">事前承認を要する関連当事者取引の金額基準</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【別紙3 第5条】</w:t>
      </w:r>
      <w:r>
        <w:rPr>
          <w:rFonts w:ascii="Yu Mincho" w:cs="Yu Mincho" w:eastAsia="Yu Mincho" w:hAnsi="Yu Mincho"/>
          <w:sz w:val="21"/>
          <w:szCs w:val="21"/>
        </w:rPr>
        <w:t xml:space="preserve">取引記録の保存期間</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【別紙1 第3条(4)】</w:t>
      </w:r>
      <w:r>
        <w:rPr>
          <w:rFonts w:ascii="Yu Mincho" w:cs="Yu Mincho" w:eastAsia="Yu Mincho" w:hAnsi="Yu Mincho"/>
          <w:sz w:val="21"/>
          <w:szCs w:val="21"/>
        </w:rPr>
        <w:t xml:space="preserve">累計配分比率の乖離に係る許容幅</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【別紙1 第4条】</w:t>
      </w:r>
      <w:r>
        <w:rPr>
          <w:rFonts w:ascii="Yu Mincho" w:cs="Yu Mincho" w:eastAsia="Yu Mincho" w:hAnsi="Yu Mincho"/>
          <w:sz w:val="21"/>
          <w:szCs w:val="21"/>
        </w:rPr>
        <w:t xml:space="preserve">組成時における本件在庫と自己勘定在庫の対象銘柄の重複状況（調査のうえ確定）</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【全般】</w:t>
      </w:r>
      <w:r>
        <w:rPr>
          <w:rFonts w:ascii="Yu Mincho" w:cs="Yu Mincho" w:eastAsia="Yu Mincho" w:hAnsi="Yu Mincho"/>
          <w:sz w:val="21"/>
          <w:szCs w:val="21"/>
        </w:rPr>
        <w:t xml:space="preserve">本匿名組合が営業者の連結範囲に含まれるか否か、およびこれに伴う会計上の取扱い</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【全般】</w:t>
      </w:r>
      <w:r>
        <w:rPr>
          <w:rFonts w:ascii="Yu Mincho" w:cs="Yu Mincho" w:eastAsia="Yu Mincho" w:hAnsi="Yu Mincho"/>
          <w:sz w:val="21"/>
          <w:szCs w:val="21"/>
        </w:rPr>
        <w:t xml:space="preserve">本匿名組合における酒類販売業免許の要否ならびに売買形態と委託形態の切分け（所轄税務署の酒類指導官および顧問弁護士に確認）</w:t>
      </w:r>
    </w:p>
    <w:p>
      <w:pPr>
        <w:spacing w:after="110" w:before="0" w:line="300"/>
        <w:ind w:left="489" w:hanging="489"/>
      </w:pPr>
      <w:r>
        <w:rPr>
          <w:rFonts w:ascii="Yu Mincho" w:cs="Yu Mincho" w:eastAsia="Yu Mincho" w:hAnsi="Yu Mincho"/>
          <w:sz w:val="21"/>
          <w:szCs w:val="21"/>
        </w:rPr>
        <w:t xml:space="preserve">・</w:t>
      </w:r>
      <w:r>
        <w:rPr>
          <w:rFonts w:ascii="Yu Gothic" w:cs="Yu Gothic" w:eastAsia="Yu Gothic" w:hAnsi="Yu Gothic"/>
          <w:b/>
          <w:bCs/>
          <w:sz w:val="21"/>
          <w:szCs w:val="21"/>
        </w:rPr>
        <w:t xml:space="preserve">【全般】</w:t>
      </w:r>
      <w:r>
        <w:rPr>
          <w:rFonts w:ascii="Yu Mincho" w:cs="Yu Mincho" w:eastAsia="Yu Mincho" w:hAnsi="Yu Mincho"/>
          <w:sz w:val="21"/>
          <w:szCs w:val="21"/>
        </w:rPr>
        <w:t xml:space="preserve">適格機関投資家等特例業務に係る届出および適格機関投資家の確保</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2026-08-14T07:52:40.099Z</dcterms:created>
  <dcterms:modified xsi:type="dcterms:W3CDTF">2026-08-14T07:52:40.099Z</dcterms:modified>
</cp:coreProperties>
</file>

<file path=docProps/custom.xml><?xml version="1.0" encoding="utf-8"?>
<Properties xmlns="http://schemas.openxmlformats.org/officeDocument/2006/custom-properties" xmlns:vt="http://schemas.openxmlformats.org/officeDocument/2006/docPropsVTypes"/>
</file>