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8"/>
        </w:rPr>
        <w:t>CURRICULUM VITAE</w:t>
      </w:r>
    </w:p>
    <w:p>
      <w:pPr>
        <w:spacing w:after="40"/>
        <w:jc w:val="right"/>
        <w:pBdr>
          <w:bottom w:val="single" w:sz="10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October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20" w:type="dxa"/>
      </w:tblPr>
      <w:tblGrid>
        <w:gridCol w:w="8352"/>
        <w:gridCol w:w="1699"/>
      </w:tblGrid>
      <w:tr>
        <w:tc>
          <w:tcPr>
            <w:tcW w:type="dxa" w:w="8352"/>
            <w:tcMar>
              <w:top w:w="70" w:type="dxa"/>
              <w:start w:w="0" w:type="dxa"/>
              <w:bottom w:w="75" w:type="dxa"/>
              <w:end w:w="0" w:type="dxa"/>
            </w:tcMar>
          </w:tcPr>
          <w:p>
            <w:pPr>
              <w:spacing w:after="16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4"/>
              </w:rPr>
              <w:t>Nakbin Choi, Ph.D.</w:t>
            </w:r>
          </w:p>
          <w:p>
            <w:pPr>
              <w:spacing w:after="3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Research Assistant Professor</w:t>
            </w:r>
          </w:p>
          <w:p>
            <w:pPr>
              <w:spacing w:after="30"/>
              <w:ind w:left="0" w:firstLine="0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Department of Civil, Urban, Earth, and Environmental Engineering</w:t>
            </w:r>
          </w:p>
          <w:p>
            <w:pPr>
              <w:spacing w:after="30"/>
              <w:ind w:left="0" w:firstLine="0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Ulsan National Institute of Science and Technology (UNIST)</w:t>
            </w:r>
          </w:p>
          <w:p>
            <w:pPr>
              <w:spacing w:after="3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50 UNIST-gil, Ulju-gun, Ulsan 44919, Republic of Korea</w:t>
            </w:r>
          </w:p>
          <w:p>
            <w:pPr>
              <w:spacing w:after="3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CC"/>
                <w:sz w:val="18"/>
                <w:u w:val="single"/>
              </w:rPr>
              <w:t>nbchoi21@unist.ac.kr</w:t>
            </w:r>
          </w:p>
          <w:p>
            <w:pPr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(Korea) 010-4946-6138  |  (US) +1 (703) 843-4060</w:t>
            </w:r>
          </w:p>
        </w:tc>
        <w:tc>
          <w:tcPr>
            <w:tcW w:type="dxa" w:w="1699"/>
            <w:tcMar>
              <w:top w:w="20" w:type="dxa"/>
              <w:start w:w="0" w:type="dxa"/>
              <w:bottom w:w="40" w:type="dxa"/>
              <w:end w:w="0" w:type="dxa"/>
            </w:tcMar>
          </w:tcPr>
          <w:p>
            <w:pPr>
              <w:spacing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41248" cy="8412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st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280" w:after="12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RESEARCH INTERESTS</w:t>
      </w:r>
    </w:p>
    <w:p>
      <w:pPr>
        <w:keepNext/>
        <w:spacing w:before="0" w:after="60"/>
        <w:ind w:left="36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1.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Subseasonal-to-Seasonal Prediction and Predictability</w:t>
      </w:r>
    </w:p>
    <w:p>
      <w:pPr>
        <w:keepLines/>
        <w:spacing w:before="0" w:after="60"/>
        <w:ind w:left="763" w:hanging="230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 Predictability, forecast skill, and systematic biases in coupled prediction systems</w:t>
      </w:r>
    </w:p>
    <w:p>
      <w:pPr>
        <w:keepLines/>
        <w:spacing w:before="0" w:after="60"/>
        <w:ind w:left="763" w:hanging="230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 Evaluation and improvement of predictions across weather-to-climate timescales</w:t>
      </w:r>
    </w:p>
    <w:p>
      <w:pPr>
        <w:keepNext/>
        <w:spacing w:before="0" w:after="60"/>
        <w:ind w:left="36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2.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Climate Dynamics, Teleconnections, and Extremes</w:t>
      </w:r>
    </w:p>
    <w:p>
      <w:pPr>
        <w:keepLines/>
        <w:spacing w:before="0" w:after="60"/>
        <w:ind w:left="763" w:hanging="230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 Tropical climate variability and tropical–extratropical interactions</w:t>
      </w:r>
    </w:p>
    <w:p>
      <w:pPr>
        <w:keepLines/>
        <w:spacing w:before="0" w:after="60"/>
        <w:ind w:left="763" w:hanging="230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 Large-scale atmospheric circulation, teleconnection processes, and climate extremes</w:t>
      </w:r>
    </w:p>
    <w:p>
      <w:pPr>
        <w:keepNext/>
        <w:spacing w:before="0" w:after="60"/>
        <w:ind w:left="36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3.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Coupled Earth System Processes and Data Assimilation</w:t>
      </w:r>
    </w:p>
    <w:p>
      <w:pPr>
        <w:keepLines/>
        <w:spacing w:before="0" w:after="60"/>
        <w:ind w:left="763" w:hanging="230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 Atmosphere–ocean and land–atmosphere interactions</w:t>
      </w:r>
    </w:p>
    <w:p>
      <w:pPr>
        <w:keepLines/>
        <w:spacing w:before="0" w:after="60"/>
        <w:ind w:left="763" w:hanging="230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•  Coupled data assimilation and initialization of Earth system prediction models</w:t>
      </w:r>
    </w:p>
    <w:p>
      <w:pPr>
        <w:keepNext/>
        <w:spacing w:before="280" w:after="12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20" w:type="dxa"/>
      </w:tblPr>
      <w:tblGrid>
        <w:gridCol w:w="2232"/>
        <w:gridCol w:w="7819"/>
      </w:tblGrid>
      <w:tr>
        <w:tc>
          <w:tcPr>
            <w:tcW w:type="dxa" w:w="2232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2015.03 – 2021.02</w:t>
            </w:r>
          </w:p>
        </w:tc>
        <w:tc>
          <w:tcPr>
            <w:tcW w:type="dxa" w:w="7819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keepLines/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Ph.D. in Environmental Science and Engineering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, UNIST, Korea</w:t>
            </w:r>
          </w:p>
          <w:p>
            <w:pPr>
              <w:keepLines/>
              <w:spacing w:before="4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Dissertation: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Development of a Coupled Data Assimilation System in the Fully Coupled Model and Its Implications for Seamless Prediction</w:t>
            </w:r>
          </w:p>
          <w:p>
            <w:pPr>
              <w:keepLines/>
              <w:spacing w:before="4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Advisor: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Prof. Myong-In Lee</w:t>
            </w:r>
          </w:p>
        </w:tc>
      </w:tr>
      <w:tr>
        <w:tc>
          <w:tcPr>
            <w:tcW w:type="dxa" w:w="2232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2009.03 – 2015.02</w:t>
            </w:r>
          </w:p>
        </w:tc>
        <w:tc>
          <w:tcPr>
            <w:tcW w:type="dxa" w:w="7819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keepLines/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B.S. in Earth Science and Engineering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, UNIST, Korea</w:t>
            </w:r>
          </w:p>
        </w:tc>
      </w:tr>
    </w:tbl>
    <w:p>
      <w:pPr>
        <w:keepNext/>
        <w:spacing w:before="280" w:after="12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EMPLOYMENTS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20" w:type="dxa"/>
      </w:tblPr>
      <w:tblGrid>
        <w:gridCol w:w="2232"/>
        <w:gridCol w:w="7819"/>
      </w:tblGrid>
      <w:tr>
        <w:tc>
          <w:tcPr>
            <w:tcW w:type="dxa" w:w="2232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2025.09 - Present</w:t>
            </w:r>
          </w:p>
        </w:tc>
        <w:tc>
          <w:tcPr>
            <w:tcW w:type="dxa" w:w="7819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keepLines/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Research Assistant Professor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, UNIST</w:t>
            </w:r>
          </w:p>
        </w:tc>
      </w:tr>
      <w:tr>
        <w:tc>
          <w:tcPr>
            <w:tcW w:type="dxa" w:w="2232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2023.06 – 2025.09</w:t>
            </w:r>
          </w:p>
        </w:tc>
        <w:tc>
          <w:tcPr>
            <w:tcW w:type="dxa" w:w="7819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keepLines/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Postdoctoral Research Fellow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, George Mason University</w:t>
            </w:r>
          </w:p>
        </w:tc>
      </w:tr>
      <w:tr>
        <w:tc>
          <w:tcPr>
            <w:tcW w:type="dxa" w:w="2232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2021.03 – 2023.06</w:t>
            </w:r>
          </w:p>
        </w:tc>
        <w:tc>
          <w:tcPr>
            <w:tcW w:type="dxa" w:w="7819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keepLines/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Postdoctoral Research Associate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, UNIST</w:t>
            </w:r>
          </w:p>
        </w:tc>
      </w:tr>
    </w:tbl>
    <w:p>
      <w:pPr>
        <w:keepNext/>
        <w:spacing w:before="280" w:after="12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RESEARCH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20" w:type="dxa"/>
      </w:tblPr>
      <w:tblGrid>
        <w:gridCol w:w="2232"/>
        <w:gridCol w:w="7819"/>
      </w:tblGrid>
      <w:tr>
        <w:tc>
          <w:tcPr>
            <w:tcW w:type="dxa" w:w="2232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2023.01 – 2023.05</w:t>
            </w:r>
          </w:p>
        </w:tc>
        <w:tc>
          <w:tcPr>
            <w:tcW w:type="dxa" w:w="7819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keepLines/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Visiting Scientist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, Met Office Hadley Centre, UK</w:t>
            </w:r>
          </w:p>
        </w:tc>
      </w:tr>
      <w:tr>
        <w:tc>
          <w:tcPr>
            <w:tcW w:type="dxa" w:w="2232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2017.02</w:t>
            </w:r>
          </w:p>
        </w:tc>
        <w:tc>
          <w:tcPr>
            <w:tcW w:type="dxa" w:w="7819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keepLines/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Visiting Researcher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, NASA GSFC, Climate and Radiation Lab, USA</w:t>
            </w:r>
          </w:p>
        </w:tc>
      </w:tr>
      <w:tr>
        <w:tc>
          <w:tcPr>
            <w:tcW w:type="dxa" w:w="2232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2013.06 – 2013.08</w:t>
            </w:r>
          </w:p>
        </w:tc>
        <w:tc>
          <w:tcPr>
            <w:tcW w:type="dxa" w:w="7819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keepLines/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Internship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, NASA GSFC, GMAO, USA</w:t>
            </w:r>
          </w:p>
        </w:tc>
      </w:tr>
    </w:tbl>
    <w:p>
      <w:pPr>
        <w:keepNext/>
        <w:spacing w:before="280" w:after="12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PROFESSIONAL SERVICES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20" w:type="dxa"/>
      </w:tblPr>
      <w:tblGrid>
        <w:gridCol w:w="2232"/>
        <w:gridCol w:w="7819"/>
      </w:tblGrid>
      <w:tr>
        <w:tc>
          <w:tcPr>
            <w:tcW w:type="dxa" w:w="2232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2024.10 – 2026.10</w:t>
            </w:r>
          </w:p>
        </w:tc>
        <w:tc>
          <w:tcPr>
            <w:tcW w:type="dxa" w:w="7819"/>
            <w:vAlign w:val="top"/>
            <w:tcMar>
              <w:top w:w="35" w:type="dxa"/>
              <w:start w:w="0" w:type="dxa"/>
              <w:bottom w:w="110" w:type="dxa"/>
              <w:end w:w="0" w:type="dxa"/>
            </w:tcMar>
          </w:tcPr>
          <w:p>
            <w:pPr>
              <w:keepLines/>
              <w:spacing w:before="0" w:after="0"/>
              <w:ind w:left="0"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Editor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, Korean Atmospheric Scientists in America (KASA)</w:t>
            </w:r>
          </w:p>
        </w:tc>
      </w:tr>
    </w:tbl>
    <w:p>
      <w:r>
        <w:br w:type="page"/>
      </w:r>
    </w:p>
    <w:p>
      <w:pPr>
        <w:keepNext/>
        <w:spacing w:before="280" w:after="12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PUBLICATIONS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[19]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Lee, B., Seo, E., Kim, D.,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&amp; Moon, W. (2026). Understanding the physical mechanism of record-breaking 2025 Korea-Japan heatwave. Environmental Research Letters. 21, 194020.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[18]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Lee, S., Lee, M.-I., Kim, K.-M., &amp;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(2026). Extratropical Rossby waves amplify central Siberian fire risk through subseasonal teleconnections. Agricultural and Forest Meteorology, 390, 111475.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[17]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Quan, X-W., and Stan, C. (2026). Drivers of the Asymmetric ITCZ Bias in Climate Models, Scientific Reports.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[16]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Lee, J., Lee, M. I., Kim, J., Bak, G.,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Lee, J., ... &amp; Shin, B. (2026). Atlantic SST as a key source of subseasonal predictability in the April 2020 Siberian heatwave. npj Natural Hazards.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[15]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Stan, C., Lee, B., &amp; Seo, E. (2026). Potential sources of predictability for the surface air temperature over the CONUS during boreal winter. Journal of Climate, 39(16), 5005-5016.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[14]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Stanczak, J., &amp; Stan, C. (2026). The Role of Atmosphere–Ocean Coupling on the Prediction of Madden–Julian Oscillation. Journal of Climate, 39(13), 3669-3684.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[13]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Kim, K., Lee, M. I., Lee, S.,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Jin, F. F., Min, S. K., &amp; Kam, J. (2026). Local and remote drivers of increased variability in extreme wildfire conditions in Southeastern Australia. Agricultural and Forest Meteorology, 384, 111156.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[12]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Lee, S., Lee, M. I., Lee, S., Jin, F. F.,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&amp; Tak, S. (2025). Distinct Features of the Summer Arctic Oscillation. Journal of Climate, 38(21), 5983-5996.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[11]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Lee, M. I., Ham, Y. G., Hyun, Y. K., Lee, J., &amp; Boo, K. O. (2025). Reducing initialization shock by atmosphere-ocean coupled data assimilation and its impacts on the subseasonal prediction skill. Journal of Climate, 38(6), 1389-1401.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[10]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Lee, M. I., Tak, S., Cha, D. H., &amp; Watanabe, M. (2025). Siberian heat extremes caused by Eurasian atmospheric teleconnections and amplified by local land surface conditions. Environmental Research Letters, 20(3), 034029.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[9]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&amp; Stan, C. (2025). Large-Scale Surface Air Temperature Bias in Summer over the CONUS and Its Relationship to Tropical Central Pacific Convection in the UFS Prototype 8. Journal of Climate, 38(1), 117-129.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[8]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Kim, H.,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Lee, M. I., Tak, S., Cha, D. H., &amp; Min, S. K. (2024). Causes on the 2018 record-breaking heatwave in South Korea: compound impacts from recurrent large-scale atmospheric teleconnections. Environmental Research Letters, 19(12), 124064.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[7]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Tak, S.,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Lee, J., &amp; Lee, M. I. (2024). Probabilistic medium-range forecasts of extreme heat events over East Asia based on a global ensemble forecasting system. Weather and Climate Extremes, 45, 100694.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[6]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&amp; Lee, S. (2023). Comparison of the opposite behaviours of Korean heatwaves with extreme hot sea surface temperatures in August 2016 and 2022. International Journal of Climatology, 43(15), 6993-7002.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[5]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Lee, S., Park, M. S., Kwon, M., Park, Y. G., Kim, Y. H., &amp;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(2023). Rapidly changing East Asian marine heatwaves under a warming climate. Journal of Geophysical Research: Oceans, 128(6), e2023JC019761.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[4]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Yasunari, T. J., Nakamura, H., Kim, K. M.,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Lee, M. I., Tachibana, Y., &amp; da Silva, A. M. (2021). Relationship between circum-Arctic atmospheric wave patterns and large-scale wildfires in boreal summer. Environmental Research Letters, 16(6), 064009.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[3]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Lee, M. I., Cha, D. H., Lim, Y. K., &amp; Kim, K. M. (2020). Decadal changes in the interannual variability of heat waves in East Asia caused by atmospheric teleconnection changes. Journal of Climate, 33(4), 1505-1522.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[2]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Kim, K. M., Lim, Y. K., &amp; Lee, M. I. (2019). Decadal changes in the leading patterns of sea level pressure in the Arctic and their impacts on the sea ice variability in boreal summer. The Cryosphere, 13(11), 3007-3021.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[1]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&amp; Lee, M. I. (2019). Spatial variability and long-term trend in the occurrence frequency of heatwave and tropical night in Korea. Asia-Pacific Journal of Atmospheric Sciences, 55, 101-114.</w:t>
      </w:r>
    </w:p>
    <w:p>
      <w:pPr>
        <w:keepNext/>
        <w:spacing w:before="40" w:after="160"/>
        <w:pBdr>
          <w:bottom w:val="single" w:sz="6" w:space="1" w:color="000000"/>
        </w:pBdr>
      </w:pP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[4]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Choi et al., Evolution of Boreal-Summer Quasi-Stationary Rossby Waves on Daily Time Scales. npj Climate and Atmospheric Science. Submitted.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[3]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Tak et al., Incremental Contribution of Soil Moisture Data Assimilation to Sub-seasonal Prediction of the 2022 Central Eastern China Heatwave. Weather and Climate Extremes. In Review.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[2]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Sohn et al., K-R2O in Action: Enhancing Operational Reliability through the Independent Testbed for National Climate Prediction System. Bulletin of the American Meteorological Society. In Review.</w:t>
      </w:r>
    </w:p>
    <w:p>
      <w:pPr>
        <w:keepLines/>
        <w:spacing w:before="0" w:after="160"/>
        <w:ind w:left="446" w:hanging="446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[1]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Xavier, P., Willett, M., ...,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Choi, 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, ..., and Zhu, H.: Assessment of the Met Office Global Coupled model version 5 (GC5) configurations, Geoscientific Model Development Discussion. In Review.</w:t>
      </w:r>
    </w:p>
    <w:p>
      <w:pPr>
        <w:keepNext/>
        <w:spacing w:before="280" w:after="12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PATENT</w:t>
      </w:r>
    </w:p>
    <w:p>
      <w:pPr>
        <w:spacing w:before="0" w:after="80"/>
        <w:ind w:left="317" w:hanging="230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•  Medium-Range Heatwave Forecasting System and Method (Domestic, South Korea, 2019)</w:t>
      </w:r>
    </w:p>
    <w:p>
      <w:pPr>
        <w:keepNext/>
        <w:spacing w:before="280" w:after="12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AWARDS</w:t>
      </w:r>
    </w:p>
    <w:p>
      <w:pPr>
        <w:spacing w:before="0" w:after="80"/>
        <w:ind w:left="317" w:hanging="230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•  Young Atmospheric Scientist Award, Korean Meteorological Society (2025)</w:t>
      </w:r>
    </w:p>
    <w:p>
      <w:pPr>
        <w:spacing w:before="0" w:after="80"/>
        <w:ind w:left="317" w:hanging="230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•  Outstanding Poster Presentation Award, Korean Meteorological Society (2019)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76" w:val="left"/>
      </w:tabs>
      <w:pBdr>
        <w:bottom w:val="single" w:sz="6" w:space="1" w:color="000000"/>
      </w:pBdr>
    </w:pPr>
    <w:r>
      <w:rPr>
        <w:rFonts w:ascii="Times New Roman" w:hAnsi="Times New Roman" w:eastAsia="Times New Roman"/>
        <w:b w:val="0"/>
        <w:i w:val="0"/>
        <w:color w:val="000000"/>
        <w:sz w:val="17"/>
      </w:rPr>
      <w:t>Nakbin Choi, Ph.D.</w:t>
    </w:r>
    <w:r>
      <w:rPr>
        <w:rFonts w:ascii="Times New Roman" w:hAnsi="Times New Roman" w:eastAsia="Times New Roman"/>
        <w:b w:val="0"/>
        <w:i w:val="0"/>
        <w:color w:val="000000"/>
        <w:sz w:val="17"/>
      </w:rP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Nakbin Choi</dc:title>
  <dc:subject>Academic curriculum vitae</dc:subject>
  <dc:creator>Nakbin Choi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