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September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390, 111475.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M. 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... &amp; Shin, B. (2026). Atlantic SST as a key source of subseasonal predictability in the April 2020 Siberian heatwave. npj Natural Hazards.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(2026). Local and remote drivers of increased variability in extreme wildfire conditions in Southeastern Australia. Agricultural and Forest Meteorology, 384, 111156.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