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August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 (2026). Drivers of the Asymmetric ITCZ Bias in Climate Models, Scientific Reports.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M. 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... &amp; Shin, B. (2026). Atlantic SST as a key source of subseasonal predictability in the April 2020 Siberian heatwave. npj Natural Hazards.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(2026).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(2026). Local and remote drivers of increased variability in extreme wildfire conditions in Southeastern Australia. Agricultural and Forest Meteorology, 384, 111156.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