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October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B., Seo, E., Kim, D.,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Moon, W. (2026). Understanding the physical mechanism of record-breaking 2025 Korea-Japan heatwave. Environmental Research Letters. 21, 194020.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M.-I., Kim, K.-M.,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(2026). Extratropical Rossby waves amplify central Siberian fire risk through subseasonal teleconnections. Agricultural and Forest Meteorology, 390, 111475.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(2026). Drivers of the Asymmetric ITCZ Bias in Climate Models, Scientific Reports.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M. 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... &amp; Shin, B. (2026). Atlantic SST as a key source of subseasonal predictability in the April 2020 Siberian heatwave. npj Natural Hazards.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(2026).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(2026). Local and remote drivers of increased variability in extreme wildfire conditions in Southeastern Australia. Agricultural and Forest Meteorology, 384, 111156.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