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 w:val="0"/>
          <w:i/>
          <w:color w:val="000000"/>
          <w:sz w:val="18"/>
        </w:rPr>
        <w:t>Updated automatically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424"/>
        <w:gridCol w:w="1512"/>
      </w:tblGrid>
      <w:tr>
        <w:tc>
          <w:tcPr>
            <w:tcW w:type="dxa" w:w="5083"/>
            <w:tcMar>
              <w:top w:w="70" w:type="dxa"/>
              <w:start w:w="0" w:type="dxa"/>
              <w:bottom w:w="55" w:type="dxa"/>
              <w:end w:w="0" w:type="dxa"/>
            </w:tcMar>
          </w:tcPr>
          <w:p>
            <w:pPr>
              <w:spacing w:after="10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5083"/>
            <w:tcMar>
              <w:top w:w="60" w:type="dxa"/>
              <w:start w:w="0" w:type="dxa"/>
              <w:bottom w:w="40" w:type="dxa"/>
              <w:end w:w="0" w:type="dxa"/>
            </w:tcMar>
          </w:tcPr>
          <w:p/>
        </w:tc>
      </w:tr>
    </w:tbl>
    <w:p>
      <w:pPr>
        <w:keepNext/>
        <w:spacing w:before="160" w:after="6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32"/>
        <w:gridCol w:w="7848"/>
      </w:tblGrid>
      <w:tr>
        <w:tc>
          <w:tcPr>
            <w:tcW w:type="dxa" w:w="2232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48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keepLines/>
              <w:spacing w:after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</w:tc>
      </w:tr>
      <w:tr>
        <w:tc>
          <w:tcPr>
            <w:tcW w:type="dxa" w:w="2232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48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keepLines/>
              <w:spacing w:after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  <w:p>
            <w:pPr>
              <w:keepLines/>
              <w:spacing w:before="20" w:after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Dissertation: Development of a Coupled Data Assimilation System in the Fully Coupled Model and Its Implications for Seamless Prediction (Advisor: Prof. Myong-In Lee)</w:t>
            </w:r>
          </w:p>
        </w:tc>
      </w:tr>
    </w:tbl>
    <w:p>
      <w:pPr>
        <w:keepNext/>
        <w:spacing w:before="160" w:after="6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32"/>
        <w:gridCol w:w="7848"/>
      </w:tblGrid>
      <w:tr>
        <w:tc>
          <w:tcPr>
            <w:tcW w:type="dxa" w:w="2232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Present</w:t>
            </w:r>
          </w:p>
        </w:tc>
        <w:tc>
          <w:tcPr>
            <w:tcW w:type="dxa" w:w="7848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keepLines/>
              <w:spacing w:after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48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keepLines/>
              <w:spacing w:after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160" w:after="6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32"/>
        <w:gridCol w:w="7848"/>
      </w:tblGrid>
      <w:tr>
        <w:tc>
          <w:tcPr>
            <w:tcW w:type="dxa" w:w="2232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48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keepLines/>
              <w:spacing w:after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48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keepLines/>
              <w:spacing w:after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48"/>
            <w:vAlign w:val="top"/>
            <w:tcMar>
              <w:top w:w="30" w:type="dxa"/>
              <w:start w:w="0" w:type="dxa"/>
              <w:bottom w:w="55" w:type="dxa"/>
              <w:end w:w="0" w:type="dxa"/>
            </w:tcMar>
          </w:tcPr>
          <w:p>
            <w:pPr>
              <w:keepLines/>
              <w:spacing w:after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160" w:after="6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p>
      <w:pPr>
        <w:spacing w:after="4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Editor, Korean Atmospheric Scientists in America (KASA), 2024.10 – 2026.10</w:t>
      </w:r>
    </w:p>
    <w:p>
      <w:pPr>
        <w:keepNext/>
        <w:spacing w:before="160" w:after="6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after="4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Society, 2019</w:t>
      </w:r>
    </w:p>
    <w:p>
      <w:pPr>
        <w:keepNext/>
        <w:spacing w:before="160" w:after="6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after="4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method. Domestic Patent Application, South Korea, 2019 (Myong-In Lee, Nakbin Choi, &amp; Sunlae Tak)</w:t>
      </w:r>
    </w:p>
    <w:p>
      <w:pPr>
        <w:keepNext/>
        <w:spacing w:before="160" w:after="6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Potential sources of predictability for the surface air temperature over the CONUS during boreal winter. Journal of Climate, Accepted.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Zhu, H., Sellar, A., Ackerley, D.,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Guiavarc’h, C., Hassim, M., Heming, J., Hudson, D., Ineson, S. et al, (2023) Assessment of the Met Office Global Coupled model version 5 (GC5)configurations. Report. Met Office, Exeter. pp41.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after="8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