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September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M.-I., Kim, K.-M.,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(2026). Extratropical Rossby waves amplify central Siberian fire risk through subseasonal teleconnections. Agricultural and Forest Meteorology, 390, 111475.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M. 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... &amp; Shin, B. (2026). Atlantic SST as a key source of subseasonal predictability in the April 2020 Siberian heatwave. npj Natural Hazards.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(2026). Local and remote drivers of increased variability in extreme wildfire conditions in Southeastern Australia. Agricultural and Forest Meteorology, 384, 111156.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