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July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Editor, Korean Atmospheric Scientists in America (KASA), 2024.10 – 2026.10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Society, 2025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Society, 2019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method. Domestic Patent Application, South Korea, 2019 (Myong-In Lee, Nakbin Choi, &amp; Sunlae Tak)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Potential sources of predictability for the surface air temperature over the CONUS during boreal winter. Journal of Climate, Accepted.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Local and Remote Drivers of Increased Variability in Extreme Wildfire Conditions in Southeastern Australia. Available at SSRN 5708203.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Zhu, H., Sellar, A., Ackerley, D.,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Guiavarc’h, C., Hassim, M., Heming, J., Hudson, D., Ineson, S. et al, (2023) Assessment of the Met Office Global Coupled model version 5 (GC5)configurations. Report. Met Office, Exeter. pp41.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