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424"/>
        <w:gridCol w:w="1512"/>
      </w:tblGrid>
      <w:tr>
        <w:tc>
          <w:tcPr>
            <w:tcW w:type="dxa" w:w="5083"/>
            <w:tcMar>
              <w:top w:w="70" w:type="dxa"/>
              <w:start w:w="0" w:type="dxa"/>
              <w:bottom w:w="55" w:type="dxa"/>
              <w:end w:w="0" w:type="dxa"/>
            </w:tcMar>
          </w:tcPr>
          <w:p>
            <w:pPr>
              <w:spacing w:after="10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5083"/>
            <w:tcMar>
              <w:top w:w="60" w:type="dxa"/>
              <w:start w:w="0" w:type="dxa"/>
              <w:bottom w:w="40" w:type="dxa"/>
              <w:end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20" w:after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Dissertation: Development of a Coupled Data Assimilation System in the Fully Coupled Model and Its Implications for Seamless Prediction (Advisor: Prof. Myong-In Lee)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