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el-GR"/>
        </w:rPr>
      </w:pPr>
      <w:r>
        <w:rPr>
          <w:lang w:val="el-GR"/>
        </w:rPr>
      </w:r>
      <w:r>
        <w:rPr>
          <w:lang w:val="el-GR"/>
        </w:rPr>
        <w:t xml:space="preserve">Κανονική </w:t>
      </w:r>
      <w:r>
        <w:rPr>
          <w:lang w:val="el-GR"/>
        </w:rPr>
        <w:t xml:space="preserve">έ</w:t>
      </w:r>
      <w:r>
        <w:rPr>
          <w:lang w:val="el-GR"/>
        </w:rPr>
        <w:t xml:space="preserve">κφραση </w:t>
      </w:r>
      <w:r>
        <w:rPr>
          <w:lang w:val="el-GR"/>
        </w:rPr>
        <w:t xml:space="preserve">κινητής υποδιαστολής</w:t>
      </w:r>
      <w:r>
        <w:rPr>
          <w:lang w:val="el-GR"/>
        </w:rPr>
        <w:t xml:space="preserve">:</w:t>
      </w:r>
      <w:r>
        <w:rPr>
          <w:lang w:val="el-GR"/>
        </w:rPr>
      </w:r>
      <w:r>
        <w:rPr>
          <w:lang w:val="el-GR"/>
        </w:rPr>
      </w:r>
    </w:p>
    <w:tbl>
      <w:tblPr>
        <w:tblStyle w:val="70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d9d9d9" w:themeColor="background1" w:themeShade="D9" w:fill="d9d9d9" w:themeFill="background1" w:themeFillShade="D9"/>
            <w:tcBorders/>
            <w:tcW w:w="936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lang w:val="el-GR"/>
              </w:rPr>
            </w:r>
            <w:r>
              <w:rPr>
                <w:rFonts w:ascii="Consolas" w:hAnsi="Consolas" w:eastAsia="Consolas" w:cs="Consolas"/>
                <w:lang w:val="el-GR"/>
              </w:rPr>
              <w:t xml:space="preserve">^[+-]?([0-9]+(\.[0-9]+)?([eE][+-]?[0-9]+)?|\.[0-9]+([eE][+-]?[0-9]+)?)$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</w:tc>
      </w:tr>
    </w:tbl>
    <w:p>
      <w:pPr>
        <w:pStyle w:val="889"/>
        <w:numPr>
          <w:ilvl w:val="0"/>
          <w:numId w:val="1"/>
        </w:numPr>
        <w:pBdr/>
        <w:spacing/>
        <w:ind/>
        <w:jc w:val="both"/>
        <w:rPr>
          <w:highlight w:val="none"/>
          <w:lang w:val="el-GR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^[+-]?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el-GR"/>
        </w:rPr>
        <w:t xml:space="preserve">Επιτρ</w:t>
      </w:r>
      <w:r>
        <w:rPr>
          <w:highlight w:val="none"/>
          <w:lang w:val="el-GR"/>
        </w:rPr>
        <w:t xml:space="preserve">έπει προαιρετικ</w:t>
      </w:r>
      <w:r>
        <w:rPr>
          <w:highlight w:val="none"/>
          <w:lang w:val="el-GR"/>
        </w:rPr>
        <w:t xml:space="preserve">ό πρ</w:t>
      </w:r>
      <w:r>
        <w:rPr>
          <w:highlight w:val="none"/>
          <w:lang w:val="el-GR"/>
        </w:rPr>
        <w:t xml:space="preserve">όσημο στην αρχ</w:t>
      </w:r>
      <w:r>
        <w:rPr>
          <w:highlight w:val="none"/>
          <w:lang w:val="el-GR"/>
        </w:rPr>
        <w:t xml:space="preserve">ή.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Style w:val="889"/>
        <w:numPr>
          <w:ilvl w:val="0"/>
          <w:numId w:val="1"/>
        </w:numPr>
        <w:pBdr/>
        <w:spacing/>
        <w:ind/>
        <w:jc w:val="both"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rFonts w:ascii="Consolas" w:hAnsi="Consolas" w:eastAsia="Consolas" w:cs="Consolas"/>
          <w:lang w:val="el-GR"/>
        </w:rPr>
        <w:t xml:space="preserve">[0-9]+(\.[0-9]+)?</w:t>
      </w:r>
      <w:r>
        <w:rPr>
          <w:highlight w:val="none"/>
          <w:lang w:val="el-GR"/>
        </w:rPr>
        <w:t xml:space="preserve">: Επιτρ</w:t>
      </w:r>
      <w:r>
        <w:rPr>
          <w:highlight w:val="none"/>
          <w:lang w:val="el-GR"/>
        </w:rPr>
        <w:t xml:space="preserve">έπει </w:t>
      </w:r>
      <w:r>
        <w:rPr>
          <w:highlight w:val="none"/>
          <w:lang w:val="el-GR"/>
        </w:rPr>
        <w:t xml:space="preserve">έναν ακ</w:t>
      </w:r>
      <w:r>
        <w:rPr>
          <w:highlight w:val="none"/>
          <w:lang w:val="el-GR"/>
        </w:rPr>
        <w:t xml:space="preserve">έραιο αριθμ</w:t>
      </w:r>
      <w:r>
        <w:rPr>
          <w:highlight w:val="none"/>
          <w:lang w:val="el-GR"/>
        </w:rPr>
        <w:t xml:space="preserve">ό </w:t>
      </w:r>
      <w:r>
        <w:rPr>
          <w:highlight w:val="none"/>
          <w:lang w:val="el-GR"/>
        </w:rPr>
        <w:t xml:space="preserve">ή </w:t>
      </w:r>
      <w:r>
        <w:rPr>
          <w:highlight w:val="none"/>
          <w:lang w:val="el-GR"/>
        </w:rPr>
        <w:t xml:space="preserve">έναν αριθμ</w:t>
      </w:r>
      <w:r>
        <w:rPr>
          <w:highlight w:val="none"/>
          <w:lang w:val="el-GR"/>
        </w:rPr>
        <w:t xml:space="preserve">ό με δεκαδική</w:t>
      </w:r>
      <w:r>
        <w:rPr>
          <w:highlight w:val="none"/>
          <w:lang w:val="el-GR"/>
        </w:rPr>
        <w:t xml:space="preserve"> υποδιαστολ</w:t>
      </w:r>
      <w:r>
        <w:rPr>
          <w:highlight w:val="none"/>
          <w:lang w:val="el-GR"/>
        </w:rPr>
        <w:t xml:space="preserve">ή.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Style w:val="889"/>
        <w:numPr>
          <w:ilvl w:val="0"/>
          <w:numId w:val="1"/>
        </w:numPr>
        <w:pBdr/>
        <w:spacing/>
        <w:ind/>
        <w:jc w:val="both"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rFonts w:ascii="Consolas" w:hAnsi="Consolas" w:eastAsia="Consolas" w:cs="Consolas"/>
          <w:lang w:val="el-GR"/>
        </w:rPr>
        <w:t xml:space="preserve">([eE][+-]?[0-9]+)?</w:t>
      </w:r>
      <w:r>
        <w:rPr>
          <w:highlight w:val="none"/>
          <w:lang w:val="el-GR"/>
        </w:rPr>
        <w:t xml:space="preserve">: Επιτρ</w:t>
      </w:r>
      <w:r>
        <w:rPr>
          <w:highlight w:val="none"/>
          <w:lang w:val="el-GR"/>
        </w:rPr>
        <w:t xml:space="preserve">έπει την εκθετικ</w:t>
      </w:r>
      <w:r>
        <w:rPr>
          <w:highlight w:val="none"/>
          <w:lang w:val="el-GR"/>
        </w:rPr>
        <w:t xml:space="preserve">ή παρ</w:t>
      </w:r>
      <w:r>
        <w:rPr>
          <w:highlight w:val="none"/>
          <w:lang w:val="el-GR"/>
        </w:rPr>
        <w:t xml:space="preserve">άσταση </w:t>
      </w:r>
      <w:r>
        <w:rPr>
          <w:highlight w:val="none"/>
          <w:lang w:val="el-GR"/>
        </w:rPr>
        <w:t xml:space="preserve">η οπο</w:t>
      </w:r>
      <w:r>
        <w:rPr>
          <w:highlight w:val="none"/>
          <w:lang w:val="el-GR"/>
        </w:rPr>
        <w:t xml:space="preserve">ία μπορε</w:t>
      </w:r>
      <w:r>
        <w:rPr>
          <w:highlight w:val="none"/>
          <w:lang w:val="el-GR"/>
        </w:rPr>
        <w:t xml:space="preserve">ί να ε</w:t>
      </w:r>
      <w:r>
        <w:rPr>
          <w:highlight w:val="none"/>
          <w:lang w:val="el-GR"/>
        </w:rPr>
        <w:t xml:space="preserve">ίναι προαιρετικ</w:t>
      </w:r>
      <w:r>
        <w:rPr>
          <w:highlight w:val="none"/>
          <w:lang w:val="el-GR"/>
        </w:rPr>
        <w:t xml:space="preserve">ό.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Style w:val="889"/>
        <w:numPr>
          <w:ilvl w:val="0"/>
          <w:numId w:val="1"/>
        </w:numPr>
        <w:pBdr/>
        <w:spacing/>
        <w:ind/>
        <w:jc w:val="both"/>
        <w:rPr/>
      </w:pPr>
      <w:r>
        <w:rPr>
          <w:highlight w:val="none"/>
          <w:lang w:val="el-GR"/>
        </w:rPr>
      </w:r>
      <w:r>
        <w:rPr>
          <w:highlight w:val="none"/>
          <w:lang w:val="el-GR"/>
        </w:rPr>
        <w:t xml:space="preserve">\.[0-9]+([eE][+-]?[0-9]+)?</w:t>
      </w:r>
      <w:r>
        <w:rPr>
          <w:highlight w:val="none"/>
          <w:lang w:val="el-GR"/>
        </w:rPr>
        <w:t xml:space="preserve">: </w:t>
      </w:r>
      <w:r>
        <w:rPr>
          <w:highlight w:val="none"/>
          <w:lang w:val="el-GR"/>
        </w:rPr>
        <w:t xml:space="preserve">Επιτρέπει αριθμούς που ξεκινούν με υποδιαστολή και ακολουθείται από τουλάχιστον έναν αριθμό, με ή χωρίς εκθετική παράσταση.</w:t>
      </w:r>
      <w:r>
        <w:rPr>
          <w:highlight w:val="none"/>
          <w:lang w:val="el-GR"/>
        </w:rPr>
      </w:r>
      <w:r/>
    </w:p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rPr>
          <w:highlight w:val="none"/>
          <w:lang w:val="el-GR"/>
        </w:rPr>
      </w:pPr>
      <w:r>
        <w:rPr>
          <w:lang w:val="el-GR"/>
        </w:rPr>
      </w:r>
      <w:r>
        <w:rPr>
          <w:lang w:val="el-GR"/>
        </w:rPr>
        <w:t xml:space="preserve">FSM Code</w:t>
      </w:r>
      <w:r>
        <w:rPr>
          <w:lang w:val="en-US"/>
        </w:rPr>
        <w:t xml:space="preserve"> (</w:t>
      </w:r>
      <w:r>
        <w:rPr>
          <w:lang w:val="el-GR"/>
        </w:rPr>
        <w:t xml:space="preserve">Σχολιασμ</w:t>
      </w:r>
      <w:r>
        <w:rPr>
          <w:lang w:val="el-GR"/>
        </w:rPr>
        <w:t xml:space="preserve">ένος</w:t>
      </w:r>
      <w:r>
        <w:rPr>
          <w:lang w:val="en-US"/>
        </w:rPr>
        <w:t xml:space="preserve">)</w:t>
      </w:r>
      <w:r>
        <w:rPr>
          <w:lang w:val="el-GR"/>
        </w:rPr>
        <w:t xml:space="preserve">: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jc w:val="both"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  <w:t xml:space="preserve">Αυτό το FSM αναγνωρίζει αριθμούς κινητής υποδιαστολής. Ξεκινά στην κατάσταση S0, όπου αν</w:t>
      </w:r>
      <w:r>
        <w:rPr>
          <w:highlight w:val="none"/>
          <w:lang w:val="el-GR"/>
        </w:rPr>
        <w:t xml:space="preserve">αγνωρίζει είτε ένα πρόσημο (+ ή -), είτε έναν αριθμό (0-9). Αν εισαχθεί αριθμός, περνά στην κατάσταση S2. Από εκεί, αν ακολουθήσει δεκαδική υποδιαστολή (.), μεταβαίνει στην κατάσταση S3, ενώ αν συναντήσει (e ή E), μεταβαίνει στην κατάστασ</w:t>
      </w:r>
      <w:r>
        <w:rPr>
          <w:highlight w:val="none"/>
          <w:lang w:val="el-GR"/>
        </w:rPr>
        <w:t xml:space="preserve">η S5. Αν η είσοδος περιέχει περισσότερους αριθμούς, το FSM παραμένει στην S2 ή μεταβαίνει στις καταστάσεις S3, S4 και S7 για να ολοκληρώσει τον αριθμό. Στην κατάσταση S4, αν συναντηθεί μια νέα γραμμή (\n), το FSM α</w:t>
      </w:r>
      <w:r>
        <w:rPr>
          <w:highlight w:val="none"/>
          <w:lang w:val="el-GR"/>
        </w:rPr>
        <w:t xml:space="preserve">ποδέχεται τον αριθμό ως έγκυρο και καταλήγει στην κατάσταση GOOD, ενώ αν συναντήσει </w:t>
      </w:r>
      <w:r>
        <w:rPr>
          <w:highlight w:val="none"/>
          <w:lang w:val="el-GR"/>
        </w:rPr>
        <w:t xml:space="preserve">οτιδήποτε άλλο</w:t>
      </w:r>
      <w:r>
        <w:rPr>
          <w:highlight w:val="none"/>
          <w:lang w:val="el-GR"/>
        </w:rPr>
        <w:t xml:space="preserve">, πηγαίνει στην κατάσταση BIN (μη έγκυρη κατάσταση). Η κατάσταση S5 επιτρέπει την εισαγωγή του </w:t>
      </w:r>
      <w:r>
        <w:rPr>
          <w:highlight w:val="none"/>
          <w:lang w:val="el-GR"/>
        </w:rPr>
        <w:t xml:space="preserve">(e ή E)</w:t>
      </w:r>
      <w:r>
        <w:rPr>
          <w:highlight w:val="none"/>
          <w:lang w:val="el-GR"/>
        </w:rPr>
        <w:t xml:space="preserve"> και αριθμών, ενώ η κατάσταση S7 διαχειρίζεται </w:t>
      </w:r>
      <w:r>
        <w:rPr>
          <w:highlight w:val="none"/>
          <w:lang w:val="el-GR"/>
        </w:rPr>
        <w:t xml:space="preserve">την εκθετική παράσταση και τις εκτελέσεις που καταλήγουν σε </w:t>
      </w:r>
      <w:r>
        <w:rPr>
          <w:highlight w:val="none"/>
          <w:lang w:val="el-GR"/>
        </w:rPr>
        <w:t xml:space="preserve">έγκυρη κατ</w:t>
      </w:r>
      <w:r>
        <w:rPr>
          <w:highlight w:val="none"/>
          <w:lang w:val="el-GR"/>
        </w:rPr>
        <w:t xml:space="preserve">άσταση</w:t>
      </w:r>
      <w:r>
        <w:rPr>
          <w:highlight w:val="none"/>
          <w:lang w:val="el-GR"/>
        </w:rPr>
        <w:t xml:space="preserve"> (GOOD). Οι κατάσταση BIN διαχειρίζεται τις λ</w:t>
      </w:r>
      <w:r>
        <w:rPr>
          <w:highlight w:val="none"/>
          <w:lang w:val="el-GR"/>
        </w:rPr>
        <w:t xml:space="preserve">άθος</w:t>
      </w:r>
      <w:r>
        <w:rPr>
          <w:highlight w:val="none"/>
          <w:lang w:val="el-GR"/>
        </w:rPr>
        <w:t xml:space="preserve"> εισόδους και τα μη έγκυρα δεδομένα, ενώ η κατάσταση GOOD αποδέχεται την έγκυρη είσοδο και διατηρεί την εγκυρότητα μ</w:t>
      </w:r>
      <w:r>
        <w:rPr>
          <w:highlight w:val="none"/>
          <w:lang w:val="el-GR"/>
        </w:rPr>
        <w:t xml:space="preserve">έχρι το τέλος του αρχείου (EOF).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tbl>
      <w:tblPr>
        <w:tblStyle w:val="70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d9d9d9" w:themeColor="background1" w:themeShade="D9" w:fill="d9d9d9" w:themeFill="background1" w:themeFillShade="D9"/>
            <w:tcBorders/>
            <w:tcW w:w="936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START=S0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S0: </w:t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- + -&gt; S1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S2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S1: </w:t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S2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S2: </w:t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S2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. -&gt; S3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e E -&gt; S5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S3: </w:t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S4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S4: </w:t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S4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\n -&gt; GOOD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e E -&gt; S5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S5: </w:t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S7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- + -&gt; S6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S6: </w:t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S7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S7: </w:t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0-9 -&gt; S7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\n -&gt; GOOD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BIN: </w:t>
              <w:tab/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*-&gt; BIN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EOF -&gt; BAD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GOOD(OK):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EOF -&gt; GOOD</w:t>
            </w:r>
            <w:r/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ab/>
              <w:t xml:space="preserve">* -&gt; BIN</w:t>
            </w:r>
            <w:r/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</w:tc>
      </w:tr>
    </w:tbl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  <w:t xml:space="preserve">Εξαντλητικά </w:t>
      </w:r>
      <w:r>
        <w:rPr>
          <w:highlight w:val="none"/>
          <w:lang w:val="el-GR"/>
        </w:rPr>
        <w:t xml:space="preserve">τρεξ</w:t>
      </w:r>
      <w:r>
        <w:rPr>
          <w:highlight w:val="none"/>
          <w:lang w:val="el-GR"/>
        </w:rPr>
        <w:t xml:space="preserve">ί</w:t>
      </w:r>
      <w:r>
        <w:rPr>
          <w:highlight w:val="none"/>
          <w:lang w:val="el-GR"/>
        </w:rPr>
        <w:t xml:space="preserve">ματα</w:t>
      </w:r>
      <w:r>
        <w:rPr>
          <w:highlight w:val="none"/>
          <w:lang w:val="el-GR"/>
        </w:rPr>
        <w:t xml:space="preserve">:</w:t>
      </w:r>
      <w:r>
        <w:rPr>
          <w:highlight w:val="none"/>
          <w:lang w:val="el-GR"/>
        </w:rPr>
        <w:t xml:space="preserve"> 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tbl>
      <w:tblPr>
        <w:tblStyle w:val="70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d9d9d9" w:themeColor="background1" w:themeShade="D9" w:fill="d9d9d9" w:themeFill="background1" w:themeFillShade="D9"/>
            <w:tcBorders/>
            <w:tcW w:w="9360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0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0 -&gt;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\n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2)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312.345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3 -&gt;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1 -&gt;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3 -&gt;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5 -&gt;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3)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+2134.54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+ -&gt; s1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s1 2 -&gt;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1 -&gt;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3 -&gt;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5 -&gt;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4)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-3242.7865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s0 - -&gt; s1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s1 3 -&gt;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7 -&gt;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8 -&gt;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6 -&gt;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5 -&gt;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5)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345.34e684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3 -&gt;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5 -&gt;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3 -&gt;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6 -&gt;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8 -&gt;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4 -&gt;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6)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873.2E43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8 -&gt;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7 -&gt;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3 -&gt;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4 -&gt;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3 -&gt;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7)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284.26e+10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2 -&gt;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8 -&gt;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6 -&gt;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+ -&gt; s6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s6 1 -&gt;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0 -&gt;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8)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562.209e-5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5 -&gt;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6 -&gt;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0 -&gt;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9 -&gt;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s5 - -&gt; s6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s6 5 -&gt;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9)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562.23E+726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5 -&gt;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6 -&gt;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3 -&gt;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+ -&gt; s6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s6 7 -&gt;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2 -&gt;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6 -&gt;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10)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1645.268E-2689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1 -&gt;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6 -&gt;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5 -&gt;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6 -&gt;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8 -&gt;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s5 - -&gt; s6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s6 2 -&gt;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6 -&gt;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8 -&gt;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9 -&gt;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11)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27.23746.4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2 -&gt;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7 -&gt;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3 -&gt;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7 -&gt;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6 -&gt;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.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4 -&gt;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\n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12)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629.     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6 -&gt;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9 -&gt;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\n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13)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729e25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7 -&gt;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2 -&gt;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9 -&gt;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2 -&gt;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5 -&gt;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14)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0e0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0 -&gt;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0 -&gt;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15)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579E345e10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5 -&gt;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7 -&gt;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9 -&gt;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3 -&gt;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4 -&gt;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5 -&gt;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e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1 -&gt;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0 -&gt;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\n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16)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540..234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5 -&gt;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0 -&gt;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.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2 -&gt;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3 -&gt;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4 -&gt;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\n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17)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890.26eE2345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8 -&gt;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9 -&gt;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0 -&gt;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2 -&gt;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6 -&gt;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E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2 -&gt;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3 -&gt;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4 -&gt;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5 -&gt;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\n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18)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2384e4.2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2 -&gt;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3 -&gt;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8 -&gt;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4 -&gt;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4 -&gt;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.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2 -&gt;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\n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19)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7890.134e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7 -&gt;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8 -&gt;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9 -&gt;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0 -&gt;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1 -&gt;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3 -&gt;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\n -&gt; bin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bin EOF -&gt; bad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NO</w:t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20) 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./fsm -trace float.fsm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716.74E01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s0 7 -&gt;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1 -&gt;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6 -&gt; s2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s2 . -&gt; s3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s3 7 -&gt;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4 -&gt; s4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s4 E -&gt; s5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s5 0 -&gt;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1 -&gt; s7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s7 \n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good EOF -&gt; good </w:t>
            </w:r>
            <w:r>
              <w:rPr>
                <w:rFonts w:ascii="Consolas" w:hAnsi="Consolas" w:cs="Consolas"/>
                <w:lang w:val="el-GR"/>
              </w:rPr>
            </w:r>
            <w:r>
              <w:rPr>
                <w:rFonts w:ascii="Consolas" w:hAnsi="Consolas" w:cs="Consolas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eastAsia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YES</w:t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21) </w:t>
            </w: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./fsm -trace a2_float.fsm                                                                                                                                        1 ↵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E532.43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s0 E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5 -&gt;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3 -&gt;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2 -&gt;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.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4 -&gt;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3 -&gt;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\n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EOF -&gt; bad </w:t>
            </w:r>
            <w:r/>
          </w:p>
          <w:p>
            <w:pPr>
              <w:pBdr/>
              <w:spacing/>
              <w:ind/>
              <w:rPr>
                <w:rFonts w:ascii="Consolas" w:hAnsi="Consolas" w:eastAsia="Consolas" w:cs="Consolas"/>
                <w:highlight w:val="none"/>
                <w:lang w:val="en-US"/>
              </w:rPr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NO</w:t>
            </w:r>
            <w:r>
              <w:rPr>
                <w:rFonts w:ascii="Consolas" w:hAnsi="Consolas" w:eastAsia="Consolas" w:cs="Consolas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highlight w:val="none"/>
                <w:lang w:val="en-US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21) </w:t>
            </w: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./fsm -trace a2_float.fsm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24.e532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s0 2 -&gt; s2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s2 4 -&gt; s2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s2 . -&gt; s3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s3 e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5 -&gt;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3 -&gt;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2 -&gt;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\n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EOF -&gt; bad </w:t>
            </w:r>
            <w:r/>
          </w:p>
          <w:p>
            <w:pPr>
              <w:pBdr/>
              <w:spacing/>
              <w:ind/>
              <w:rPr>
                <w:rFonts w:ascii="Consolas" w:hAnsi="Consolas" w:eastAsia="Consolas" w:cs="Consolas"/>
                <w:highlight w:val="none"/>
                <w:lang w:val="en-US"/>
              </w:rPr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NO</w:t>
            </w:r>
            <w:r>
              <w:rPr>
                <w:rFonts w:ascii="Consolas" w:hAnsi="Consolas" w:eastAsia="Consolas" w:cs="Consolas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highlight w:val="none"/>
                <w:lang w:val="en-US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highlight w:val="none"/>
                <w:lang w:val="el-GR"/>
              </w:rPr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  <w:r>
              <w:rPr>
                <w:rFonts w:ascii="Consolas" w:hAnsi="Consolas" w:cs="Consolas"/>
                <w:highlight w:val="none"/>
                <w:lang w:val="el-GR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22) </w:t>
            </w: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./fsm -trace a2_float.fsm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.63E67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s0 .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6 -&gt;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3 -&gt;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E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6 -&gt;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7 -&gt;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\n -&gt; bin 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bin EOF -&gt; bad </w:t>
            </w:r>
            <w:r/>
          </w:p>
          <w:p>
            <w:pPr>
              <w:pBdr/>
              <w:spacing/>
              <w:ind/>
              <w:rPr>
                <w:rFonts w:ascii="Consolas" w:hAnsi="Consolas" w:eastAsia="Consolas" w:cs="Consolas"/>
                <w:highlight w:val="none"/>
                <w:lang w:val="en-US"/>
              </w:rPr>
            </w:pPr>
            <w:r>
              <w:rPr>
                <w:rFonts w:ascii="Consolas" w:hAnsi="Consolas" w:eastAsia="Consolas" w:cs="Consolas"/>
                <w:highlight w:val="none"/>
                <w:lang w:val="en-US"/>
              </w:rPr>
              <w:t xml:space="preserve">NO</w:t>
            </w:r>
            <w:r>
              <w:rPr>
                <w:rFonts w:ascii="Consolas" w:hAnsi="Consolas" w:eastAsia="Consolas" w:cs="Consolas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highlight w:val="none"/>
                <w:lang w:val="en-US"/>
              </w:rPr>
            </w:r>
          </w:p>
        </w:tc>
      </w:tr>
    </w:tbl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  <w:br w:type="page" w:clear="all"/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  <w:t xml:space="preserve">Πίνακας μεταβάσεων</w:t>
      </w:r>
      <w:r>
        <w:rPr>
          <w:highlight w:val="none"/>
          <w:lang w:val="el-GR"/>
        </w:rPr>
        <w:t xml:space="preserve">:</w:t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tbl>
      <w:tblPr>
        <w:tblStyle w:val="701"/>
        <w:tblW w:w="0" w:type="auto"/>
        <w:tblBorders/>
        <w:tblLayout w:type="fixed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Τρέχουσ</w:t>
            </w:r>
            <w:r>
              <w:rPr>
                <w:lang w:val="el-GR"/>
              </w:rPr>
              <w:t xml:space="preserve">α κα</w:t>
            </w:r>
            <w:r>
              <w:rPr>
                <w:lang w:val="el-GR"/>
              </w:rPr>
              <w:t xml:space="preserve">τάστ</w:t>
            </w:r>
            <w:r>
              <w:rPr>
                <w:lang w:val="el-GR"/>
              </w:rPr>
              <w:t xml:space="preserve">α</w:t>
            </w:r>
            <w:r>
              <w:rPr>
                <w:lang w:val="el-GR"/>
              </w:rPr>
              <w:t xml:space="preserve">ση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Είσοδος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Επ</w:t>
            </w:r>
            <w:r>
              <w:rPr>
                <w:lang w:val="el-GR"/>
              </w:rPr>
              <w:t xml:space="preserve">όμενη</w:t>
            </w:r>
            <w:r>
              <w:rPr>
                <w:lang w:val="el-GR"/>
              </w:rPr>
              <w:t xml:space="preserve"> κα</w:t>
            </w:r>
            <w:r>
              <w:rPr>
                <w:lang w:val="el-GR"/>
              </w:rPr>
              <w:t xml:space="preserve">τάστ</w:t>
            </w:r>
            <w:r>
              <w:rPr>
                <w:lang w:val="el-GR"/>
              </w:rPr>
              <w:t xml:space="preserve">α</w:t>
            </w:r>
            <w:r>
              <w:rPr>
                <w:lang w:val="el-GR"/>
              </w:rPr>
              <w:t xml:space="preserve">ση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pP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r>
          </w:p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S0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 w:after="0" w:afterAutospacing="0" w:before="0" w:beforeAutospacing="0"/>
              <w:ind w:left="0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el-GR"/>
              </w:rPr>
            </w:pP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el-GR"/>
              </w:rPr>
              <w:t xml:space="preserve">+ -</w:t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el-GR"/>
              </w:rPr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pP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  <w:t xml:space="preserve">0-9</w:t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r>
            <w:r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2"/>
                <w:szCs w:val="22"/>
                <w:u w:val="none"/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465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  <w:p>
            <w:pPr>
              <w:pStyle w:val="885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S1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  <w:p>
            <w:pPr>
              <w:pStyle w:val="885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9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S2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.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E </w:t>
            </w:r>
            <w:r>
              <w:rPr>
                <w:lang w:val="el-GR"/>
              </w:rPr>
              <w:t xml:space="preserve">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S3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S4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E </w:t>
            </w:r>
            <w:r>
              <w:rPr>
                <w:lang w:val="el-GR"/>
              </w:rPr>
              <w:t xml:space="preserve">e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S5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S7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+ -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S6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S6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S7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jc w:val="left"/>
              <w:rPr>
                <w:lang w:val="el-GR"/>
              </w:rPr>
            </w:pPr>
            <w:r>
              <w:rPr>
                <w:lang w:val="el-GR"/>
              </w:rPr>
              <w:t xml:space="preserve">S7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0-9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S7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B</w:t>
            </w:r>
            <w:r>
              <w:rPr>
                <w:lang w:val="en-US"/>
              </w:rPr>
              <w:t xml:space="preserve">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\n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l-GR"/>
              </w:rPr>
              <w:t xml:space="preserve">GOOD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BIN</w:t>
            </w:r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n-US"/>
              </w:rPr>
              <w:t xml:space="preserve">*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l-GR"/>
              </w:rPr>
            </w:pPr>
            <w:r>
              <w:rPr>
                <w:lang w:val="en-US"/>
              </w:rPr>
              <w:t xml:space="preserve">BIN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EOF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BAD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GOOD</w:t>
            </w:r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EOF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GOOD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trHeight w:val="300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*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3120" w:type="dxa"/>
            <w:vMerge w:val="restart"/>
            <w:textDirection w:val="lrTb"/>
            <w:noWrap w:val="false"/>
          </w:tcPr>
          <w:p>
            <w:pPr>
              <w:pStyle w:val="885"/>
              <w:pBdr/>
              <w:spacing/>
              <w:ind/>
              <w:rPr>
                <w:lang w:val="en-US"/>
              </w:rPr>
            </w:pPr>
            <w:r>
              <w:rPr>
                <w:lang w:val="en-US"/>
              </w:rPr>
              <w:t xml:space="preserve">BIN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pPr>
        <w:pBdr/>
        <w:spacing/>
        <w:ind/>
        <w:rPr>
          <w:highlight w:val="none"/>
          <w:lang w:val="el-GR"/>
        </w:rPr>
      </w:pPr>
      <w:r>
        <w:rPr>
          <w:highlight w:val="none"/>
          <w:lang w:val="el-GR"/>
        </w:rPr>
      </w:r>
      <w:r>
        <w:rPr>
          <w:highlight w:val="none"/>
          <w:lang w:val="el-GR"/>
        </w:rPr>
      </w:r>
      <w:r>
        <w:rPr>
          <w:highlight w:val="none"/>
          <w:lang w:val="el-GR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 Narrow">
    <w:panose1 w:val="05040102010807070707"/>
  </w:font>
  <w:font w:name="Consolas">
    <w:panose1 w:val="020B060902020403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5"/>
    <w:next w:val="885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5"/>
    <w:next w:val="885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5"/>
    <w:next w:val="885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5"/>
    <w:next w:val="885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5"/>
    <w:next w:val="885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5"/>
    <w:next w:val="885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5"/>
    <w:next w:val="885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5"/>
    <w:next w:val="885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5"/>
    <w:next w:val="885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5"/>
    <w:next w:val="885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5"/>
    <w:next w:val="885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5"/>
    <w:next w:val="885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5"/>
    <w:next w:val="885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5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5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5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5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5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6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7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8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9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80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1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2">
    <w:name w:val="toc 9"/>
    <w:basedOn w:val="885"/>
    <w:next w:val="885"/>
    <w:uiPriority w:val="39"/>
    <w:unhideWhenUsed/>
    <w:pPr>
      <w:pBdr/>
      <w:spacing w:after="100"/>
      <w:ind w:left="1760"/>
    </w:p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qFormat/>
    <w:pPr>
      <w:pBdr/>
      <w:spacing/>
      <w:ind/>
    </w:pPr>
  </w:style>
  <w:style w:type="table" w:styleId="88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paragraph" w:styleId="888">
    <w:name w:val="No Spacing"/>
    <w:basedOn w:val="885"/>
    <w:uiPriority w:val="1"/>
    <w:qFormat/>
    <w:pPr>
      <w:pBdr/>
      <w:spacing w:after="0" w:line="240" w:lineRule="auto"/>
      <w:ind/>
    </w:pPr>
  </w:style>
  <w:style w:type="paragraph" w:styleId="889">
    <w:name w:val="List Paragraph"/>
    <w:basedOn w:val="88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2025-05-16T19:55:18Z</dcterms:modified>
</cp:coreProperties>
</file>