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1</w:t>
      </w:r>
    </w:p>
    <w:p>
      <w:pPr>
        <w:pStyle w:val="Subtitle"/>
      </w:pPr>
      <w:r>
        <w:t xml:space="preserve">Установка ОС</w:t>
      </w:r>
    </w:p>
    <w:p>
      <w:pPr>
        <w:pStyle w:val="Author"/>
      </w:pPr>
      <w:r>
        <w:t xml:space="preserve">Накова Амина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Произведём скачивание и установку виртуальной машины через сайт(рис. 1):</w:t>
      </w:r>
      <w:r>
        <w:t xml:space="preserve"> </w:t>
      </w:r>
      <w:r>
        <w:t xml:space="preserve">https://www.virtualbox.org/</w:t>
      </w:r>
    </w:p>
    <w:bookmarkStart w:id="25" w:name="fig:001"/>
    <w:p>
      <w:pPr>
        <w:pStyle w:val="CaptionedFigure"/>
      </w:pPr>
      <w:r>
        <w:drawing>
          <wp:inline>
            <wp:extent cx="3733800" cy="1771340"/>
            <wp:effectExtent b="0" l="0" r="0" t="0"/>
            <wp:docPr descr="Рис. 1: Скачив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виртуальной машины</w:t>
      </w:r>
    </w:p>
    <w:bookmarkEnd w:id="25"/>
    <w:p>
      <w:pPr>
        <w:pStyle w:val="BodyText"/>
      </w:pPr>
      <w:r>
        <w:t xml:space="preserve">Следующим шагом нужно скачать дистрибутив Linux Rocky, воспользовавшись сайтом(рис. 2):</w:t>
      </w:r>
      <w:r>
        <w:t xml:space="preserve"> </w:t>
      </w:r>
      <w:r>
        <w:t xml:space="preserve">https://rockylinux.org/download</w:t>
      </w:r>
    </w:p>
    <w:bookmarkStart w:id="29" w:name="fig:002"/>
    <w:p>
      <w:pPr>
        <w:pStyle w:val="CaptionedFigure"/>
      </w:pPr>
      <w:r>
        <w:drawing>
          <wp:inline>
            <wp:extent cx="3733800" cy="2253315"/>
            <wp:effectExtent b="0" l="0" r="0" t="0"/>
            <wp:docPr descr="Рис. 2: Скачивание дистрибутива Linux Rocky." title="" id="27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Скачивание дистрибутива Linux Rocky.</w:t>
      </w:r>
    </w:p>
    <w:bookmarkEnd w:id="29"/>
    <w:p>
      <w:pPr>
        <w:pStyle w:val="BodyText"/>
      </w:pPr>
      <w:r>
        <w:t xml:space="preserve">Переходим к настройкам установки операционной системы и выбираем английский язык для интерфейса(рис. 3).</w:t>
      </w:r>
    </w:p>
    <w:bookmarkStart w:id="33" w:name="fig:003"/>
    <w:p>
      <w:pPr>
        <w:pStyle w:val="CaptionedFigure"/>
      </w:pPr>
      <w:r>
        <w:drawing>
          <wp:inline>
            <wp:extent cx="3733800" cy="1895695"/>
            <wp:effectExtent b="0" l="0" r="0" t="0"/>
            <wp:docPr descr="Рис. 3: Установка английского языка интерфейса ОС." title="" id="31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английского языка интерфейса ОС.</w:t>
      </w:r>
    </w:p>
    <w:bookmarkEnd w:id="33"/>
    <w:p>
      <w:pPr>
        <w:pStyle w:val="BodyText"/>
      </w:pPr>
      <w:r>
        <w:t xml:space="preserve">При выборе места установки оставляем параметры, которые были выставлены автоматически(рис. 4).</w:t>
      </w:r>
    </w:p>
    <w:bookmarkStart w:id="37" w:name="fig:004"/>
    <w:p>
      <w:pPr>
        <w:pStyle w:val="CaptionedFigure"/>
      </w:pPr>
      <w:r>
        <w:drawing>
          <wp:inline>
            <wp:extent cx="3733800" cy="1935000"/>
            <wp:effectExtent b="0" l="0" r="0" t="0"/>
            <wp:docPr descr="Рис. 4: Окно настройки установки: место установки." title="" id="35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настройки установки: место установки.</w:t>
      </w:r>
    </w:p>
    <w:bookmarkEnd w:id="37"/>
    <w:p>
      <w:pPr>
        <w:pStyle w:val="BodyText"/>
      </w:pPr>
      <w:r>
        <w:t xml:space="preserve">В разделе выбора программ указываем в качестве базового окружения Server with GUI , а в качестве дополнения — Development Tools(рис. 5).</w:t>
      </w:r>
    </w:p>
    <w:bookmarkStart w:id="41" w:name="fig:005"/>
    <w:p>
      <w:pPr>
        <w:pStyle w:val="CaptionedFigure"/>
      </w:pPr>
      <w:r>
        <w:drawing>
          <wp:inline>
            <wp:extent cx="3733800" cy="2279633"/>
            <wp:effectExtent b="0" l="0" r="0" t="0"/>
            <wp:docPr descr="Рис. 5: Окно настройки установки: выбор программ." title="" id="39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установки: выбор программ.</w:t>
      </w:r>
    </w:p>
    <w:bookmarkEnd w:id="41"/>
    <w:p>
      <w:pPr>
        <w:pStyle w:val="BodyText"/>
      </w:pPr>
      <w:r>
        <w:t xml:space="preserve">Отключаем KDUMP(рис. 6).</w:t>
      </w:r>
    </w:p>
    <w:bookmarkStart w:id="45" w:name="fig:006"/>
    <w:p>
      <w:pPr>
        <w:pStyle w:val="CaptionedFigure"/>
      </w:pPr>
      <w:r>
        <w:drawing>
          <wp:inline>
            <wp:extent cx="3733800" cy="633953"/>
            <wp:effectExtent b="0" l="0" r="0" t="0"/>
            <wp:docPr descr="Рис. 6: Окно настройки установки: отключение KDUMP." title="" id="43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настройки установки: отключение KDUMP.</w:t>
      </w:r>
    </w:p>
    <w:bookmarkEnd w:id="45"/>
    <w:p>
      <w:pPr>
        <w:pStyle w:val="BodyText"/>
      </w:pPr>
      <w:r>
        <w:t xml:space="preserve">Включаем сетевое соединение(рис. 7).</w:t>
      </w:r>
    </w:p>
    <w:bookmarkStart w:id="49" w:name="fig:007"/>
    <w:p>
      <w:pPr>
        <w:pStyle w:val="CaptionedFigure"/>
      </w:pPr>
      <w:r>
        <w:drawing>
          <wp:inline>
            <wp:extent cx="3733800" cy="400050"/>
            <wp:effectExtent b="0" l="0" r="0" t="0"/>
            <wp:docPr descr="Рис. 7: Окно настройки установки: сеть и имя узла." title="" id="47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сеть и имя узла.</w:t>
      </w:r>
    </w:p>
    <w:bookmarkEnd w:id="49"/>
    <w:p>
      <w:pPr>
        <w:pStyle w:val="BodyText"/>
      </w:pPr>
      <w:r>
        <w:t xml:space="preserve">Скорректируем раскладку клавиатуры (добавим русский язык, но в качестве языка по умолчанию укажем английский язык; зададим комбинацию клавиш для переключения между раскладками клавиатуры - Alt + Shift )(рис. 8).</w:t>
      </w:r>
    </w:p>
    <w:bookmarkStart w:id="53" w:name="fig:008"/>
    <w:p>
      <w:pPr>
        <w:pStyle w:val="CaptionedFigure"/>
      </w:pPr>
      <w:r>
        <w:drawing>
          <wp:inline>
            <wp:extent cx="3733800" cy="1225598"/>
            <wp:effectExtent b="0" l="0" r="0" t="0"/>
            <wp:docPr descr="Рис. 8: Окно настройки установки: язык клавиатуры и горячие клавиши." title="" id="51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язык клавиатуры и горячие клавиши.</w:t>
      </w:r>
    </w:p>
    <w:bookmarkEnd w:id="53"/>
    <w:p>
      <w:pPr>
        <w:pStyle w:val="BodyText"/>
      </w:pPr>
      <w:r>
        <w:t xml:space="preserve">Устанавливаем пароль для root и пользователя с правами администратора (рис. 9) и (рис. 10).</w:t>
      </w:r>
    </w:p>
    <w:bookmarkStart w:id="57" w:name="fig:009"/>
    <w:p>
      <w:pPr>
        <w:pStyle w:val="CaptionedFigure"/>
      </w:pPr>
      <w:r>
        <w:drawing>
          <wp:inline>
            <wp:extent cx="3733800" cy="991274"/>
            <wp:effectExtent b="0" l="0" r="0" t="0"/>
            <wp:docPr descr="Рис. 9: Установка пароля для root." title="" id="55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 для root.</w:t>
      </w:r>
    </w:p>
    <w:bookmarkEnd w:id="57"/>
    <w:bookmarkStart w:id="61" w:name="fig:010"/>
    <w:p>
      <w:pPr>
        <w:pStyle w:val="CaptionedFigure"/>
      </w:pPr>
      <w:r>
        <w:drawing>
          <wp:inline>
            <wp:extent cx="3733800" cy="1197907"/>
            <wp:effectExtent b="0" l="0" r="0" t="0"/>
            <wp:docPr descr="Рис. 10: Установка пароля для пользователя с правами администратора." title="" id="59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пользователя с правами администратора.</w:t>
      </w:r>
    </w:p>
    <w:bookmarkEnd w:id="61"/>
    <w:p>
      <w:pPr>
        <w:pStyle w:val="BodyText"/>
      </w:pPr>
      <w:r>
        <w:t xml:space="preserve">Начинаем процесс установки ОС (рис. 11) и (рис. 12).</w:t>
      </w:r>
    </w:p>
    <w:bookmarkStart w:id="65" w:name="fig:011"/>
    <w:p>
      <w:pPr>
        <w:pStyle w:val="CaptionedFigure"/>
      </w:pPr>
      <w:r>
        <w:drawing>
          <wp:inline>
            <wp:extent cx="3733800" cy="2347768"/>
            <wp:effectExtent b="0" l="0" r="0" t="0"/>
            <wp:docPr descr="Рис. 11: Запуск установки ОС." title="" id="63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установки ОС.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254640"/>
            <wp:effectExtent b="0" l="0" r="0" t="0"/>
            <wp:docPr descr="Рис. 12: Установка ОС." title="" id="67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ОС.</w:t>
      </w:r>
    </w:p>
    <w:bookmarkEnd w:id="69"/>
    <w:p>
      <w:pPr>
        <w:pStyle w:val="BodyText"/>
      </w:pPr>
      <w:r>
        <w:t xml:space="preserve">Дожидаемся и завершаем установку. После успешной установки выполняем перезагрузку системы. Последним пунктом нашей лабораторной работы становится подключение образа диска Дополнительной гостевой ОС (рис. 13)</w:t>
      </w:r>
    </w:p>
    <w:bookmarkStart w:id="73" w:name="fig:013"/>
    <w:p>
      <w:pPr>
        <w:pStyle w:val="CaptionedFigure"/>
      </w:pPr>
      <w:r>
        <w:drawing>
          <wp:inline>
            <wp:extent cx="3733800" cy="2912653"/>
            <wp:effectExtent b="0" l="0" r="0" t="0"/>
            <wp:docPr descr="Рис. 13: Подключение образа диска Дополнительной гостевой ОС." title="" id="71" name="Picture"/>
            <a:graphic>
              <a:graphicData uri="http://schemas.openxmlformats.org/drawingml/2006/picture">
                <pic:pic>
                  <pic:nvPicPr>
                    <pic:cNvPr descr="C:\Users\Nakov\work\study\2024-2025\OAOS\os2\labs\lab01\report\image\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Дополнительной гостевой ОС.</w:t>
      </w:r>
    </w:p>
    <w:bookmarkEnd w:id="73"/>
    <w:p>
      <w:pPr>
        <w:pStyle w:val="BodyText"/>
      </w:pPr>
      <w:r>
        <w:t xml:space="preserve">Домашнее задание:</w:t>
      </w:r>
      <w:r>
        <w:t xml:space="preserve"> </w:t>
      </w:r>
      <w:r>
        <w:t xml:space="preserve">1) Версия ядра Linux (Linux version).</w:t>
      </w:r>
      <w:r>
        <w:t xml:space="preserve"> </w:t>
      </w:r>
      <w:r>
        <w:t xml:space="preserve">Версию ядра можно посмотреть командой dmesg | grep</w:t>
      </w:r>
      <w:r>
        <w:t xml:space="preserve"> </w:t>
      </w:r>
      <w:r>
        <w:t xml:space="preserve">“linux version”</w:t>
      </w:r>
      <w:r>
        <w:t xml:space="preserve">.</w:t>
      </w:r>
      <w:r>
        <w:t xml:space="preserve"> </w:t>
      </w:r>
      <w:r>
        <w:t xml:space="preserve">Ответы на контрольные вопросы</w:t>
      </w:r>
      <w:r>
        <w:t xml:space="preserve"> </w:t>
      </w:r>
      <w:r>
        <w:t xml:space="preserve">1) Содержит информацию об идентификаторе учетной записи пользователя и ее имени, идентификаторе основной группы пользователя и ее названии</w:t>
      </w:r>
      <w:r>
        <w:t xml:space="preserve"> </w:t>
      </w:r>
      <w:r>
        <w:t xml:space="preserve">2)</w:t>
      </w:r>
      <w:r>
        <w:t xml:space="preserve"> </w:t>
      </w:r>
      <w:r>
        <w:t xml:space="preserve">• для получения справки по команде – info</w:t>
      </w:r>
      <w:r>
        <w:t xml:space="preserve"> </w:t>
      </w:r>
      <w:r>
        <w:t xml:space="preserve">“название команды”</w:t>
      </w:r>
      <w:r>
        <w:t xml:space="preserve"> </w:t>
      </w:r>
      <w:r>
        <w:t xml:space="preserve">или</w:t>
      </w:r>
      <w:r>
        <w:t xml:space="preserve"> </w:t>
      </w:r>
      <w:r>
        <w:t xml:space="preserve">“название команды”</w:t>
      </w:r>
      <w:r>
        <w:t xml:space="preserve"> </w:t>
      </w:r>
      <w:r>
        <w:t xml:space="preserve">–help</w:t>
      </w:r>
      <w:r>
        <w:t xml:space="preserve"> </w:t>
      </w:r>
      <w:r>
        <w:t xml:space="preserve">• для перемещения по файловой системе – cd</w:t>
      </w:r>
      <w:r>
        <w:t xml:space="preserve"> </w:t>
      </w:r>
      <w:r>
        <w:t xml:space="preserve">“путь”</w:t>
      </w:r>
      <w:r>
        <w:t xml:space="preserve"> </w:t>
      </w:r>
      <w:r>
        <w:t xml:space="preserve">• для просмотра содержимого каталога – dir либо ls</w:t>
      </w:r>
      <w:r>
        <w:t xml:space="preserve"> </w:t>
      </w:r>
      <w:r>
        <w:t xml:space="preserve">• для определения объема каталога – du -sh</w:t>
      </w:r>
      <w:r>
        <w:t xml:space="preserve"> </w:t>
      </w:r>
      <w:r>
        <w:t xml:space="preserve">“путь”</w:t>
      </w:r>
      <w:r>
        <w:t xml:space="preserve"> </w:t>
      </w:r>
      <w:r>
        <w:t xml:space="preserve">• для создания каталога - mkdir</w:t>
      </w:r>
      <w:r>
        <w:t xml:space="preserve"> </w:t>
      </w:r>
      <w:r>
        <w:t xml:space="preserve">“название”</w:t>
      </w:r>
      <w:r>
        <w:t xml:space="preserve"> </w:t>
      </w:r>
      <w:r>
        <w:t xml:space="preserve">для удаления – rmdir</w:t>
      </w:r>
      <w:r>
        <w:t xml:space="preserve"> </w:t>
      </w:r>
      <w:r>
        <w:t xml:space="preserve">“название”</w:t>
      </w:r>
      <w:r>
        <w:br/>
      </w:r>
      <w:r>
        <w:t xml:space="preserve">для создания файла touch</w:t>
      </w:r>
      <w:r>
        <w:t xml:space="preserve"> </w:t>
      </w:r>
      <w:r>
        <w:t xml:space="preserve">“название”</w:t>
      </w:r>
      <w:r>
        <w:t xml:space="preserve"> </w:t>
      </w:r>
      <w:r>
        <w:t xml:space="preserve">или cat &gt;</w:t>
      </w:r>
      <w:r>
        <w:t xml:space="preserve"> </w:t>
      </w:r>
      <w:r>
        <w:t xml:space="preserve">“название”</w:t>
      </w:r>
      <w:r>
        <w:t xml:space="preserve"> </w:t>
      </w:r>
      <w:r>
        <w:t xml:space="preserve">для удаления rm</w:t>
      </w:r>
      <w:r>
        <w:t xml:space="preserve"> </w:t>
      </w:r>
      <w:r>
        <w:t xml:space="preserve">“название”</w:t>
      </w:r>
      <w:r>
        <w:t xml:space="preserve"> </w:t>
      </w:r>
      <w:r>
        <w:t xml:space="preserve">• для создания каталога с правами mkdir –mode=</w:t>
      </w:r>
      <w:r>
        <w:t xml:space="preserve">“идентификатор”</w:t>
      </w:r>
      <w:r>
        <w:t xml:space="preserve"> </w:t>
      </w:r>
      <w:r>
        <w:t xml:space="preserve">“название каталога”</w:t>
      </w:r>
      <w:r>
        <w:t xml:space="preserve"> </w:t>
      </w:r>
      <w:r>
        <w:t xml:space="preserve">для правки прав доступа для файла chmod</w:t>
      </w:r>
      <w:r>
        <w:t xml:space="preserve"> </w:t>
      </w:r>
      <w:r>
        <w:t xml:space="preserve">• для просмотра истории команд - history</w:t>
      </w:r>
      <w:r>
        <w:t xml:space="preserve"> </w:t>
      </w:r>
      <w:r>
        <w:t xml:space="preserve">3) Файловая система определяет способ хранения, организации данных/информации на определенных носителях.</w:t>
      </w:r>
      <w:r>
        <w:t xml:space="preserve"> </w:t>
      </w:r>
      <w:r>
        <w:t xml:space="preserve">4) dmesg | grep</w:t>
      </w:r>
      <w:r>
        <w:t xml:space="preserve"> </w:t>
      </w:r>
      <w:r>
        <w:t xml:space="preserve">“filesystem”</w:t>
      </w:r>
      <w:r>
        <w:t xml:space="preserve"> </w:t>
      </w:r>
      <w:r>
        <w:t xml:space="preserve">5) pkill «название процесса»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7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</dc:title>
  <dc:creator>Накова Амина Михайловна</dc:creator>
  <dc:language>ru-RU</dc:language>
  <cp:keywords/>
  <dcterms:created xsi:type="dcterms:W3CDTF">2025-03-16T23:08:09Z</dcterms:created>
  <dcterms:modified xsi:type="dcterms:W3CDTF">2025-03-16T23:08:09Z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Установка ОС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