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Subjective Analysis of News Articles</w:t>
      </w:r>
    </w:p>
    <w:p>
      <w:pPr>
        <w:spacing w:after="40"/>
      </w:pPr>
      <w:r>
        <w:t>Semester Project Paper – Text Mining / NLP</w:t>
      </w:r>
    </w:p>
    <w:p>
      <w:pPr>
        <w:spacing w:after="200"/>
      </w:pPr>
      <w:r>
        <w:t>Author: (fill in name) | Date: May 14, 2026</w:t>
      </w:r>
    </w:p>
    <w:p>
      <w:r>
        <w:t>The goal of this paper is to design and implement a pipeline for acquiring Czech news articles, preprocessing them, and computing a metric of subjectivity/bias. The results are demonstrated on data from Seznam Zprávy, Deník N, and Parlamentní listy.</w:t>
      </w:r>
    </w:p>
    <w:p/>
    <w:p>
      <w:pPr>
        <w:pStyle w:val="Heading1"/>
      </w:pPr>
      <w:r>
        <w:t>Motivation</w:t>
      </w:r>
    </w:p>
    <w:p>
      <w:r>
        <w:t>News reporting often combines facts with commentary, evaluative wording, and emotionally loaded language. For analytical and educational purposes, it is useful to quantify the degree of subjectivity in a text and compare it across different sources.</w:t>
      </w:r>
    </w:p>
    <w:p>
      <w:pPr>
        <w:pStyle w:val="Heading1"/>
      </w:pPr>
      <w:r>
        <w:t>Introduction</w:t>
      </w:r>
    </w:p>
    <w:p>
      <w:r>
        <w:t>The project works with Czech articles: it automatically downloads them from the selected websites, cleans the text, and performs linguistic annotation (POS tagging, lemmatization). On top of this processed data, we compute topics (TF‑IDF), sentiment, and most importantly a custom subjectivity index based on the ratio of evaluative words.</w:t>
      </w:r>
    </w:p>
    <w:p>
      <w:pPr>
        <w:pStyle w:val="Heading1"/>
      </w:pPr>
      <w:r>
        <w:t>Methodology</w:t>
      </w:r>
    </w:p>
    <w:p>
      <w:pPr>
        <w:pStyle w:val="Heading2"/>
      </w:pPr>
      <w:r>
        <w:t>Data Collection (Web Scraping)</w:t>
      </w:r>
    </w:p>
    <w:p>
      <w:r>
        <w:t>Articles are downloaded using the newspaper3k and BeautifulSoup libraries. In the sample run, 111 links were found on the initial source and 102 candidate articles remained after filtering.</w:t>
      </w:r>
    </w:p>
    <w:p>
      <w:pPr>
        <w:pStyle w:val="Heading2"/>
      </w:pPr>
      <w:r>
        <w:t>Text Preprocessing</w:t>
      </w:r>
    </w:p>
    <w:p>
      <w:r>
        <w:t>The text is tokenized, lowercased, punctuation is removed, and Czech stop words are filtered out. The output is the `cleaned_text` column, which serves as input to subsequent steps.</w:t>
      </w:r>
    </w:p>
    <w:p>
      <w:pPr>
        <w:pStyle w:val="Heading2"/>
      </w:pPr>
      <w:r>
        <w:t>POS Tagging (Stanza)</w:t>
      </w:r>
    </w:p>
    <w:p>
      <w:r>
        <w:t>To assign part-of-speech tags, we use a Czech Stanza model. The output is a list of (token, POS) pairs, which can be used for example to compute the ratio of adjectives and adverbs.</w:t>
      </w:r>
    </w:p>
    <w:p>
      <w:pPr>
        <w:pStyle w:val="Heading2"/>
      </w:pPr>
      <w:r>
        <w:t>Lemmatization (UDPipe)</w:t>
      </w:r>
    </w:p>
    <w:p>
      <w:r>
        <w:t>Lemmatization normalizes inflected word forms into their base form. The project uses `ufal.udpipe`. From lemmatized tokens, we can also build bigrams and refine TF‑IDF topics.</w:t>
      </w:r>
    </w:p>
    <w:p>
      <w:pPr>
        <w:pStyle w:val="Heading2"/>
      </w:pPr>
      <w:r>
        <w:t>TF‑IDF and Topics</w:t>
      </w:r>
    </w:p>
    <w:p>
      <w:r>
        <w:t>Using `TfidfVectorizer`, we identify keywords and n-grams for each article. This step helps with quick orientation in the article content and verifies that preprocessing works correctly.</w:t>
      </w:r>
    </w:p>
    <w:p>
      <w:pPr>
        <w:pStyle w:val="Heading2"/>
      </w:pPr>
      <w:r>
        <w:t>Sentiment and Bias</w:t>
      </w:r>
    </w:p>
    <w:p>
      <w:r>
        <w:t>Sentiment is estimated using a transformer model (HuggingFace). Beyond sentiment, we compute a custom subjectivity index and then a final bias score (0–10) that combines subjectivity with adjective polarization using Word2Vec and anchor words.</w:t>
      </w:r>
    </w:p>
    <w:p>
      <w:pPr>
        <w:pStyle w:val="Heading1"/>
      </w:pPr>
      <w:r>
        <w:t>Implementation</w:t>
      </w:r>
    </w:p>
    <w:p>
      <w:r>
        <w:t>The entire implementation is contained in a single Jupyter notebook. Data is stored in a pandas DataFrame where new columns are progressively added (`cleaned_text`, `pos_tags`, `lemmatized_text`, `subjectivity_index`, `refined_bias_corpus_score`).</w:t>
      </w:r>
    </w:p>
    <w:p>
      <w:pPr>
        <w:pStyle w:val="Heading2"/>
      </w:pPr>
      <w:r>
        <w:t>Code Samples</w:t>
      </w:r>
    </w:p>
    <w:p>
      <w:r>
        <w:t>1) Downloading and storing articles (simplified):</w:t>
      </w:r>
    </w:p>
    <w:p>
      <w:pPr/>
      <w:r>
        <w:rPr>
          <w:rFonts w:ascii="Courier New" w:hAnsi="Courier New" w:eastAsia="Courier New"/>
          <w:sz w:val="18"/>
        </w:rPr>
        <w:t>import newspaper</w:t>
        <w:br/>
        <w:t>from bs4 import BeautifulSoup</w:t>
        <w:br/>
        <w:br/>
        <w:t># download and parse article text</w:t>
        <w:br/>
        <w:t>article = newspaper.Article(url)</w:t>
        <w:br/>
        <w:t>article.download(); article.parse()</w:t>
        <w:br/>
        <w:t>text = article.text</w:t>
      </w:r>
    </w:p>
    <w:p>
      <w:r>
        <w:t>2) Computing the bias score (simplified):</w:t>
      </w:r>
    </w:p>
    <w:p>
      <w:pPr/>
      <w:r>
        <w:rPr>
          <w:rFonts w:ascii="Courier New" w:hAnsi="Courier New" w:eastAsia="Courier New"/>
          <w:sz w:val="18"/>
        </w:rPr>
        <w:t>bias_score = (</w:t>
        <w:br/>
        <w:t xml:space="preserve">    subjectivity_index * adj_polarization_corpus * 10</w:t>
        <w:br/>
        <w:t>).clip(0, 10)</w:t>
        <w:br/>
      </w:r>
    </w:p>
    <w:p>
      <w:pPr>
        <w:pStyle w:val="Heading1"/>
      </w:pPr>
      <w:r>
        <w:t>Results</w:t>
      </w:r>
    </w:p>
    <w:p>
      <w:pPr>
        <w:pStyle w:val="Heading2"/>
      </w:pPr>
      <w:r>
        <w:t>Number of Articles by Source</w:t>
      </w:r>
    </w:p>
    <w:p>
      <w:r>
        <w:t>For the media comparison, the following numbers of articles were processed:</w:t>
      </w:r>
    </w:p>
    <w:tbl>
      <w:tblPr>
        <w:tblW w:type="auto" w:w="0"/>
        <w:tblLook w:firstColumn="1" w:firstRow="1" w:lastColumn="0" w:lastRow="0" w:noHBand="0" w:noVBand="1" w:val="04A0"/>
      </w:tblPr>
      <w:tblGrid>
        <w:gridCol w:w="4680"/>
        <w:gridCol w:w="4680"/>
      </w:tblGrid>
      <w:tr>
        <w:tc>
          <w:tcPr>
            <w:tcW w:type="dxa" w:w="4680"/>
          </w:tcPr>
          <w:p>
            <w:r>
              <w:t>Source</w:t>
            </w:r>
          </w:p>
        </w:tc>
        <w:tc>
          <w:tcPr>
            <w:tcW w:type="dxa" w:w="4680"/>
          </w:tcPr>
          <w:p>
            <w:r>
              <w:t>Number of articles</w:t>
            </w:r>
          </w:p>
        </w:tc>
      </w:tr>
      <w:tr>
        <w:tc>
          <w:tcPr>
            <w:tcW w:type="dxa" w:w="4680"/>
          </w:tcPr>
          <w:p>
            <w:r>
              <w:t>DenikN</w:t>
            </w:r>
          </w:p>
        </w:tc>
        <w:tc>
          <w:tcPr>
            <w:tcW w:type="dxa" w:w="4680"/>
          </w:tcPr>
          <w:p>
            <w:r>
              <w:t>8</w:t>
            </w:r>
          </w:p>
        </w:tc>
      </w:tr>
      <w:tr>
        <w:tc>
          <w:tcPr>
            <w:tcW w:type="dxa" w:w="4680"/>
          </w:tcPr>
          <w:p>
            <w:r>
              <w:t>ParlamentniListy</w:t>
            </w:r>
          </w:p>
        </w:tc>
        <w:tc>
          <w:tcPr>
            <w:tcW w:type="dxa" w:w="4680"/>
          </w:tcPr>
          <w:p>
            <w:r>
              <w:t>20</w:t>
            </w:r>
          </w:p>
        </w:tc>
      </w:tr>
      <w:tr>
        <w:tc>
          <w:tcPr>
            <w:tcW w:type="dxa" w:w="4680"/>
          </w:tcPr>
          <w:p>
            <w:r>
              <w:t>SeznamZpravy</w:t>
            </w:r>
          </w:p>
        </w:tc>
        <w:tc>
          <w:tcPr>
            <w:tcW w:type="dxa" w:w="4680"/>
          </w:tcPr>
          <w:p>
            <w:r>
              <w:t>13</w:t>
            </w:r>
          </w:p>
        </w:tc>
      </w:tr>
    </w:tbl>
    <w:p>
      <w:pPr>
        <w:pStyle w:val="Heading2"/>
      </w:pPr>
      <w:r>
        <w:t>Bias Score (0–10)</w:t>
      </w:r>
    </w:p>
    <w:p>
      <w:r>
        <w:t>The aggregated bias score (a combination of subjectivity and adjective polarization) yields the following averages:</w:t>
      </w:r>
    </w:p>
    <w:tbl>
      <w:tblPr>
        <w:tblW w:type="auto" w:w="0"/>
        <w:tblLook w:firstColumn="1" w:firstRow="1" w:lastColumn="0" w:lastRow="0" w:noHBand="0" w:noVBand="1" w:val="04A0"/>
      </w:tblPr>
      <w:tblGrid>
        <w:gridCol w:w="2340"/>
        <w:gridCol w:w="2340"/>
        <w:gridCol w:w="2340"/>
        <w:gridCol w:w="2340"/>
      </w:tblGrid>
      <w:tr>
        <w:tc>
          <w:tcPr>
            <w:tcW w:type="dxa" w:w="2340"/>
          </w:tcPr>
          <w:p>
            <w:r>
              <w:t>Source</w:t>
            </w:r>
          </w:p>
        </w:tc>
        <w:tc>
          <w:tcPr>
            <w:tcW w:type="dxa" w:w="2340"/>
          </w:tcPr>
          <w:p>
            <w:r>
              <w:t>Mean</w:t>
            </w:r>
          </w:p>
        </w:tc>
        <w:tc>
          <w:tcPr>
            <w:tcW w:type="dxa" w:w="2340"/>
          </w:tcPr>
          <w:p>
            <w:r>
              <w:t>Std. deviation</w:t>
            </w:r>
          </w:p>
        </w:tc>
        <w:tc>
          <w:tcPr>
            <w:tcW w:type="dxa" w:w="2340"/>
          </w:tcPr>
          <w:p>
            <w:r>
              <w:t>Count</w:t>
            </w:r>
          </w:p>
        </w:tc>
      </w:tr>
      <w:tr>
        <w:tc>
          <w:tcPr>
            <w:tcW w:type="dxa" w:w="2340"/>
          </w:tcPr>
          <w:p>
            <w:r>
              <w:t>DenikN</w:t>
            </w:r>
          </w:p>
        </w:tc>
        <w:tc>
          <w:tcPr>
            <w:tcW w:type="dxa" w:w="2340"/>
          </w:tcPr>
          <w:p>
            <w:r>
              <w:t>1.9563</w:t>
            </w:r>
          </w:p>
        </w:tc>
        <w:tc>
          <w:tcPr>
            <w:tcW w:type="dxa" w:w="2340"/>
          </w:tcPr>
          <w:p>
            <w:r>
              <w:t>0.3445</w:t>
            </w:r>
          </w:p>
        </w:tc>
        <w:tc>
          <w:tcPr>
            <w:tcW w:type="dxa" w:w="2340"/>
          </w:tcPr>
          <w:p>
            <w:r>
              <w:t>6</w:t>
            </w:r>
          </w:p>
        </w:tc>
      </w:tr>
      <w:tr>
        <w:tc>
          <w:tcPr>
            <w:tcW w:type="dxa" w:w="2340"/>
          </w:tcPr>
          <w:p>
            <w:r>
              <w:t>ParlamentniListy</w:t>
            </w:r>
          </w:p>
        </w:tc>
        <w:tc>
          <w:tcPr>
            <w:tcW w:type="dxa" w:w="2340"/>
          </w:tcPr>
          <w:p>
            <w:r>
              <w:t>1.7575</w:t>
            </w:r>
          </w:p>
        </w:tc>
        <w:tc>
          <w:tcPr>
            <w:tcW w:type="dxa" w:w="2340"/>
          </w:tcPr>
          <w:p>
            <w:r>
              <w:t>0.3941</w:t>
            </w:r>
          </w:p>
        </w:tc>
        <w:tc>
          <w:tcPr>
            <w:tcW w:type="dxa" w:w="2340"/>
          </w:tcPr>
          <w:p>
            <w:r>
              <w:t>20</w:t>
            </w:r>
          </w:p>
        </w:tc>
      </w:tr>
      <w:tr>
        <w:tc>
          <w:tcPr>
            <w:tcW w:type="dxa" w:w="2340"/>
          </w:tcPr>
          <w:p>
            <w:r>
              <w:t>SeznamZpravy</w:t>
            </w:r>
          </w:p>
        </w:tc>
        <w:tc>
          <w:tcPr>
            <w:tcW w:type="dxa" w:w="2340"/>
          </w:tcPr>
          <w:p>
            <w:r>
              <w:t>1.7746</w:t>
            </w:r>
          </w:p>
        </w:tc>
        <w:tc>
          <w:tcPr>
            <w:tcW w:type="dxa" w:w="2340"/>
          </w:tcPr>
          <w:p>
            <w:r>
              <w:t>0.4427</w:t>
            </w:r>
          </w:p>
        </w:tc>
        <w:tc>
          <w:tcPr>
            <w:tcW w:type="dxa" w:w="2340"/>
          </w:tcPr>
          <w:p>
            <w:r>
              <w:t>16</w:t>
            </w:r>
          </w:p>
        </w:tc>
      </w:tr>
    </w:tbl>
    <w:p>
      <w:pPr>
        <w:pStyle w:val="Heading2"/>
      </w:pPr>
      <w:r>
        <w:t>Visualizations</w:t>
      </w:r>
    </w:p>
    <w:p>
      <w:r>
        <w:t>Below are examples of charts generated during the analysis (exported from the notebook).</w:t>
      </w:r>
    </w:p>
    <w:p>
      <w:r>
        <w:t>Figure: Subjectivity / bias comparison chart (049-01-import-matplotlib-pyplot-as-plt.png)</w:t>
      </w:r>
    </w:p>
    <w:p>
      <w:r>
        <w:drawing>
          <wp:inline xmlns:a="http://schemas.openxmlformats.org/drawingml/2006/main" xmlns:pic="http://schemas.openxmlformats.org/drawingml/2006/picture">
            <wp:extent cx="5943600" cy="3545727"/>
            <wp:docPr id="1" name="Picture 1"/>
            <wp:cNvGraphicFramePr>
              <a:graphicFrameLocks noChangeAspect="1"/>
            </wp:cNvGraphicFramePr>
            <a:graphic>
              <a:graphicData uri="http://schemas.openxmlformats.org/drawingml/2006/picture">
                <pic:pic>
                  <pic:nvPicPr>
                    <pic:cNvPr id="0" name="049-01-import-matplotlib-pyplot-as-plt.png"/>
                    <pic:cNvPicPr/>
                  </pic:nvPicPr>
                  <pic:blipFill>
                    <a:blip r:embed="rId9"/>
                    <a:stretch>
                      <a:fillRect/>
                    </a:stretch>
                  </pic:blipFill>
                  <pic:spPr>
                    <a:xfrm>
                      <a:off x="0" y="0"/>
                      <a:ext cx="5943600" cy="3545727"/>
                    </a:xfrm>
                    <a:prstGeom prst="rect"/>
                  </pic:spPr>
                </pic:pic>
              </a:graphicData>
            </a:graphic>
          </wp:inline>
        </w:drawing>
      </w:r>
    </w:p>
    <w:p>
      <w:r>
        <w:t>Figure: Dashboard scatter plot (cell 50) (plotly_cell_050.png)</w:t>
      </w:r>
    </w:p>
    <w:p>
      <w:r>
        <w:drawing>
          <wp:inline xmlns:a="http://schemas.openxmlformats.org/drawingml/2006/main" xmlns:pic="http://schemas.openxmlformats.org/drawingml/2006/picture">
            <wp:extent cx="5943600" cy="3512127"/>
            <wp:docPr id="2" name="Picture 2"/>
            <wp:cNvGraphicFramePr>
              <a:graphicFrameLocks noChangeAspect="1"/>
            </wp:cNvGraphicFramePr>
            <a:graphic>
              <a:graphicData uri="http://schemas.openxmlformats.org/drawingml/2006/picture">
                <pic:pic>
                  <pic:nvPicPr>
                    <pic:cNvPr id="0" name="plotly_cell_050.png"/>
                    <pic:cNvPicPr/>
                  </pic:nvPicPr>
                  <pic:blipFill>
                    <a:blip r:embed="rId10"/>
                    <a:stretch>
                      <a:fillRect/>
                    </a:stretch>
                  </pic:blipFill>
                  <pic:spPr>
                    <a:xfrm>
                      <a:off x="0" y="0"/>
                      <a:ext cx="5943600" cy="3512127"/>
                    </a:xfrm>
                    <a:prstGeom prst="rect"/>
                  </pic:spPr>
                </pic:pic>
              </a:graphicData>
            </a:graphic>
          </wp:inline>
        </w:drawing>
      </w:r>
    </w:p>
    <w:p>
      <w:r>
        <w:t>Figure: Dashboard scatter plot (cell 52) (plotly_cell_052.png)</w:t>
      </w:r>
    </w:p>
    <w:p>
      <w:r>
        <w:drawing>
          <wp:inline xmlns:a="http://schemas.openxmlformats.org/drawingml/2006/main" xmlns:pic="http://schemas.openxmlformats.org/drawingml/2006/picture">
            <wp:extent cx="5943600" cy="3512127"/>
            <wp:docPr id="3" name="Picture 3"/>
            <wp:cNvGraphicFramePr>
              <a:graphicFrameLocks noChangeAspect="1"/>
            </wp:cNvGraphicFramePr>
            <a:graphic>
              <a:graphicData uri="http://schemas.openxmlformats.org/drawingml/2006/picture">
                <pic:pic>
                  <pic:nvPicPr>
                    <pic:cNvPr id="0" name="plotly_cell_052.png"/>
                    <pic:cNvPicPr/>
                  </pic:nvPicPr>
                  <pic:blipFill>
                    <a:blip r:embed="rId11"/>
                    <a:stretch>
                      <a:fillRect/>
                    </a:stretch>
                  </pic:blipFill>
                  <pic:spPr>
                    <a:xfrm>
                      <a:off x="0" y="0"/>
                      <a:ext cx="5943600" cy="3512127"/>
                    </a:xfrm>
                    <a:prstGeom prst="rect"/>
                  </pic:spPr>
                </pic:pic>
              </a:graphicData>
            </a:graphic>
          </wp:inline>
        </w:drawing>
      </w:r>
    </w:p>
    <w:p>
      <w:pPr>
        <w:pStyle w:val="Heading1"/>
      </w:pPr>
      <w:r>
        <w:t>Conclusion</w:t>
      </w:r>
    </w:p>
    <w:p>
      <w:r>
        <w:t>The notebook demonstrates a complete end-to-end pipeline from data collection to visualization and comparison of bias scores. The proposed score is an interpretable metric that can be further improved by extending the anchor-word lexicons, better detecting quotes and direct speech, or adding a manually annotated validation sample.</w:t>
      </w:r>
    </w:p>
    <w:p>
      <w:pPr>
        <w:pStyle w:val="Heading1"/>
      </w:pPr>
      <w:r>
        <w:t>Reproducibility</w:t>
      </w:r>
    </w:p>
    <w:p>
      <w:r>
        <w:t>To reproduce the experiment, run the notebook from top to bottom. In a local environment, you need to set the `HF_TOKEN` environment variable for the sentiment section (outside Google Colab).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