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Operational Runbooks</w:t>
      </w:r>
    </w:p>
    <w:p>
      <w:pPr>
        <w:pStyle w:val="Subtitle"/>
      </w:pPr>
      <w:r>
        <w:rPr>
          <w:color w:val="000000"/>
        </w:rPr>
        <w:t>Version 1.1   27 September 2026</w:t>
      </w:r>
    </w:p>
    <w:p>
      <w:pPr>
        <w:widowControl/>
      </w:pPr>
      <w:r>
        <w:t>These runbooks define the actions, owners, verification and evidence required to operate the platform safely. Environment-specific resource IDs and escalation routes come from the deployment configuration. The operator uses declared service controls and least-privilege identities. A runbook is complete only when its recovery outcome is verified; an issued command or green process status alone is insufficient.</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operational scope</w:t>
      </w:r>
    </w:p>
    <w:p>
      <w:r>
        <w:t>The runnable environment is local development with synthetic data. The reference operational runbooks below remain production requirements and have not been exercised against a production deployment. Do not execute managed failover, key rotation, external notification or disaster recovery steps against nonexistent or unapproved resources.</w:t>
      </w:r>
    </w:p>
    <w:p>
      <w:pPr>
        <w:pStyle w:val="Heading1"/>
      </w:pPr>
      <w:r>
        <w:rPr>
          <w:color w:val="000000"/>
        </w:rPr>
        <w:t>Local start and diagnosis</w:t>
      </w:r>
    </w:p>
    <w:p>
      <w:r>
        <w:t>From a fresh source checkout, run make setup and make dev. Confirm /health/live and /health/ready, which checks schema 15, then sign in using the generated local account credentials. If startup fails, inspect the specific runner directory under .local, check dependency and migration errors, and preserve the failure evidence. Do not commit that directory because it contains credentials, keys and data.</w:t>
      </w:r>
    </w:p>
    <w:p>
      <w:r>
        <w:t>For an uncertain write, preserve the operation identifier and reconcile its receipt under current authority. Retry the identical command; do not invent a new operation identifier until the outcome is known. A stale revision requires reloading and reviewing the change. For denied access, check current workspace, membership, grant, scope, purpose, tenant state and recent configured assurance. Do not expand privileges merely to clear an error.</w:t>
      </w:r>
    </w:p>
    <w:p>
      <w:pPr>
        <w:pStyle w:val="Heading1"/>
      </w:pPr>
      <w:r>
        <w:rPr>
          <w:color w:val="000000"/>
        </w:rPr>
        <w:t>Tenant readiness and recovery-contact repair</w:t>
      </w:r>
    </w:p>
    <w:p>
      <w:r>
        <w:t>An activation or reactivation refusal may be caused by missing or invalid recovery-contact evidence. Inspect the current eligibility reason and pinned owner/identity/expiry information. The current owner can nominate a new or renewed registered contact, including while Suspended. The nominee provides fresh consent and an independent operator reviews the exact nomination. Recheck full tenant readiness before reactivation. Existing work is not automatically replayed or resumed.</w:t>
      </w:r>
    </w:p>
    <w:p>
      <w:r>
        <w:t>If a nominee account is revoked, the old proof is invalid. A new sign-in does not rewrite the original proof; a reviewed renewal is required. If the current owner is unavailable, stop at the unsupported recovery boundary. The platform has no qualified operator bypass, factor reset or custody reset. Preserve records and escalate through the separately approved organizational process once defined.</w:t>
      </w:r>
    </w:p>
    <w:p>
      <w:pPr>
        <w:pStyle w:val="Heading1"/>
      </w:pPr>
      <w:r>
        <w:rPr>
          <w:color w:val="000000"/>
        </w:rPr>
        <w:t>Release and incident records</w:t>
      </w:r>
    </w:p>
    <w:p>
      <w:r>
        <w:t>Record build, schema, configuration, affected tenant and safe correlation/operation identifiers, observed behavior, containment, result and reviewer. Never include bearer tokens, local passwords or private participant data in a ticket. Current run evidence is in docs/evidence; production on-call contacts, severity response times, provider procedures, actual backup locations, RPO/RTO drill outcomes and release approvers remain to be assigned and qualified.</w:t>
      </w:r>
    </w:p>
    <w:p>
      <w:r>
        <w:t>The current deployment is not production approved. Follow RELEASE-ACCEPTANCE.md and OPERATIONS-GUIDE.md for the exact unfulfilled gates and environment inputs. Historical runbooks remain useful target procedures, not evidence that a drill occurred.</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Incident ownership and severity</w:t>
      </w:r>
    </w:p>
    <w:p>
      <w:pPr>
        <w:widowControl/>
      </w:pPr>
      <w:r>
        <w:t>The incident commander coordinates containment and decisions. The platform on-call owns service restoration. Security owns suspected compromise and privileged access. Privacy owns personal-data handling and disclosure assessment. Domain owners verify calculations and business state. A communications owner records authorised notices; these documents do not send any notices.</w:t>
      </w:r>
    </w:p>
    <w:p>
      <w:pPr>
        <w:widowControl/>
      </w:pPr>
      <w:r>
        <w:t>Severity 1 includes cross-tenant exposure, unauthorised restricted-data disclosure, corruption of official approval or calculation integrity, or a broad core outage. Severity 2 includes significant tenant disruption or a bounded security failure. Severity 3 includes contained degradation with a functioning workflow. Page Severity 1 immediately through the configured route and begin a timestamped incident record. Applicable external notification deadlines are inputs to the organisation's incident policy.</w:t>
      </w:r>
    </w:p>
    <w:p>
      <w:pPr>
        <w:pStyle w:val="Heading1"/>
      </w:pPr>
      <w:r>
        <w:rPr>
          <w:color w:val="000000"/>
        </w:rPr>
        <w:t>2 Deployment and rollback</w:t>
      </w:r>
    </w:p>
    <w:p>
      <w:pPr>
        <w:widowControl/>
      </w:pPr>
      <w:r>
        <w:t>Trigger: a release candidate has satisfied the applicable gates. Owner: release manager with platform on-call. Verify artifact digests, migration checksums, supported client versions, policy baseline, backup freshness and rollback compatibility. Apply additive migrations with the migration identity. Deploy the same staged artifact to a limited canary and run smoke and critical workflow checks.</w:t>
      </w:r>
    </w:p>
    <w:p>
      <w:pPr>
        <w:widowControl/>
      </w:pPr>
      <w:r>
        <w:t>Observe per-tenant error rate, durable-save latency, approval correctness, official-value reconciliation, queue age and revocation propagation. An isolation or integrity failure stops rollout immediately. For a runtime regression with compatible data, return to the previous qualified artifact and configuration. For an incompatible migration, execute its forward repair or the rehearsed restore path. Verify both health and the previously failing user workflow, then record the final deployed manifest.</w:t>
      </w:r>
    </w:p>
    <w:p>
      <w:pPr>
        <w:pStyle w:val="Heading1"/>
      </w:pPr>
      <w:r>
        <w:rPr>
          <w:color w:val="000000"/>
        </w:rPr>
        <w:t>3 Database or core outage</w:t>
      </w:r>
    </w:p>
    <w:p>
      <w:pPr>
        <w:widowControl/>
      </w:pPr>
      <w:r>
        <w:t>Trigger: readiness failure, sustained core errors or failed commits. Owner: platform on-call. Confirm scope and distinguish database connectivity, pool exhaustion, storage exhaustion and slow-query saturation. Stop admitting new bulk work when it threatens ordinary requests. Preserve operation receipts and report uncertain writes as pending reconciliation.</w:t>
      </w:r>
    </w:p>
    <w:p>
      <w:pPr>
        <w:widowControl/>
      </w:pPr>
      <w:r>
        <w:t>Use the managed database's qualified failover procedure only within permitted regions. Reconnect with bounded retries and validate schema compatibility and session context reset. Reconcile in-progress operations by receipt before replay. Verify one safe read, one durable write, one independent approval and the pooled-result fixture in staging or the authorised production diagnostic scope. Do not erase receipts or requeue every task blindly.</w:t>
      </w:r>
    </w:p>
    <w:p>
      <w:pPr>
        <w:pStyle w:val="Heading1"/>
      </w:pPr>
      <w:r>
        <w:rPr>
          <w:color w:val="000000"/>
        </w:rPr>
        <w:t>4 Backup restore and disaster recovery</w:t>
      </w:r>
    </w:p>
    <w:p>
      <w:pPr>
        <w:widowControl/>
      </w:pPr>
      <w:r>
        <w:t>Trigger: irrecoverable storage failure or scheduled restore exercise. Owner: platform lead, privacy lead and security lead. Select an integrity-verified backup and record its recovery point. Restore into an isolated network with the API, workers, schedulers and deliveries closed. Recover keys through their separate custody procedure and verify the snapshot and blob manifests.</w:t>
      </w:r>
    </w:p>
    <w:p>
      <w:pPr>
        <w:widowControl/>
      </w:pPr>
      <w:r>
        <w:t>Replay the independently retained deletion ledger, current holds, identity revocations, grant changes and credential restrictions. Rebuild or invalidate search, dashboard, report and AI caches. Reconcile database revisions, source receipts, attachments and outbox outcomes. Test a deleted participant and revoked principal whose old records are in the backup. Only after isolation and restriction checks pass may traffic and workers reopen in controlled order.</w:t>
      </w:r>
    </w:p>
    <w:p>
      <w:pPr>
        <w:widowControl/>
      </w:pPr>
      <w:r>
        <w:t>The FSD targets are RPO at most 15 minutes and RTO at most four hours. Measure both from the actual incident or drill timeline. Perform monthly restore exercises and quarterly disaster recovery exercises in the allowed regions. Retain the backup identity, ledger cutoff, integrity results, resumed build and measured recovery outcome.</w:t>
      </w:r>
    </w:p>
    <w:p>
      <w:pPr>
        <w:pStyle w:val="Heading1"/>
      </w:pPr>
      <w:r>
        <w:rPr>
          <w:color w:val="000000"/>
        </w:rPr>
        <w:t>5 Suspected tenant data exposure</w:t>
      </w:r>
    </w:p>
    <w:p>
      <w:pPr>
        <w:widowControl/>
      </w:pPr>
      <w:r>
        <w:t>Trigger: a cross-tenant response, export, cache entry or search result. Owner: security incident commander. Disable the affected capability or path, revoke relevant sessions and prevent further artifact downloads. Preserve request, policy, job and audit references without spreading exposed content. Identify the affected tenants, objects, output channels and earliest possible exposure.</w:t>
      </w:r>
    </w:p>
    <w:p>
      <w:pPr>
        <w:widowControl/>
      </w:pPr>
      <w:r>
        <w:t>Reproduce the boundary failure in isolation, correct the underlying policy or query path and test every derived channel using the same data flow. Validate cached artifacts, background jobs, AI retrieval and exports. Reopen only the repaired scope after an independent boundary check. Record disclosures and organisational notification decisions through the configured process.</w:t>
      </w:r>
    </w:p>
    <w:p>
      <w:pPr>
        <w:pStyle w:val="Heading1"/>
      </w:pPr>
      <w:r>
        <w:rPr>
          <w:color w:val="000000"/>
        </w:rPr>
        <w:t>6 Compromised identity or credential</w:t>
      </w:r>
    </w:p>
    <w:p>
      <w:pPr>
        <w:widowControl/>
      </w:pPr>
      <w:r>
        <w:t>Trigger: suspicious login, leaked token, departed owner or unexpected service activity. Owner: identity on-call and security. Suspend the principal or credential, increment authority epochs and invalidate sessions. Identify scheduled jobs, integrations, pending reports and artifacts that used the identity. Pause or transfer work using an eligible accountable owner.</w:t>
      </w:r>
    </w:p>
    <w:p>
      <w:pPr>
        <w:widowControl/>
      </w:pPr>
      <w:r>
        <w:t>Rotate the credential through the approved secret path, revoke the old material and limit any required overlap to 24 hours. Verify that new requests, cached permissions and pending effects reject the old identity within the online revocation target. Restore work only after scope, ownership and provider access are rechecked. Never grant a broader emergency role merely to avoid a broken schedule.</w:t>
      </w:r>
    </w:p>
    <w:p>
      <w:pPr>
        <w:pStyle w:val="Heading1"/>
      </w:pPr>
      <w:r>
        <w:rPr>
          <w:color w:val="000000"/>
        </w:rPr>
        <w:t>7 Backlog or stalled worker</w:t>
      </w:r>
    </w:p>
    <w:p>
      <w:pPr>
        <w:widowControl/>
      </w:pPr>
      <w:r>
        <w:t>Trigger: queue age, expired lease or incomplete item progress exceeds its bound. Owner: worker on-call. Inspect job class, tenant, input revisions, generation, heartbeat and committed item outcomes. Distinguish a dead worker from a slow external provider and enforce per-tenant admission limits. Cancel or reclaim only through the job state machine.</w:t>
      </w:r>
    </w:p>
    <w:p>
      <w:pPr>
        <w:widowControl/>
      </w:pPr>
      <w:r>
        <w:t>A new worker increments the lease generation. The stale worker must fail its final update predicate. Reconcile source and consumer receipts before replay, and use stable external effect identity where applicable. Verify accepted, rejected, skipped and cancelled totals. Drain the failure queue selectively after fixing the cause; do not mark all jobs successful because the queue is empty.</w:t>
      </w:r>
    </w:p>
    <w:p>
      <w:pPr>
        <w:pStyle w:val="Heading1"/>
      </w:pPr>
      <w:r>
        <w:rPr>
          <w:color w:val="000000"/>
        </w:rPr>
        <w:t>8 Import or migration failure</w:t>
      </w:r>
    </w:p>
    <w:p>
      <w:pPr>
        <w:widowControl/>
      </w:pPr>
      <w:r>
        <w:t>Trigger: row errors, changed source, wrong totals or interrupted cutover. Owner: data steward and implementation lead. Stop further commit at the supported item boundary. Preserve raw source digest, mapping, preview, expected totals and outcome manifest. Identify which rows committed and whether the chosen atomic or partial mode behaved correctly.</w:t>
      </w:r>
    </w:p>
    <w:p>
      <w:pPr>
        <w:widowControl/>
      </w:pPr>
      <w:r>
        <w:t>Correct mappings in a new version and generate a fresh impact preview. Reuse permanent source identities so retries do not duplicate records. Controlled replacement requires exact scope and reviewed deletion treatment. For cutover, compare semantic totals, missingness, units, periods and approvals, not only row counts. Release the new source only after the reconciliation gates pass.</w:t>
      </w:r>
    </w:p>
    <w:p>
      <w:pPr>
        <w:pStyle w:val="Heading1"/>
      </w:pPr>
      <w:r>
        <w:rPr>
          <w:color w:val="000000"/>
        </w:rPr>
        <w:t>9 Incorrect official result or report</w:t>
      </w:r>
    </w:p>
    <w:p>
      <w:pPr>
        <w:widowControl/>
      </w:pPr>
      <w:r>
        <w:t>Trigger: a number, source contribution or report binding does not reconcile. Owner: measurement lead and reporting owner. Freeze publication or withdraw the affected version through the authorised workflow. Preserve the original snapshot and decision history. Trace definitions, sources, exclusions, aggregation, decimal precision and display bindings to isolate the error.</w:t>
      </w:r>
    </w:p>
    <w:p>
      <w:pPr>
        <w:widowControl/>
      </w:pPr>
      <w:r>
        <w:t>Correct the source or rule in a new version, rerun the golden and affected cohort examples, and obtain the required review. Restate the period when necessary and create a new report version. Record which recipients received the earlier artifact. Verify every numeric occurrence, table and narrative against the corrected authoritative result before republishing.</w:t>
      </w:r>
    </w:p>
    <w:p>
      <w:pPr>
        <w:pStyle w:val="Heading1"/>
      </w:pPr>
      <w:r>
        <w:rPr>
          <w:color w:val="000000"/>
        </w:rPr>
        <w:t>10 File scanner or upload failure</w:t>
      </w:r>
    </w:p>
    <w:p>
      <w:pPr>
        <w:widowControl/>
      </w:pPr>
      <w:r>
        <w:t>Trigger: scanner outage, digest mismatch, stuck assembly or storage pressure. Owner: evidence service on-call. Keep all unverified content quarantined. Inspect the sealed manifest, part receipts, lease generation and exact file digest. Reject changed bytes; a new source requires a new upload identity.</w:t>
      </w:r>
    </w:p>
    <w:p>
      <w:pPr>
        <w:widowControl/>
      </w:pPr>
      <w:r>
        <w:t>Resume a qualified scanner only after checking resource and egress limits. Expire abandoned sessions and remove temporary parts that no completed blob or hold references. Verify CLEAN status through the scanner result and byte identity rather than an operator toggle. Confirm that failed and infected files cannot be downloaded or linked into approved evidence.</w:t>
      </w:r>
    </w:p>
    <w:p>
      <w:pPr>
        <w:pStyle w:val="Heading1"/>
      </w:pPr>
      <w:r>
        <w:rPr>
          <w:color w:val="000000"/>
        </w:rPr>
        <w:t>11 Privacy case or deletion failure</w:t>
      </w:r>
    </w:p>
    <w:p>
      <w:pPr>
        <w:widowControl/>
      </w:pPr>
      <w:r>
        <w:t>Trigger: a store action fails or an executable case approaches its 24-hour deadline. Owner: privacy executor and privacy officer. Check requester verification, authority, plan digest, holds and store inventory. Apply effective restriction promptly where full physical removal is awaiting a bounded retry. Persist the deletion ledger independently before irreversible deletion.</w:t>
      </w:r>
    </w:p>
    <w:p>
      <w:pPr>
        <w:widowControl/>
      </w:pPr>
      <w:r>
        <w:t>Execute and reconcile every required store action, including revisions, current projections, blobs, search, caches, exports and device-key revocation. A successful database update cannot close a case with remaining blobs or cached identifiers. Retain minimised evidence of each outcome and hold decision. Verify through authorised lookup and restore testing that the content cannot reappear.</w:t>
      </w:r>
    </w:p>
    <w:p>
      <w:pPr>
        <w:pStyle w:val="Heading1"/>
      </w:pPr>
      <w:r>
        <w:rPr>
          <w:color w:val="000000"/>
        </w:rPr>
        <w:t>12 Lost or shared field device</w:t>
      </w:r>
    </w:p>
    <w:p>
      <w:pPr>
        <w:widowControl/>
      </w:pPr>
      <w:r>
        <w:t>Trigger: reported loss, unauthorised account use or failed device integrity. Owner: collection supervisor and security. Revoke the device and associated offline package, suspend new sync and initiate managed-device action where available. Record the last verified package, expiry and data classes. The residual exposure is bounded by the signed lease and actual device controls.</w:t>
      </w:r>
    </w:p>
    <w:p>
      <w:pPr>
        <w:widowControl/>
      </w:pPr>
      <w:r>
        <w:t>Provide a replacement assignment without treating unsynchronised local drafts as server records. Reconcile receipts for any submissions already accepted. Re-enrol a recovered device through fresh identity, key and security-profile checks; do not reuse a compromised key. Verify account-switch isolation and local deletion before reassigning a shared device.</w:t>
      </w:r>
    </w:p>
    <w:p>
      <w:pPr>
        <w:pStyle w:val="Heading1"/>
      </w:pPr>
      <w:r>
        <w:rPr>
          <w:color w:val="000000"/>
        </w:rPr>
        <w:t>13 AI provider failure or unsafe output</w:t>
      </w:r>
    </w:p>
    <w:p>
      <w:pPr>
        <w:widowControl/>
      </w:pPr>
      <w:r>
        <w:t>Trigger: provider outage, ungrounded consequential claim, prompt injection, privacy violation or budget anomaly. Owner: AI on-call and domain owner. Disable the affected use case or provider route. Preserve safe references to source versions, prompt/model configuration, proposal and confirmed command receipts. Do not switch to an unqualified region or retention policy to restore availability.</w:t>
      </w:r>
    </w:p>
    <w:p>
      <w:pPr>
        <w:widowControl/>
      </w:pPr>
      <w:r>
        <w:t>Reconcile reserved and consumed budget. Review whether an unsafe proposal was merely generated or was confirmed into a draft. Correct any affected draft through the ordinary versioned workflow. Run the use-case evaluation and attack corpus against the repaired configuration. Re-enable only when scope, citation, arithmetic and confirmation gates pass.</w:t>
      </w:r>
    </w:p>
    <w:p>
      <w:pPr>
        <w:pStyle w:val="Heading1"/>
      </w:pPr>
      <w:r>
        <w:rPr>
          <w:color w:val="000000"/>
        </w:rPr>
        <w:t>14 Connector and webhook failure</w:t>
      </w:r>
    </w:p>
    <w:p>
      <w:pPr>
        <w:widowControl/>
      </w:pPr>
      <w:r>
        <w:t>Trigger: expired credential, upstream permission change, repeated delivery failure or checkpoint mismatch. Owner: connection owner and integration on-call. Pause the connection and record the last durable checkpoint, source identity and delivery receipts. Verify current owner, scope and provider permissions before rotating a credential or resuming.</w:t>
      </w:r>
    </w:p>
    <w:p>
      <w:pPr>
        <w:widowControl/>
      </w:pPr>
      <w:r>
        <w:t>Replay from the committed checkpoint with source-version deduplication. For outgoing delivery, preserve the business event ID and use a new delivery attempt ID. Recheck destination and credential on every retry and stop after the bounded retry window. Reconcile acknowledged external effects before replaying an uncertain request. Verify a representative allowed record and a denied record before clearing degraded status.</w:t>
      </w:r>
    </w:p>
    <w:p>
      <w:pPr>
        <w:pStyle w:val="Heading1"/>
      </w:pPr>
      <w:r>
        <w:rPr>
          <w:color w:val="000000"/>
        </w:rPr>
        <w:t>15 Audit gap or privileged support incident</w:t>
      </w:r>
    </w:p>
    <w:p>
      <w:pPr>
        <w:widowControl/>
      </w:pPr>
      <w:r>
        <w:t>Trigger: missing checkpoint, digest mismatch, unexplained administrator effect or support expiry violation. Owner: security and platform leads. Freeze affected sensitive capabilities while preserving ordinary permitted reads where safe. Compare database audit, signed checkpoints, operation receipts and deployment logs. Treat truncation and missing batches as integrity failures even if remaining hashes verify.</w:t>
      </w:r>
    </w:p>
    <w:p>
      <w:pPr>
        <w:widowControl/>
      </w:pPr>
      <w:r>
        <w:t>Revoke the support session or privileged identity and establish the exact action scope. Repair through an authorised append-only correction record; never manufacture a historic decision or silently edit audit history. Verify checkpoint continuity and repeat the affected privileged workflow under an independent observer before reopening.</w:t>
      </w:r>
    </w:p>
    <w:p>
      <w:pPr>
        <w:pStyle w:val="Heading1"/>
      </w:pPr>
      <w:r>
        <w:rPr>
          <w:color w:val="000000"/>
        </w:rPr>
        <w:t>16 Capacity degradation and noisy tenants</w:t>
      </w:r>
    </w:p>
    <w:p>
      <w:pPr>
        <w:widowControl/>
      </w:pPr>
      <w:r>
        <w:t>Trigger: p95 or p99 breach, queue contention or an abusive tenant workload. Owner: platform on-call. Break down ordinary actions, tenants and background classes rather than averaging away the affected cohort. Enforce two active bulk jobs and two active AI jobs per tenant with 20 queued in each class. Reject excess work with visible retry guidance.</w:t>
      </w:r>
    </w:p>
    <w:p>
      <w:pPr>
        <w:widowControl/>
      </w:pPr>
      <w:r>
        <w:t>Throttle or pause the responsible background class, inspect query plans and storage behaviour, and scale only within tested limits. Preserve ordinary saves and approvals. Reproduce the workload in staging and verify the FSD peak, burst and soak profiles. Record the capacity change and the largest-tenant outcome before raising admission limits.</w:t>
      </w:r>
    </w:p>
    <w:p>
      <w:pPr>
        <w:pStyle w:val="Heading1"/>
      </w:pPr>
      <w:r>
        <w:rPr>
          <w:color w:val="000000"/>
        </w:rPr>
        <w:t>17 Closure evidence</w:t>
      </w:r>
    </w:p>
    <w:p>
      <w:pPr>
        <w:widowControl/>
      </w:pPr>
      <w:r>
        <w:t>Every incident closes with verified recovery, affected scope, root cause, corrective action, owner and a repeatable regression test. Attach the exact build and configuration manifest, relevant receipt or audit references and measured recovery time. Preserve organisational notification and retention decisions separately from broad operational logs. Update the runbook when the exercise reveals an inaccurate command, missing dependency or failed assumption.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Operational Runbooks</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