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Impact Management Platform</w:t>
      </w:r>
    </w:p>
    <w:p>
      <w:pPr>
        <w:pStyle w:val="Subtitle"/>
      </w:pPr>
      <w:r>
        <w:rPr>
          <w:b w:val="0"/>
          <w:i w:val="0"/>
        </w:rPr>
        <w:t>Functional Specification Document</w:t>
      </w:r>
    </w:p>
    <w:p>
      <w:r>
        <w:rPr>
          <w:b w:val="0"/>
          <w:i w:val="0"/>
        </w:rPr>
        <w:t>Version 1.0   24 September 2026</w:t>
      </w:r>
    </w:p>
    <w:p>
      <w:pPr>
        <w:spacing w:after="280"/>
      </w:pPr>
      <w:r>
        <w:rPr>
          <w:b w:val="0"/>
          <w:i w:val="0"/>
        </w:rPr>
        <w:t>Status Proposed functional baseline derived from BRD version 1.0</w:t>
      </w:r>
    </w:p>
    <w:p>
      <w:r>
        <w:rPr>
          <w:b w:val="0"/>
          <w:i w:val="0"/>
        </w:rPr>
        <w:t>This specification defines how the enterprise monitoring, evaluation, learning and impact platform behaves. It translates the BRD into user interactions, logical data contracts, permissions, lifecycle rules, calculations, failure handling and verifiable outcomes. Product, design, engineering, security, implementation and QA teams shall use it as the common functional contract before high level and low level design.</w:t>
      </w:r>
    </w:p>
    <w:p>
      <w:r>
        <w:rPr>
          <w:b w:val="0"/>
          <w:i w:val="0"/>
        </w:rPr>
        <w:t>The complete BRD scope is retained, including later release capabilities. A function is specified by its individual FR entry together with the shared contracts in this document. These contracts apply to interface actions, imports, APIs, background jobs, offline synchronisation and AI initiated work. An attractive screen, successful request or generated draft does not establish that data is approved or a report is published.</w:t>
      </w:r>
    </w:p>
    <w:p>
      <w:r>
        <w:rPr>
          <w:b w:val="0"/>
          <w:i w:val="0"/>
        </w:rPr>
        <w:t>The governing source is Impact Management Platform BRD version 1.0 dated 24 September 2026, containing 270 functional and 37 nonfunctional requirements. This FSD preserves all parent identifiers, priorities and release assignments. It defines proposed product defaults where the BRD required a concrete behaviour; it does not claim sponsor signoff, an implemented system, qualified performance or external certification.</w:t>
      </w:r>
    </w:p>
    <w:p>
      <w:pPr>
        <w:spacing w:before="320"/>
      </w:pPr>
      <w:r>
        <w:rPr>
          <w:b/>
          <w:i w:val="0"/>
          <w:sz w:val="20"/>
        </w:rPr>
        <w:t>270 functional specifications   |   37 quality verification contracts</w:t>
        <w:br/>
        <w:t>307 BRD mappings   |   30 integrated acceptance scenarios</w:t>
      </w:r>
    </w:p>
    <w:p>
      <w:r>
        <w:br w:type="page"/>
      </w:r>
    </w:p>
    <w:p>
      <w:pPr>
        <w:pStyle w:val="Heading1"/>
      </w:pPr>
      <w:r>
        <w:rPr>
          <w:b w:val="0"/>
          <w:i w:val="0"/>
        </w:rPr>
        <w:t>Contents</w:t>
      </w:r>
    </w:p>
    <w:p>
      <w:pPr>
        <w:tabs>
          <w:tab w:pos="9864" w:val="right" w:leader="dot"/>
        </w:tabs>
        <w:spacing w:after="20" w:line="240" w:lineRule="auto"/>
      </w:pPr>
      <w:hyperlink w:anchor="sec_1">
        <w:r>
          <w:rPr>
            <w:color w:val="000000"/>
          </w:rPr>
          <w:t>1 Specification control and interpretation</w:t>
        </w:r>
      </w:hyperlink>
      <w:r>
        <w:rPr>
          <w:sz w:val="21"/>
        </w:rPr>
        <w:tab/>
        <w:t>3</w:t>
      </w:r>
    </w:p>
    <w:p>
      <w:pPr>
        <w:tabs>
          <w:tab w:pos="9864" w:val="right" w:leader="dot"/>
        </w:tabs>
        <w:spacing w:after="20" w:line="240" w:lineRule="auto"/>
      </w:pPr>
      <w:hyperlink w:anchor="sec_2">
        <w:r>
          <w:rPr>
            <w:color w:val="000000"/>
          </w:rPr>
          <w:t>2 Shared interaction and transaction contracts</w:t>
        </w:r>
      </w:hyperlink>
      <w:r>
        <w:rPr>
          <w:sz w:val="21"/>
        </w:rPr>
        <w:tab/>
        <w:t>5</w:t>
      </w:r>
    </w:p>
    <w:p>
      <w:pPr>
        <w:tabs>
          <w:tab w:pos="9864" w:val="right" w:leader="dot"/>
        </w:tabs>
        <w:spacing w:after="20" w:line="240" w:lineRule="auto"/>
      </w:pPr>
      <w:hyperlink w:anchor="sec_3">
        <w:r>
          <w:rPr>
            <w:color w:val="000000"/>
          </w:rPr>
          <w:t>3 Identity permissions and independent approval</w:t>
        </w:r>
      </w:hyperlink>
      <w:r>
        <w:rPr>
          <w:sz w:val="21"/>
        </w:rPr>
        <w:tab/>
        <w:t>8</w:t>
      </w:r>
    </w:p>
    <w:p>
      <w:pPr>
        <w:tabs>
          <w:tab w:pos="9864" w:val="right" w:leader="dot"/>
        </w:tabs>
        <w:spacing w:after="20" w:line="240" w:lineRule="auto"/>
      </w:pPr>
      <w:hyperlink w:anchor="sec_4">
        <w:r>
          <w:rPr>
            <w:color w:val="000000"/>
          </w:rPr>
          <w:t>4 Logical data dictionary</w:t>
        </w:r>
      </w:hyperlink>
      <w:r>
        <w:rPr>
          <w:sz w:val="21"/>
        </w:rPr>
        <w:tab/>
        <w:t>11</w:t>
      </w:r>
    </w:p>
    <w:p>
      <w:pPr>
        <w:tabs>
          <w:tab w:pos="9864" w:val="right" w:leader="dot"/>
        </w:tabs>
        <w:spacing w:after="20" w:line="240" w:lineRule="auto"/>
      </w:pPr>
      <w:hyperlink w:anchor="sec_5">
        <w:r>
          <w:rPr>
            <w:color w:val="000000"/>
          </w:rPr>
          <w:t>5 Lifecycle transition specifications</w:t>
        </w:r>
      </w:hyperlink>
      <w:r>
        <w:rPr>
          <w:sz w:val="21"/>
        </w:rPr>
        <w:tab/>
        <w:t>14</w:t>
      </w:r>
    </w:p>
    <w:p>
      <w:pPr>
        <w:tabs>
          <w:tab w:pos="9864" w:val="right" w:leader="dot"/>
        </w:tabs>
        <w:spacing w:after="20" w:line="240" w:lineRule="auto"/>
      </w:pPr>
      <w:hyperlink w:anchor="sec_6">
        <w:r>
          <w:rPr>
            <w:color w:val="000000"/>
          </w:rPr>
          <w:t>6 Screen and interaction inventory</w:t>
        </w:r>
      </w:hyperlink>
      <w:r>
        <w:rPr>
          <w:sz w:val="21"/>
        </w:rPr>
        <w:tab/>
        <w:t>16</w:t>
      </w:r>
    </w:p>
    <w:p>
      <w:pPr>
        <w:tabs>
          <w:tab w:pos="9864" w:val="right" w:leader="dot"/>
        </w:tabs>
        <w:spacing w:after="20" w:line="240" w:lineRule="auto"/>
      </w:pPr>
      <w:hyperlink w:anchor="sec_7">
        <w:r>
          <w:rPr>
            <w:color w:val="000000"/>
          </w:rPr>
          <w:t>7 Organisation and tenant administration</w:t>
        </w:r>
      </w:hyperlink>
      <w:r>
        <w:rPr>
          <w:sz w:val="21"/>
        </w:rPr>
        <w:tab/>
        <w:t>19</w:t>
      </w:r>
    </w:p>
    <w:p>
      <w:pPr>
        <w:tabs>
          <w:tab w:pos="9864" w:val="right" w:leader="dot"/>
        </w:tabs>
        <w:spacing w:after="20" w:line="240" w:lineRule="auto"/>
      </w:pPr>
      <w:hyperlink w:anchor="sec_8">
        <w:r>
          <w:rPr>
            <w:color w:val="000000"/>
          </w:rPr>
          <w:t>8 Identity and membership lifecycle</w:t>
        </w:r>
      </w:hyperlink>
      <w:r>
        <w:rPr>
          <w:sz w:val="21"/>
        </w:rPr>
        <w:tab/>
        <w:t>21</w:t>
      </w:r>
    </w:p>
    <w:p>
      <w:pPr>
        <w:tabs>
          <w:tab w:pos="9864" w:val="right" w:leader="dot"/>
        </w:tabs>
        <w:spacing w:after="20" w:line="240" w:lineRule="auto"/>
      </w:pPr>
      <w:hyperlink w:anchor="sec_9">
        <w:r>
          <w:rPr>
            <w:color w:val="000000"/>
          </w:rPr>
          <w:t>9 Authorisation sharing and support access</w:t>
        </w:r>
      </w:hyperlink>
      <w:r>
        <w:rPr>
          <w:sz w:val="21"/>
        </w:rPr>
        <w:tab/>
        <w:t>25</w:t>
      </w:r>
    </w:p>
    <w:p>
      <w:pPr>
        <w:tabs>
          <w:tab w:pos="9864" w:val="right" w:leader="dot"/>
        </w:tabs>
        <w:spacing w:after="20" w:line="240" w:lineRule="auto"/>
      </w:pPr>
      <w:hyperlink w:anchor="sec_10">
        <w:r>
          <w:rPr>
            <w:color w:val="000000"/>
          </w:rPr>
          <w:t>10 Strategy frameworks and measurement plans</w:t>
        </w:r>
      </w:hyperlink>
      <w:r>
        <w:rPr>
          <w:sz w:val="21"/>
        </w:rPr>
        <w:tab/>
        <w:t>28</w:t>
      </w:r>
    </w:p>
    <w:p>
      <w:pPr>
        <w:tabs>
          <w:tab w:pos="9864" w:val="right" w:leader="dot"/>
        </w:tabs>
        <w:spacing w:after="20" w:line="240" w:lineRule="auto"/>
      </w:pPr>
      <w:hyperlink w:anchor="sec_11">
        <w:r>
          <w:rPr>
            <w:color w:val="000000"/>
          </w:rPr>
          <w:t>11 Programme and delivery management</w:t>
        </w:r>
      </w:hyperlink>
      <w:r>
        <w:rPr>
          <w:sz w:val="21"/>
        </w:rPr>
        <w:tab/>
        <w:t>30</w:t>
      </w:r>
    </w:p>
    <w:p>
      <w:pPr>
        <w:tabs>
          <w:tab w:pos="9864" w:val="right" w:leader="dot"/>
        </w:tabs>
        <w:spacing w:after="20" w:line="240" w:lineRule="auto"/>
      </w:pPr>
      <w:hyperlink w:anchor="sec_12">
        <w:r>
          <w:rPr>
            <w:color w:val="000000"/>
          </w:rPr>
          <w:t>12 Indicator definitions targets and periods</w:t>
        </w:r>
      </w:hyperlink>
      <w:r>
        <w:rPr>
          <w:sz w:val="21"/>
        </w:rPr>
        <w:tab/>
        <w:t>32</w:t>
      </w:r>
    </w:p>
    <w:p>
      <w:pPr>
        <w:tabs>
          <w:tab w:pos="9864" w:val="right" w:leader="dot"/>
        </w:tabs>
        <w:spacing w:after="20" w:line="240" w:lineRule="auto"/>
      </w:pPr>
      <w:hyperlink w:anchor="sec_13">
        <w:r>
          <w:rPr>
            <w:color w:val="000000"/>
          </w:rPr>
          <w:t>13 Deterministic calculations and reconciliation</w:t>
        </w:r>
      </w:hyperlink>
      <w:r>
        <w:rPr>
          <w:sz w:val="21"/>
        </w:rPr>
        <w:tab/>
        <w:t>36</w:t>
      </w:r>
    </w:p>
    <w:p>
      <w:pPr>
        <w:tabs>
          <w:tab w:pos="9864" w:val="right" w:leader="dot"/>
        </w:tabs>
        <w:spacing w:after="20" w:line="240" w:lineRule="auto"/>
      </w:pPr>
      <w:hyperlink w:anchor="sec_14">
        <w:r>
          <w:rPr>
            <w:color w:val="000000"/>
          </w:rPr>
          <w:t>14 Forms surveys and collection rounds</w:t>
        </w:r>
      </w:hyperlink>
      <w:r>
        <w:rPr>
          <w:sz w:val="21"/>
        </w:rPr>
        <w:tab/>
        <w:t>39</w:t>
      </w:r>
    </w:p>
    <w:p>
      <w:pPr>
        <w:tabs>
          <w:tab w:pos="9864" w:val="right" w:leader="dot"/>
        </w:tabs>
        <w:spacing w:after="20" w:line="240" w:lineRule="auto"/>
      </w:pPr>
      <w:hyperlink w:anchor="sec_15">
        <w:r>
          <w:rPr>
            <w:color w:val="000000"/>
          </w:rPr>
          <w:t>15 Offline capture and synchronisation</w:t>
        </w:r>
      </w:hyperlink>
      <w:r>
        <w:rPr>
          <w:sz w:val="21"/>
        </w:rPr>
        <w:tab/>
        <w:t>42</w:t>
      </w:r>
    </w:p>
    <w:p>
      <w:pPr>
        <w:tabs>
          <w:tab w:pos="9864" w:val="right" w:leader="dot"/>
        </w:tabs>
        <w:spacing w:after="20" w:line="240" w:lineRule="auto"/>
      </w:pPr>
      <w:hyperlink w:anchor="sec_16">
        <w:r>
          <w:rPr>
            <w:color w:val="000000"/>
          </w:rPr>
          <w:t>16 Data ingestion transformation and lineage</w:t>
        </w:r>
      </w:hyperlink>
      <w:r>
        <w:rPr>
          <w:sz w:val="21"/>
        </w:rPr>
        <w:tab/>
        <w:t>44</w:t>
      </w:r>
    </w:p>
    <w:p>
      <w:pPr>
        <w:tabs>
          <w:tab w:pos="9864" w:val="right" w:leader="dot"/>
        </w:tabs>
        <w:spacing w:after="20" w:line="240" w:lineRule="auto"/>
      </w:pPr>
      <w:hyperlink w:anchor="sec_17">
        <w:r>
          <w:rPr>
            <w:color w:val="000000"/>
          </w:rPr>
          <w:t>17 Data quality and completeness</w:t>
        </w:r>
      </w:hyperlink>
      <w:r>
        <w:rPr>
          <w:sz w:val="21"/>
        </w:rPr>
        <w:tab/>
        <w:t>46</w:t>
      </w:r>
    </w:p>
    <w:p>
      <w:pPr>
        <w:tabs>
          <w:tab w:pos="9864" w:val="right" w:leader="dot"/>
        </w:tabs>
        <w:spacing w:after="20" w:line="240" w:lineRule="auto"/>
      </w:pPr>
      <w:hyperlink w:anchor="sec_18">
        <w:r>
          <w:rPr>
            <w:color w:val="000000"/>
          </w:rPr>
          <w:t>18 Participants institutions and service events</w:t>
        </w:r>
      </w:hyperlink>
      <w:r>
        <w:rPr>
          <w:sz w:val="21"/>
        </w:rPr>
        <w:tab/>
        <w:t>48</w:t>
      </w:r>
    </w:p>
    <w:p>
      <w:pPr>
        <w:tabs>
          <w:tab w:pos="9864" w:val="right" w:leader="dot"/>
        </w:tabs>
        <w:spacing w:after="20" w:line="240" w:lineRule="auto"/>
      </w:pPr>
      <w:hyperlink w:anchor="sec_19">
        <w:r>
          <w:rPr>
            <w:color w:val="000000"/>
          </w:rPr>
          <w:t>19 Evidence and qualitative analysis</w:t>
        </w:r>
      </w:hyperlink>
      <w:r>
        <w:rPr>
          <w:sz w:val="21"/>
        </w:rPr>
        <w:tab/>
        <w:t>50</w:t>
      </w:r>
    </w:p>
    <w:p>
      <w:pPr>
        <w:tabs>
          <w:tab w:pos="9864" w:val="right" w:leader="dot"/>
        </w:tabs>
        <w:spacing w:after="20" w:line="240" w:lineRule="auto"/>
      </w:pPr>
      <w:hyperlink w:anchor="sec_20">
        <w:r>
          <w:rPr>
            <w:color w:val="000000"/>
          </w:rPr>
          <w:t>20 Evaluation and institutional learning</w:t>
        </w:r>
      </w:hyperlink>
      <w:r>
        <w:rPr>
          <w:sz w:val="21"/>
        </w:rPr>
        <w:tab/>
        <w:t>52</w:t>
      </w:r>
    </w:p>
    <w:p>
      <w:pPr>
        <w:tabs>
          <w:tab w:pos="9864" w:val="right" w:leader="dot"/>
        </w:tabs>
        <w:spacing w:after="20" w:line="240" w:lineRule="auto"/>
      </w:pPr>
      <w:hyperlink w:anchor="sec_21">
        <w:r>
          <w:rPr>
            <w:color w:val="000000"/>
          </w:rPr>
          <w:t>21 Approvals collaboration and period close</w:t>
        </w:r>
      </w:hyperlink>
      <w:r>
        <w:rPr>
          <w:sz w:val="21"/>
        </w:rPr>
        <w:tab/>
        <w:t>54</w:t>
      </w:r>
    </w:p>
    <w:p>
      <w:pPr>
        <w:tabs>
          <w:tab w:pos="9864" w:val="right" w:leader="dot"/>
        </w:tabs>
        <w:spacing w:after="20" w:line="240" w:lineRule="auto"/>
      </w:pPr>
      <w:hyperlink w:anchor="sec_22">
        <w:r>
          <w:rPr>
            <w:color w:val="000000"/>
          </w:rPr>
          <w:t>22 Analytics dashboards and geographic views</w:t>
        </w:r>
      </w:hyperlink>
      <w:r>
        <w:rPr>
          <w:sz w:val="21"/>
        </w:rPr>
        <w:tab/>
        <w:t>56</w:t>
      </w:r>
    </w:p>
    <w:p>
      <w:pPr>
        <w:tabs>
          <w:tab w:pos="9864" w:val="right" w:leader="dot"/>
        </w:tabs>
        <w:spacing w:after="20" w:line="240" w:lineRule="auto"/>
      </w:pPr>
      <w:hyperlink w:anchor="sec_23">
        <w:r>
          <w:rPr>
            <w:color w:val="000000"/>
          </w:rPr>
          <w:t>23 Reporting publication and distribution</w:t>
        </w:r>
      </w:hyperlink>
      <w:r>
        <w:rPr>
          <w:sz w:val="21"/>
        </w:rPr>
        <w:tab/>
        <w:t>59</w:t>
      </w:r>
    </w:p>
    <w:p>
      <w:pPr>
        <w:tabs>
          <w:tab w:pos="9864" w:val="right" w:leader="dot"/>
        </w:tabs>
        <w:spacing w:after="20" w:line="240" w:lineRule="auto"/>
      </w:pPr>
      <w:hyperlink w:anchor="sec_24">
        <w:r>
          <w:rPr>
            <w:color w:val="000000"/>
          </w:rPr>
          <w:t>24 Funding budgets and analytical finance</w:t>
        </w:r>
      </w:hyperlink>
      <w:r>
        <w:rPr>
          <w:sz w:val="21"/>
        </w:rPr>
        <w:tab/>
        <w:t>62</w:t>
      </w:r>
    </w:p>
    <w:p>
      <w:pPr>
        <w:tabs>
          <w:tab w:pos="9864" w:val="right" w:leader="dot"/>
        </w:tabs>
        <w:spacing w:after="20" w:line="240" w:lineRule="auto"/>
      </w:pPr>
      <w:hyperlink w:anchor="sec_25">
        <w:r>
          <w:rPr>
            <w:color w:val="000000"/>
          </w:rPr>
          <w:t>25 Integrations business APIs and interoperability</w:t>
        </w:r>
      </w:hyperlink>
      <w:r>
        <w:rPr>
          <w:sz w:val="21"/>
        </w:rPr>
        <w:tab/>
        <w:t>63</w:t>
      </w:r>
    </w:p>
    <w:p>
      <w:pPr>
        <w:tabs>
          <w:tab w:pos="9864" w:val="right" w:leader="dot"/>
        </w:tabs>
        <w:spacing w:after="20" w:line="240" w:lineRule="auto"/>
      </w:pPr>
      <w:hyperlink w:anchor="sec_26">
        <w:r>
          <w:rPr>
            <w:color w:val="000000"/>
          </w:rPr>
          <w:t>26 AI assisted functional workflows</w:t>
        </w:r>
      </w:hyperlink>
      <w:r>
        <w:rPr>
          <w:sz w:val="21"/>
        </w:rPr>
        <w:tab/>
        <w:t>66</w:t>
      </w:r>
    </w:p>
    <w:p>
      <w:pPr>
        <w:tabs>
          <w:tab w:pos="9864" w:val="right" w:leader="dot"/>
        </w:tabs>
        <w:spacing w:after="20" w:line="240" w:lineRule="auto"/>
      </w:pPr>
      <w:hyperlink w:anchor="sec_27">
        <w:r>
          <w:rPr>
            <w:color w:val="000000"/>
          </w:rPr>
          <w:t>27 Security administration and assurance</w:t>
        </w:r>
      </w:hyperlink>
      <w:r>
        <w:rPr>
          <w:sz w:val="21"/>
        </w:rPr>
        <w:tab/>
        <w:t>70</w:t>
      </w:r>
    </w:p>
    <w:p>
      <w:pPr>
        <w:tabs>
          <w:tab w:pos="9864" w:val="right" w:leader="dot"/>
        </w:tabs>
        <w:spacing w:after="20" w:line="240" w:lineRule="auto"/>
      </w:pPr>
      <w:hyperlink w:anchor="sec_28">
        <w:r>
          <w:rPr>
            <w:color w:val="000000"/>
          </w:rPr>
          <w:t>28 Privacy retention and disclosure governance</w:t>
        </w:r>
      </w:hyperlink>
      <w:r>
        <w:rPr>
          <w:sz w:val="21"/>
        </w:rPr>
        <w:tab/>
        <w:t>73</w:t>
      </w:r>
    </w:p>
    <w:p>
      <w:pPr>
        <w:tabs>
          <w:tab w:pos="9864" w:val="right" w:leader="dot"/>
        </w:tabs>
        <w:spacing w:after="20" w:line="240" w:lineRule="auto"/>
      </w:pPr>
      <w:hyperlink w:anchor="sec_29">
        <w:r>
          <w:rPr>
            <w:color w:val="000000"/>
          </w:rPr>
          <w:t>29 Service operations and commercial administration</w:t>
        </w:r>
      </w:hyperlink>
      <w:r>
        <w:rPr>
          <w:sz w:val="21"/>
        </w:rPr>
        <w:tab/>
        <w:t>75</w:t>
      </w:r>
    </w:p>
    <w:p>
      <w:pPr>
        <w:tabs>
          <w:tab w:pos="9864" w:val="right" w:leader="dot"/>
        </w:tabs>
        <w:spacing w:after="20" w:line="240" w:lineRule="auto"/>
      </w:pPr>
      <w:hyperlink w:anchor="sec_30">
        <w:r>
          <w:rPr>
            <w:color w:val="000000"/>
          </w:rPr>
          <w:t>30 Migration onboarding and tenant exit</w:t>
        </w:r>
      </w:hyperlink>
      <w:r>
        <w:rPr>
          <w:sz w:val="21"/>
        </w:rPr>
        <w:tab/>
        <w:t>78</w:t>
      </w:r>
    </w:p>
    <w:p>
      <w:pPr>
        <w:tabs>
          <w:tab w:pos="9864" w:val="right" w:leader="dot"/>
        </w:tabs>
        <w:spacing w:after="20" w:line="240" w:lineRule="auto"/>
      </w:pPr>
      <w:hyperlink w:anchor="sec_31">
        <w:r>
          <w:rPr>
            <w:color w:val="000000"/>
          </w:rPr>
          <w:t>31 User experience accessibility and localisation</w:t>
        </w:r>
      </w:hyperlink>
      <w:r>
        <w:rPr>
          <w:sz w:val="21"/>
        </w:rPr>
        <w:tab/>
        <w:t>80</w:t>
      </w:r>
    </w:p>
    <w:p>
      <w:pPr>
        <w:tabs>
          <w:tab w:pos="9864" w:val="right" w:leader="dot"/>
        </w:tabs>
        <w:spacing w:after="20" w:line="240" w:lineRule="auto"/>
      </w:pPr>
      <w:hyperlink w:anchor="sec_32">
        <w:r>
          <w:rPr>
            <w:color w:val="000000"/>
          </w:rPr>
          <w:t>32 Calculation contracts and golden examples</w:t>
        </w:r>
      </w:hyperlink>
      <w:r>
        <w:rPr>
          <w:sz w:val="21"/>
        </w:rPr>
        <w:tab/>
        <w:t>82</w:t>
      </w:r>
    </w:p>
    <w:p>
      <w:pPr>
        <w:tabs>
          <w:tab w:pos="9864" w:val="right" w:leader="dot"/>
        </w:tabs>
        <w:spacing w:after="20" w:line="240" w:lineRule="auto"/>
      </w:pPr>
      <w:hyperlink w:anchor="sec_33">
        <w:r>
          <w:rPr>
            <w:color w:val="000000"/>
          </w:rPr>
          <w:t>33 Form expressions and import contracts</w:t>
        </w:r>
      </w:hyperlink>
      <w:r>
        <w:rPr>
          <w:sz w:val="21"/>
        </w:rPr>
        <w:tab/>
        <w:t>85</w:t>
      </w:r>
    </w:p>
    <w:p>
      <w:pPr>
        <w:tabs>
          <w:tab w:pos="9864" w:val="right" w:leader="dot"/>
        </w:tabs>
        <w:spacing w:after="20" w:line="240" w:lineRule="auto"/>
      </w:pPr>
      <w:hyperlink w:anchor="sec_34">
        <w:r>
          <w:rPr>
            <w:color w:val="000000"/>
          </w:rPr>
          <w:t>34 External business interface contracts</w:t>
        </w:r>
      </w:hyperlink>
      <w:r>
        <w:rPr>
          <w:sz w:val="21"/>
        </w:rPr>
        <w:tab/>
        <w:t>87</w:t>
      </w:r>
    </w:p>
    <w:p>
      <w:pPr>
        <w:tabs>
          <w:tab w:pos="9864" w:val="right" w:leader="dot"/>
        </w:tabs>
        <w:spacing w:after="20" w:line="240" w:lineRule="auto"/>
      </w:pPr>
      <w:hyperlink w:anchor="sec_35">
        <w:r>
          <w:rPr>
            <w:color w:val="000000"/>
          </w:rPr>
          <w:t>35 Asynchronous work notifications and audit</w:t>
        </w:r>
      </w:hyperlink>
      <w:r>
        <w:rPr>
          <w:sz w:val="21"/>
        </w:rPr>
        <w:tab/>
        <w:t>88</w:t>
      </w:r>
    </w:p>
    <w:p>
      <w:pPr>
        <w:tabs>
          <w:tab w:pos="9864" w:val="right" w:leader="dot"/>
        </w:tabs>
        <w:spacing w:after="20" w:line="240" w:lineRule="auto"/>
      </w:pPr>
      <w:hyperlink w:anchor="sec_36">
        <w:r>
          <w:rPr>
            <w:color w:val="000000"/>
          </w:rPr>
          <w:t>36 AI tool and confirmation catalogue</w:t>
        </w:r>
      </w:hyperlink>
      <w:r>
        <w:rPr>
          <w:sz w:val="21"/>
        </w:rPr>
        <w:tab/>
        <w:t>90</w:t>
      </w:r>
    </w:p>
    <w:p>
      <w:pPr>
        <w:tabs>
          <w:tab w:pos="9864" w:val="right" w:leader="dot"/>
        </w:tabs>
        <w:spacing w:after="20" w:line="240" w:lineRule="auto"/>
      </w:pPr>
      <w:hyperlink w:anchor="sec_37">
        <w:r>
          <w:rPr>
            <w:color w:val="000000"/>
          </w:rPr>
          <w:t>37 Nonfunctional verification contracts</w:t>
        </w:r>
      </w:hyperlink>
      <w:r>
        <w:rPr>
          <w:sz w:val="21"/>
        </w:rPr>
        <w:tab/>
        <w:t>92</w:t>
      </w:r>
    </w:p>
    <w:p>
      <w:pPr>
        <w:tabs>
          <w:tab w:pos="9864" w:val="right" w:leader="dot"/>
        </w:tabs>
        <w:spacing w:after="20" w:line="240" w:lineRule="auto"/>
      </w:pPr>
      <w:hyperlink w:anchor="sec_38">
        <w:r>
          <w:rPr>
            <w:color w:val="000000"/>
          </w:rPr>
          <w:t>38 Integrated acceptance scenarios</w:t>
        </w:r>
      </w:hyperlink>
      <w:r>
        <w:rPr>
          <w:sz w:val="21"/>
        </w:rPr>
        <w:tab/>
        <w:t>101</w:t>
      </w:r>
    </w:p>
    <w:p>
      <w:pPr>
        <w:tabs>
          <w:tab w:pos="9864" w:val="right" w:leader="dot"/>
        </w:tabs>
        <w:spacing w:after="20" w:line="240" w:lineRule="auto"/>
      </w:pPr>
      <w:hyperlink w:anchor="sec_39">
        <w:r>
          <w:rPr>
            <w:color w:val="000000"/>
          </w:rPr>
          <w:t>39 Requirement traceability register</w:t>
        </w:r>
      </w:hyperlink>
      <w:r>
        <w:rPr>
          <w:sz w:val="21"/>
        </w:rPr>
        <w:tab/>
        <w:t>108</w:t>
      </w:r>
    </w:p>
    <w:p>
      <w:pPr>
        <w:tabs>
          <w:tab w:pos="9864" w:val="right" w:leader="dot"/>
        </w:tabs>
        <w:spacing w:after="20" w:line="240" w:lineRule="auto"/>
      </w:pPr>
      <w:hyperlink w:anchor="sec_40">
        <w:r>
          <w:rPr>
            <w:color w:val="000000"/>
          </w:rPr>
          <w:t>40 Functional decisions and design handoff</w:t>
        </w:r>
      </w:hyperlink>
      <w:r>
        <w:rPr>
          <w:sz w:val="21"/>
        </w:rPr>
        <w:tab/>
        <w:t>119</w:t>
      </w:r>
    </w:p>
    <w:p>
      <w:r>
        <w:br w:type="page"/>
      </w:r>
    </w:p>
    <w:p>
      <w:bookmarkStart w:id="1" w:name="sec_1"/>
      <w:pPr>
        <w:pStyle w:val="Heading1"/>
      </w:pPr>
      <w:r>
        <w:rPr>
          <w:b w:val="0"/>
          <w:i w:val="0"/>
        </w:rPr>
        <w:t>1 Specification control and interpretation</w:t>
      </w:r>
      <w:bookmarkEnd w:id="1"/>
    </w:p>
    <w:p>
      <w:pPr>
        <w:pStyle w:val="Heading2"/>
      </w:pPr>
      <w:r>
        <w:rPr>
          <w:b w:val="0"/>
          <w:i w:val="0"/>
        </w:rPr>
        <w:t>1 1 Baseline and authority</w:t>
      </w:r>
    </w:p>
    <w:p>
      <w:r>
        <w:rPr>
          <w:b w:val="0"/>
          <w:i w:val="0"/>
        </w:rPr>
        <w:t>The source BRD was read from its current saved document. Its business requirements govern this specification. FR identifiers preserve the parent suffix: FR-IAM-001 implements BR-IAM-001. VF identifiers specify verification contracts for NFR parents: VF-PER-001 verifies NFR-PER-001. Shared contracts are identified by SC, data entities by D, screens by UI, transitions by ST, calculation fixtures by CAL, interface contracts by IC and integrated tests by AT. These identifiers are specification references, not database primary keys or API routes.</w:t>
      </w:r>
    </w:p>
    <w:p>
      <w:r>
        <w:rPr>
          <w:b w:val="0"/>
          <w:i w:val="0"/>
        </w:rPr>
        <w:t>P0, P1, P2 and R1, R2, R3 have the meanings established in the BRD. An R2 function cannot bypass an R1 security requirement. R1 is the controlled production scope; delivery dates require engineering estimation. Every changed requirement requires a baseline change record identifying its parents, affected tests, compatibility and release impact.</w:t>
      </w:r>
    </w:p>
    <w:p>
      <w:r>
        <w:rPr>
          <w:b w:val="0"/>
          <w:i w:val="0"/>
        </w:rPr>
        <w:t>The per requirement behaviour and acceptance examples expand the parent acceptance criterion. Neither replaces the parent. A discrepancy is resolved by applying the stricter confidentiality and integrity requirement and recording the semantic conflict for product resolution. Product configuration may tighten a default; it cannot waive a nonwaivable control or silently weaken a BRD numerical target.</w:t>
      </w:r>
    </w:p>
    <w:p>
      <w:pPr>
        <w:pStyle w:val="Heading2"/>
      </w:pPr>
      <w:r>
        <w:rPr>
          <w:b w:val="0"/>
          <w:i w:val="0"/>
        </w:rPr>
        <w:t>1 2 Proposed operating defaults</w:t>
      </w:r>
    </w:p>
    <w:p>
      <w:r>
        <w:rPr>
          <w:b w:val="0"/>
          <w:i w:val="0"/>
        </w:rPr>
        <w:t>The following choices make this version actionable. They are explicit design proposals, not facts about TolaData or claims of existing implementation. They may be changed through recorded FSD review before design baselining. HLD shall cost them and LLD shall implement their precise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698"/>
        <w:gridCol w:w="4397"/>
        <w:gridCol w:w="2898"/>
      </w:tblGrid>
      <w:tr>
        <w:trPr>
          <w:cantSplit/>
          <w:tblHeader/>
        </w:trPr>
        <w:tc>
          <w:tcPr>
            <w:tcW w:type="dxa" w:w="2698"/>
            <w:vAlign w:val="center"/>
            <w:shd w:fill="233B53"/>
          </w:tcPr>
          <w:p>
            <w:pPr>
              <w:spacing w:after="20" w:before="20" w:line="247" w:lineRule="auto"/>
            </w:pPr>
            <w:r>
              <w:rPr>
                <w:b/>
                <w:i w:val="0"/>
                <w:color w:val="FFFFFF"/>
                <w:sz w:val="20"/>
              </w:rPr>
              <w:t>Decision</w:t>
            </w:r>
          </w:p>
        </w:tc>
        <w:tc>
          <w:tcPr>
            <w:tcW w:type="dxa" w:w="4397"/>
            <w:vAlign w:val="center"/>
            <w:shd w:fill="233B53"/>
          </w:tcPr>
          <w:p>
            <w:pPr>
              <w:spacing w:after="20" w:before="20" w:line="247" w:lineRule="auto"/>
            </w:pPr>
            <w:r>
              <w:rPr>
                <w:b/>
                <w:i w:val="0"/>
                <w:color w:val="FFFFFF"/>
                <w:sz w:val="20"/>
              </w:rPr>
              <w:t>Proposed functional default</w:t>
            </w:r>
          </w:p>
        </w:tc>
        <w:tc>
          <w:tcPr>
            <w:tcW w:type="dxa" w:w="2898"/>
            <w:vAlign w:val="center"/>
            <w:shd w:fill="233B53"/>
          </w:tcPr>
          <w:p>
            <w:pPr>
              <w:spacing w:after="20" w:before="20" w:line="247" w:lineRule="auto"/>
            </w:pPr>
            <w:r>
              <w:rPr>
                <w:b/>
                <w:i w:val="0"/>
                <w:color w:val="FFFFFF"/>
                <w:sz w:val="20"/>
              </w:rPr>
              <w:t>Change rule</w:t>
            </w:r>
          </w:p>
        </w:tc>
      </w:tr>
      <w:tr>
        <w:trPr>
          <w:cantSplit/>
        </w:trPr>
        <w:tc>
          <w:tcPr>
            <w:tcW w:type="dxa" w:w="2698"/>
            <w:vAlign w:val="center"/>
            <w:shd w:fill="FFFFFF"/>
          </w:tcPr>
          <w:p>
            <w:pPr>
              <w:spacing w:after="20" w:before="20" w:line="247" w:lineRule="auto"/>
            </w:pPr>
            <w:r>
              <w:rPr>
                <w:b w:val="0"/>
                <w:i w:val="0"/>
                <w:sz w:val="20"/>
              </w:rPr>
              <w:t>FD01 Tenant creation</w:t>
            </w:r>
          </w:p>
        </w:tc>
        <w:tc>
          <w:tcPr>
            <w:tcW w:type="dxa" w:w="4397"/>
            <w:vAlign w:val="center"/>
            <w:shd w:fill="FFFFFF"/>
          </w:tcPr>
          <w:p>
            <w:pPr>
              <w:spacing w:after="20" w:before="20" w:line="247" w:lineRule="auto"/>
            </w:pPr>
            <w:r>
              <w:rPr>
                <w:b w:val="0"/>
                <w:i w:val="0"/>
                <w:sz w:val="20"/>
              </w:rPr>
              <w:t>Operator approved tenant provisioning; no anonymous production tenant creation</w:t>
            </w:r>
          </w:p>
        </w:tc>
        <w:tc>
          <w:tcPr>
            <w:tcW w:type="dxa" w:w="2898"/>
            <w:vAlign w:val="center"/>
            <w:shd w:fill="FFFFFF"/>
          </w:tcPr>
          <w:p>
            <w:pPr>
              <w:spacing w:after="20" w:before="20" w:line="247" w:lineRule="auto"/>
            </w:pPr>
            <w:r>
              <w:rPr>
                <w:b w:val="0"/>
                <w:i w:val="0"/>
                <w:sz w:val="20"/>
              </w:rPr>
              <w:t>Self service may be added only with equivalent ownership and policy gates</w:t>
            </w:r>
          </w:p>
        </w:tc>
      </w:tr>
      <w:tr>
        <w:trPr>
          <w:cantSplit/>
        </w:trPr>
        <w:tc>
          <w:tcPr>
            <w:tcW w:type="dxa" w:w="2698"/>
            <w:vAlign w:val="center"/>
            <w:shd w:fill="F4F6F8"/>
          </w:tcPr>
          <w:p>
            <w:pPr>
              <w:spacing w:after="20" w:before="20" w:line="247" w:lineRule="auto"/>
            </w:pPr>
            <w:r>
              <w:rPr>
                <w:b w:val="0"/>
                <w:i w:val="0"/>
                <w:sz w:val="20"/>
              </w:rPr>
              <w:t>FD02 Membership invitations</w:t>
            </w:r>
          </w:p>
        </w:tc>
        <w:tc>
          <w:tcPr>
            <w:tcW w:type="dxa" w:w="4397"/>
            <w:vAlign w:val="center"/>
            <w:shd w:fill="F4F6F8"/>
          </w:tcPr>
          <w:p>
            <w:pPr>
              <w:spacing w:after="20" w:before="20" w:line="247" w:lineRule="auto"/>
            </w:pPr>
            <w:r>
              <w:rPr>
                <w:b w:val="0"/>
                <w:i w:val="0"/>
                <w:sz w:val="20"/>
              </w:rPr>
              <w:t>Seven day validity; one acceptance; resend revokes earlier token</w:t>
            </w:r>
          </w:p>
        </w:tc>
        <w:tc>
          <w:tcPr>
            <w:tcW w:type="dxa" w:w="2898"/>
            <w:vAlign w:val="center"/>
            <w:shd w:fill="F4F6F8"/>
          </w:tcPr>
          <w:p>
            <w:pPr>
              <w:spacing w:after="20" w:before="20" w:line="247" w:lineRule="auto"/>
            </w:pPr>
            <w:r>
              <w:rPr>
                <w:b w:val="0"/>
                <w:i w:val="0"/>
                <w:sz w:val="20"/>
              </w:rPr>
              <w:t>Tenant may shorten validity</w:t>
            </w:r>
          </w:p>
        </w:tc>
      </w:tr>
      <w:tr>
        <w:trPr>
          <w:cantSplit/>
        </w:trPr>
        <w:tc>
          <w:tcPr>
            <w:tcW w:type="dxa" w:w="2698"/>
            <w:vAlign w:val="center"/>
            <w:shd w:fill="FFFFFF"/>
          </w:tcPr>
          <w:p>
            <w:pPr>
              <w:spacing w:after="20" w:before="20" w:line="247" w:lineRule="auto"/>
            </w:pPr>
            <w:r>
              <w:rPr>
                <w:b w:val="0"/>
                <w:i w:val="0"/>
                <w:sz w:val="20"/>
              </w:rPr>
              <w:t>FD03 Local credentials</w:t>
            </w:r>
          </w:p>
        </w:tc>
        <w:tc>
          <w:tcPr>
            <w:tcW w:type="dxa" w:w="4397"/>
            <w:vAlign w:val="center"/>
            <w:shd w:fill="FFFFFF"/>
          </w:tcPr>
          <w:p>
            <w:pPr>
              <w:spacing w:after="20" w:before="20" w:line="247" w:lineRule="auto"/>
            </w:pPr>
            <w:r>
              <w:rPr>
                <w:b w:val="0"/>
                <w:i w:val="0"/>
                <w:sz w:val="20"/>
              </w:rPr>
              <w:t>Minimum 15 characters for local passwords; accept at least 128; no silent truncation; compromised value screening</w:t>
            </w:r>
          </w:p>
        </w:tc>
        <w:tc>
          <w:tcPr>
            <w:tcW w:type="dxa" w:w="2898"/>
            <w:vAlign w:val="center"/>
            <w:shd w:fill="FFFFFF"/>
          </w:tcPr>
          <w:p>
            <w:pPr>
              <w:spacing w:after="20" w:before="20" w:line="247" w:lineRule="auto"/>
            </w:pPr>
            <w:r>
              <w:rPr>
                <w:b w:val="0"/>
                <w:i w:val="0"/>
                <w:sz w:val="20"/>
              </w:rPr>
              <w:t>Security review governs policy and federation equivalents</w:t>
            </w:r>
          </w:p>
        </w:tc>
      </w:tr>
      <w:tr>
        <w:trPr>
          <w:cantSplit/>
        </w:trPr>
        <w:tc>
          <w:tcPr>
            <w:tcW w:type="dxa" w:w="2698"/>
            <w:vAlign w:val="center"/>
            <w:shd w:fill="F4F6F8"/>
          </w:tcPr>
          <w:p>
            <w:pPr>
              <w:spacing w:after="20" w:before="20" w:line="247" w:lineRule="auto"/>
            </w:pPr>
            <w:r>
              <w:rPr>
                <w:b w:val="0"/>
                <w:i w:val="0"/>
                <w:sz w:val="20"/>
              </w:rPr>
              <w:t>FD04 Sessions</w:t>
            </w:r>
          </w:p>
        </w:tc>
        <w:tc>
          <w:tcPr>
            <w:tcW w:type="dxa" w:w="4397"/>
            <w:vAlign w:val="center"/>
            <w:shd w:fill="F4F6F8"/>
          </w:tcPr>
          <w:p>
            <w:pPr>
              <w:spacing w:after="20" w:before="20" w:line="247" w:lineRule="auto"/>
            </w:pPr>
            <w:r>
              <w:rPr>
                <w:b w:val="0"/>
                <w:i w:val="0"/>
                <w:sz w:val="20"/>
              </w:rPr>
              <w:t>Eight hour absolute lifetime and 30 minute idle limit; privileged administration 15 minute idle; sensitive actions require assurance refreshed within five minutes</w:t>
            </w:r>
          </w:p>
        </w:tc>
        <w:tc>
          <w:tcPr>
            <w:tcW w:type="dxa" w:w="2898"/>
            <w:vAlign w:val="center"/>
            <w:shd w:fill="F4F6F8"/>
          </w:tcPr>
          <w:p>
            <w:pPr>
              <w:spacing w:after="20" w:before="20" w:line="247" w:lineRule="auto"/>
            </w:pPr>
            <w:r>
              <w:rPr>
                <w:b w:val="0"/>
                <w:i w:val="0"/>
                <w:sz w:val="20"/>
              </w:rPr>
              <w:t>Stronger tenant rules win; offline grants are separate</w:t>
            </w:r>
          </w:p>
        </w:tc>
      </w:tr>
      <w:tr>
        <w:trPr>
          <w:cantSplit/>
        </w:trPr>
        <w:tc>
          <w:tcPr>
            <w:tcW w:type="dxa" w:w="2698"/>
            <w:vAlign w:val="center"/>
            <w:shd w:fill="FFFFFF"/>
          </w:tcPr>
          <w:p>
            <w:pPr>
              <w:spacing w:after="20" w:before="20" w:line="247" w:lineRule="auto"/>
            </w:pPr>
            <w:r>
              <w:rPr>
                <w:b w:val="0"/>
                <w:i w:val="0"/>
                <w:sz w:val="20"/>
              </w:rPr>
              <w:t>FD05 Service credentials</w:t>
            </w:r>
          </w:p>
        </w:tc>
        <w:tc>
          <w:tcPr>
            <w:tcW w:type="dxa" w:w="4397"/>
            <w:vAlign w:val="center"/>
            <w:shd w:fill="FFFFFF"/>
          </w:tcPr>
          <w:p>
            <w:pPr>
              <w:spacing w:after="20" w:before="20" w:line="247" w:lineRule="auto"/>
            </w:pPr>
            <w:r>
              <w:rPr>
                <w:b w:val="0"/>
                <w:i w:val="0"/>
                <w:sz w:val="20"/>
              </w:rPr>
              <w:t>Default 90 day expiry; rotation overlap at most 24 hours; named human owner and backup owner</w:t>
            </w:r>
          </w:p>
        </w:tc>
        <w:tc>
          <w:tcPr>
            <w:tcW w:type="dxa" w:w="2898"/>
            <w:vAlign w:val="center"/>
            <w:shd w:fill="FFFFFF"/>
          </w:tcPr>
          <w:p>
            <w:pPr>
              <w:spacing w:after="20" w:before="20" w:line="247" w:lineRule="auto"/>
            </w:pPr>
            <w:r>
              <w:rPr>
                <w:b w:val="0"/>
                <w:i w:val="0"/>
                <w:sz w:val="20"/>
              </w:rPr>
              <w:t>Exceptions have purpose and expiry</w:t>
            </w:r>
          </w:p>
        </w:tc>
      </w:tr>
      <w:tr>
        <w:trPr>
          <w:cantSplit/>
        </w:trPr>
        <w:tc>
          <w:tcPr>
            <w:tcW w:type="dxa" w:w="2698"/>
            <w:vAlign w:val="center"/>
            <w:shd w:fill="F4F6F8"/>
          </w:tcPr>
          <w:p>
            <w:pPr>
              <w:spacing w:after="20" w:before="20" w:line="247" w:lineRule="auto"/>
            </w:pPr>
            <w:r>
              <w:rPr>
                <w:b w:val="0"/>
                <w:i w:val="0"/>
                <w:sz w:val="20"/>
              </w:rPr>
              <w:t>FD06 Public disclosure</w:t>
            </w:r>
          </w:p>
        </w:tc>
        <w:tc>
          <w:tcPr>
            <w:tcW w:type="dxa" w:w="4397"/>
            <w:vAlign w:val="center"/>
            <w:shd w:fill="F4F6F8"/>
          </w:tcPr>
          <w:p>
            <w:pPr>
              <w:spacing w:after="20" w:before="20" w:line="247" w:lineRule="auto"/>
            </w:pPr>
            <w:r>
              <w:rPr>
                <w:b w:val="0"/>
                <w:i w:val="0"/>
                <w:sz w:val="20"/>
              </w:rPr>
              <w:t>Off by default; public aggregate minimum cell size five; approved fixed slices only</w:t>
            </w:r>
          </w:p>
        </w:tc>
        <w:tc>
          <w:tcPr>
            <w:tcW w:type="dxa" w:w="2898"/>
            <w:vAlign w:val="center"/>
            <w:shd w:fill="F4F6F8"/>
          </w:tcPr>
          <w:p>
            <w:pPr>
              <w:spacing w:after="20" w:before="20" w:line="247" w:lineRule="auto"/>
            </w:pPr>
            <w:r>
              <w:rPr>
                <w:b w:val="0"/>
                <w:i w:val="0"/>
                <w:sz w:val="20"/>
              </w:rPr>
              <w:t>A lower threshold requires approved disclosure policy; threshold alone never proves anonymity</w:t>
            </w:r>
          </w:p>
        </w:tc>
      </w:tr>
      <w:tr>
        <w:trPr>
          <w:cantSplit/>
        </w:trPr>
        <w:tc>
          <w:tcPr>
            <w:tcW w:type="dxa" w:w="2698"/>
            <w:vAlign w:val="center"/>
            <w:shd w:fill="FFFFFF"/>
          </w:tcPr>
          <w:p>
            <w:pPr>
              <w:spacing w:after="20" w:before="20" w:line="247" w:lineRule="auto"/>
            </w:pPr>
            <w:r>
              <w:rPr>
                <w:b w:val="0"/>
                <w:i w:val="0"/>
                <w:sz w:val="20"/>
              </w:rPr>
              <w:t>FD07 Evidence uploads</w:t>
            </w:r>
          </w:p>
        </w:tc>
        <w:tc>
          <w:tcPr>
            <w:tcW w:type="dxa" w:w="4397"/>
            <w:vAlign w:val="center"/>
            <w:shd w:fill="FFFFFF"/>
          </w:tcPr>
          <w:p>
            <w:pPr>
              <w:spacing w:after="20" w:before="20" w:line="247" w:lineRule="auto"/>
            </w:pPr>
            <w:r>
              <w:rPr>
                <w:b w:val="0"/>
                <w:i w:val="0"/>
                <w:sz w:val="20"/>
              </w:rPr>
              <w:t>Source import up to 100 MB; media up to 25 MB; decimal size units; executable and macro enabled formats excluded in R1</w:t>
            </w:r>
          </w:p>
        </w:tc>
        <w:tc>
          <w:tcPr>
            <w:tcW w:type="dxa" w:w="2898"/>
            <w:vAlign w:val="center"/>
            <w:shd w:fill="FFFFFF"/>
          </w:tcPr>
          <w:p>
            <w:pPr>
              <w:spacing w:after="20" w:before="20" w:line="247" w:lineRule="auto"/>
            </w:pPr>
            <w:r>
              <w:rPr>
                <w:b w:val="0"/>
                <w:i w:val="0"/>
                <w:sz w:val="20"/>
              </w:rPr>
              <w:t>Additional formats require qualification; do not reduce BRD limits</w:t>
            </w:r>
          </w:p>
        </w:tc>
      </w:tr>
      <w:tr>
        <w:trPr>
          <w:cantSplit/>
        </w:trPr>
        <w:tc>
          <w:tcPr>
            <w:tcW w:type="dxa" w:w="2698"/>
            <w:vAlign w:val="center"/>
            <w:shd w:fill="F4F6F8"/>
          </w:tcPr>
          <w:p>
            <w:pPr>
              <w:spacing w:after="20" w:before="20" w:line="247" w:lineRule="auto"/>
            </w:pPr>
            <w:r>
              <w:rPr>
                <w:b w:val="0"/>
                <w:i w:val="0"/>
                <w:sz w:val="20"/>
              </w:rPr>
              <w:t>FD08 Job admission</w:t>
            </w:r>
          </w:p>
        </w:tc>
        <w:tc>
          <w:tcPr>
            <w:tcW w:type="dxa" w:w="4397"/>
            <w:vAlign w:val="center"/>
            <w:shd w:fill="F4F6F8"/>
          </w:tcPr>
          <w:p>
            <w:pPr>
              <w:spacing w:after="20" w:before="20" w:line="247" w:lineRule="auto"/>
            </w:pPr>
            <w:r>
              <w:rPr>
                <w:b w:val="0"/>
                <w:i w:val="0"/>
                <w:sz w:val="20"/>
              </w:rPr>
              <w:t>Two active bulk data jobs and two active AI jobs per tenant; 20 queued per class; ordinary record work has a separate admission path</w:t>
            </w:r>
          </w:p>
        </w:tc>
        <w:tc>
          <w:tcPr>
            <w:tcW w:type="dxa" w:w="2898"/>
            <w:vAlign w:val="center"/>
            <w:shd w:fill="F4F6F8"/>
          </w:tcPr>
          <w:p>
            <w:pPr>
              <w:spacing w:after="20" w:before="20" w:line="247" w:lineRule="auto"/>
            </w:pPr>
            <w:r>
              <w:rPr>
                <w:b w:val="0"/>
                <w:i w:val="0"/>
                <w:sz w:val="20"/>
              </w:rPr>
              <w:t>Operationally configurable with published limits and capacity qualification</w:t>
            </w:r>
          </w:p>
        </w:tc>
      </w:tr>
      <w:tr>
        <w:trPr>
          <w:cantSplit/>
        </w:trPr>
        <w:tc>
          <w:tcPr>
            <w:tcW w:type="dxa" w:w="2698"/>
            <w:vAlign w:val="center"/>
            <w:shd w:fill="FFFFFF"/>
          </w:tcPr>
          <w:p>
            <w:pPr>
              <w:spacing w:after="20" w:before="20" w:line="247" w:lineRule="auto"/>
            </w:pPr>
            <w:r>
              <w:rPr>
                <w:b w:val="0"/>
                <w:i w:val="0"/>
                <w:sz w:val="20"/>
              </w:rPr>
              <w:t>FD09 Time handling</w:t>
            </w:r>
          </w:p>
        </w:tc>
        <w:tc>
          <w:tcPr>
            <w:tcW w:type="dxa" w:w="4397"/>
            <w:vAlign w:val="center"/>
            <w:shd w:fill="FFFFFF"/>
          </w:tcPr>
          <w:p>
            <w:pPr>
              <w:spacing w:after="20" w:before="20" w:line="247" w:lineRule="auto"/>
            </w:pPr>
            <w:r>
              <w:rPr>
                <w:b w:val="0"/>
                <w:i w:val="0"/>
                <w:sz w:val="20"/>
              </w:rPr>
              <w:t>Store an absolute instant plus relevant source zone; events use the programme reporting zone; intervals include start and exclude end</w:t>
            </w:r>
          </w:p>
        </w:tc>
        <w:tc>
          <w:tcPr>
            <w:tcW w:type="dxa" w:w="2898"/>
            <w:vAlign w:val="center"/>
            <w:shd w:fill="FFFFFF"/>
          </w:tcPr>
          <w:p>
            <w:pPr>
              <w:spacing w:after="20" w:before="20" w:line="247" w:lineRule="auto"/>
            </w:pPr>
            <w:r>
              <w:rPr>
                <w:b w:val="0"/>
                <w:i w:val="0"/>
                <w:sz w:val="20"/>
              </w:rPr>
              <w:t>A changed reporting calendar creates a new version</w:t>
            </w:r>
          </w:p>
        </w:tc>
      </w:tr>
      <w:tr>
        <w:trPr>
          <w:cantSplit/>
        </w:trPr>
        <w:tc>
          <w:tcPr>
            <w:tcW w:type="dxa" w:w="2698"/>
            <w:vAlign w:val="center"/>
            <w:shd w:fill="F4F6F8"/>
          </w:tcPr>
          <w:p>
            <w:pPr>
              <w:spacing w:after="20" w:before="20" w:line="247" w:lineRule="auto"/>
            </w:pPr>
            <w:r>
              <w:rPr>
                <w:b w:val="0"/>
                <w:i w:val="0"/>
                <w:sz w:val="20"/>
              </w:rPr>
              <w:t>FD10 Numeric handling</w:t>
            </w:r>
          </w:p>
        </w:tc>
        <w:tc>
          <w:tcPr>
            <w:tcW w:type="dxa" w:w="4397"/>
            <w:vAlign w:val="center"/>
            <w:shd w:fill="F4F6F8"/>
          </w:tcPr>
          <w:p>
            <w:pPr>
              <w:spacing w:after="20" w:before="20" w:line="247" w:lineRule="auto"/>
            </w:pPr>
            <w:r>
              <w:rPr>
                <w:b w:val="0"/>
                <w:i w:val="0"/>
                <w:sz w:val="20"/>
              </w:rPr>
              <w:t>Decimal arithmetic; round half up only at the declared output boundary; default display two decimals</w:t>
            </w:r>
          </w:p>
        </w:tc>
        <w:tc>
          <w:tcPr>
            <w:tcW w:type="dxa" w:w="2898"/>
            <w:vAlign w:val="center"/>
            <w:shd w:fill="F4F6F8"/>
          </w:tcPr>
          <w:p>
            <w:pPr>
              <w:spacing w:after="20" w:before="20" w:line="247" w:lineRule="auto"/>
            </w:pPr>
            <w:r>
              <w:rPr>
                <w:b w:val="0"/>
                <w:i w:val="0"/>
                <w:sz w:val="20"/>
              </w:rPr>
              <w:t>Indicator may set zero to six display decimals; calculation precision is separately qualified</w:t>
            </w:r>
          </w:p>
        </w:tc>
      </w:tr>
      <w:tr>
        <w:trPr>
          <w:cantSplit/>
        </w:trPr>
        <w:tc>
          <w:tcPr>
            <w:tcW w:type="dxa" w:w="2698"/>
            <w:vAlign w:val="center"/>
            <w:shd w:fill="FFFFFF"/>
          </w:tcPr>
          <w:p>
            <w:pPr>
              <w:spacing w:after="20" w:before="20" w:line="247" w:lineRule="auto"/>
            </w:pPr>
            <w:r>
              <w:rPr>
                <w:b w:val="0"/>
                <w:i w:val="0"/>
                <w:sz w:val="20"/>
              </w:rPr>
              <w:t>FD11 Workflow defaults</w:t>
            </w:r>
          </w:p>
        </w:tc>
        <w:tc>
          <w:tcPr>
            <w:tcW w:type="dxa" w:w="4397"/>
            <w:vAlign w:val="center"/>
            <w:shd w:fill="FFFFFF"/>
          </w:tcPr>
          <w:p>
            <w:pPr>
              <w:spacing w:after="20" w:before="20" w:line="247" w:lineRule="auto"/>
            </w:pPr>
            <w:r>
              <w:rPr>
                <w:b w:val="0"/>
                <w:i w:val="0"/>
                <w:sz w:val="20"/>
              </w:rPr>
              <w:t>One independent approver for definitions, data and reports; no automatic approval on timeout; public disclosure requires an additional privacy approval</w:t>
            </w:r>
          </w:p>
        </w:tc>
        <w:tc>
          <w:tcPr>
            <w:tcW w:type="dxa" w:w="2898"/>
            <w:vAlign w:val="center"/>
            <w:shd w:fill="FFFFFF"/>
          </w:tcPr>
          <w:p>
            <w:pPr>
              <w:spacing w:after="20" w:before="20" w:line="247" w:lineRule="auto"/>
            </w:pPr>
            <w:r>
              <w:rPr>
                <w:b w:val="0"/>
                <w:i w:val="0"/>
                <w:sz w:val="20"/>
              </w:rPr>
              <w:t>Parallel quorum requires every mandatory review plus specified optional quorum</w:t>
            </w:r>
          </w:p>
        </w:tc>
      </w:tr>
      <w:tr>
        <w:trPr>
          <w:cantSplit/>
        </w:trPr>
        <w:tc>
          <w:tcPr>
            <w:tcW w:type="dxa" w:w="2698"/>
            <w:vAlign w:val="center"/>
            <w:shd w:fill="F4F6F8"/>
          </w:tcPr>
          <w:p>
            <w:pPr>
              <w:spacing w:after="20" w:before="20" w:line="247" w:lineRule="auto"/>
            </w:pPr>
            <w:r>
              <w:rPr>
                <w:b w:val="0"/>
                <w:i w:val="0"/>
                <w:sz w:val="20"/>
              </w:rPr>
              <w:t>FD12 Notification schedule</w:t>
            </w:r>
          </w:p>
        </w:tc>
        <w:tc>
          <w:tcPr>
            <w:tcW w:type="dxa" w:w="4397"/>
            <w:vAlign w:val="center"/>
            <w:shd w:fill="F4F6F8"/>
          </w:tcPr>
          <w:p>
            <w:pPr>
              <w:spacing w:after="20" w:before="20" w:line="247" w:lineRule="auto"/>
            </w:pPr>
            <w:r>
              <w:rPr>
                <w:b w:val="0"/>
                <w:i w:val="0"/>
                <w:sz w:val="20"/>
              </w:rPr>
              <w:t>In app task immediately; optional daily digest at 09:00 recipient zone; reminders three days before due and at due time; escalation after two business days overdue</w:t>
            </w:r>
          </w:p>
        </w:tc>
        <w:tc>
          <w:tcPr>
            <w:tcW w:type="dxa" w:w="2898"/>
            <w:vAlign w:val="center"/>
            <w:shd w:fill="F4F6F8"/>
          </w:tcPr>
          <w:p>
            <w:pPr>
              <w:spacing w:after="20" w:before="20" w:line="247" w:lineRule="auto"/>
            </w:pPr>
            <w:r>
              <w:rPr>
                <w:b w:val="0"/>
                <w:i w:val="0"/>
                <w:sz w:val="20"/>
              </w:rPr>
              <w:t>Programme calendar and permitted preferences apply</w:t>
            </w:r>
          </w:p>
        </w:tc>
      </w:tr>
      <w:tr>
        <w:trPr>
          <w:cantSplit/>
        </w:trPr>
        <w:tc>
          <w:tcPr>
            <w:tcW w:type="dxa" w:w="2698"/>
            <w:vAlign w:val="center"/>
            <w:shd w:fill="FFFFFF"/>
          </w:tcPr>
          <w:p>
            <w:pPr>
              <w:spacing w:after="20" w:before="20" w:line="247" w:lineRule="auto"/>
            </w:pPr>
            <w:r>
              <w:rPr>
                <w:b w:val="0"/>
                <w:i w:val="0"/>
                <w:sz w:val="20"/>
              </w:rPr>
              <w:t>FD13 Temporary access</w:t>
            </w:r>
          </w:p>
        </w:tc>
        <w:tc>
          <w:tcPr>
            <w:tcW w:type="dxa" w:w="4397"/>
            <w:vAlign w:val="center"/>
            <w:shd w:fill="FFFFFF"/>
          </w:tcPr>
          <w:p>
            <w:pPr>
              <w:spacing w:after="20" w:before="20" w:line="247" w:lineRule="auto"/>
            </w:pPr>
            <w:r>
              <w:rPr>
                <w:b w:val="0"/>
                <w:i w:val="0"/>
                <w:sz w:val="20"/>
              </w:rPr>
              <w:t>Default external membership 90 days; links seven days; support session 60 minutes maximum per approval</w:t>
            </w:r>
          </w:p>
        </w:tc>
        <w:tc>
          <w:tcPr>
            <w:tcW w:type="dxa" w:w="2898"/>
            <w:vAlign w:val="center"/>
            <w:shd w:fill="FFFFFF"/>
          </w:tcPr>
          <w:p>
            <w:pPr>
              <w:spacing w:after="20" w:before="20" w:line="247" w:lineRule="auto"/>
            </w:pPr>
            <w:r>
              <w:rPr>
                <w:b w:val="0"/>
                <w:i w:val="0"/>
                <w:sz w:val="20"/>
              </w:rPr>
              <w:t>All may expire earlier; sensitive links authenticate</w:t>
            </w:r>
          </w:p>
        </w:tc>
      </w:tr>
      <w:tr>
        <w:trPr>
          <w:cantSplit/>
        </w:trPr>
        <w:tc>
          <w:tcPr>
            <w:tcW w:type="dxa" w:w="2698"/>
            <w:vAlign w:val="center"/>
            <w:shd w:fill="F4F6F8"/>
          </w:tcPr>
          <w:p>
            <w:pPr>
              <w:spacing w:after="20" w:before="20" w:line="247" w:lineRule="auto"/>
            </w:pPr>
            <w:r>
              <w:rPr>
                <w:b w:val="0"/>
                <w:i w:val="0"/>
                <w:sz w:val="20"/>
              </w:rPr>
              <w:t>FD14 Period close</w:t>
            </w:r>
          </w:p>
        </w:tc>
        <w:tc>
          <w:tcPr>
            <w:tcW w:type="dxa" w:w="4397"/>
            <w:vAlign w:val="center"/>
            <w:shd w:fill="F4F6F8"/>
          </w:tcPr>
          <w:p>
            <w:pPr>
              <w:spacing w:after="20" w:before="20" w:line="247" w:lineRule="auto"/>
            </w:pPr>
            <w:r>
              <w:rPr>
                <w:b w:val="0"/>
                <w:i w:val="0"/>
                <w:sz w:val="20"/>
              </w:rPr>
              <w:t>All mandatory obligations approved and all blocking issues resolved; optional obligations may remain missing with disclosure</w:t>
            </w:r>
          </w:p>
        </w:tc>
        <w:tc>
          <w:tcPr>
            <w:tcW w:type="dxa" w:w="2898"/>
            <w:vAlign w:val="center"/>
            <w:shd w:fill="F4F6F8"/>
          </w:tcPr>
          <w:p>
            <w:pPr>
              <w:spacing w:after="20" w:before="20" w:line="247" w:lineRule="auto"/>
            </w:pPr>
            <w:r>
              <w:rPr>
                <w:b w:val="0"/>
                <w:i w:val="0"/>
                <w:sz w:val="20"/>
              </w:rPr>
              <w:t>Exceptions cannot waive security, invalid arithmetic or independent approval</w:t>
            </w:r>
          </w:p>
        </w:tc>
      </w:tr>
      <w:tr>
        <w:trPr>
          <w:cantSplit/>
        </w:trPr>
        <w:tc>
          <w:tcPr>
            <w:tcW w:type="dxa" w:w="2698"/>
            <w:vAlign w:val="center"/>
            <w:shd w:fill="FFFFFF"/>
          </w:tcPr>
          <w:p>
            <w:pPr>
              <w:spacing w:after="20" w:before="20" w:line="247" w:lineRule="auto"/>
            </w:pPr>
            <w:r>
              <w:rPr>
                <w:b w:val="0"/>
                <w:i w:val="0"/>
                <w:sz w:val="20"/>
              </w:rPr>
              <w:t>FD15 Record retention</w:t>
            </w:r>
          </w:p>
        </w:tc>
        <w:tc>
          <w:tcPr>
            <w:tcW w:type="dxa" w:w="4397"/>
            <w:vAlign w:val="center"/>
            <w:shd w:fill="FFFFFF"/>
          </w:tcPr>
          <w:p>
            <w:pPr>
              <w:spacing w:after="20" w:before="20" w:line="247" w:lineRule="auto"/>
            </w:pPr>
            <w:r>
              <w:rPr>
                <w:b w:val="0"/>
                <w:i w:val="0"/>
                <w:sz w:val="20"/>
              </w:rPr>
              <w:t>Tenant must choose record and evidence retention before collection; no universal years based default is invented</w:t>
            </w:r>
          </w:p>
        </w:tc>
        <w:tc>
          <w:tcPr>
            <w:tcW w:type="dxa" w:w="2898"/>
            <w:vAlign w:val="center"/>
            <w:shd w:fill="FFFFFF"/>
          </w:tcPr>
          <w:p>
            <w:pPr>
              <w:spacing w:after="20" w:before="20" w:line="247" w:lineRule="auto"/>
            </w:pPr>
            <w:r>
              <w:rPr>
                <w:b w:val="0"/>
                <w:i w:val="0"/>
                <w:sz w:val="20"/>
              </w:rPr>
              <w:t>Existing BRD log, AI content, audit and backup bounds remain unchanged</w:t>
            </w:r>
          </w:p>
        </w:tc>
      </w:tr>
      <w:tr>
        <w:trPr>
          <w:cantSplit/>
        </w:trPr>
        <w:tc>
          <w:tcPr>
            <w:tcW w:type="dxa" w:w="2698"/>
            <w:vAlign w:val="center"/>
            <w:shd w:fill="F4F6F8"/>
          </w:tcPr>
          <w:p>
            <w:pPr>
              <w:spacing w:after="20" w:before="20" w:line="247" w:lineRule="auto"/>
            </w:pPr>
            <w:r>
              <w:rPr>
                <w:b w:val="0"/>
                <w:i w:val="0"/>
                <w:sz w:val="20"/>
              </w:rPr>
              <w:t>FD16 Connector launch scope</w:t>
            </w:r>
          </w:p>
        </w:tc>
        <w:tc>
          <w:tcPr>
            <w:tcW w:type="dxa" w:w="4397"/>
            <w:vAlign w:val="center"/>
            <w:shd w:fill="F4F6F8"/>
          </w:tcPr>
          <w:p>
            <w:pPr>
              <w:spacing w:after="20" w:before="20" w:line="247" w:lineRule="auto"/>
            </w:pPr>
            <w:r>
              <w:rPr>
                <w:b w:val="0"/>
                <w:i w:val="0"/>
                <w:sz w:val="20"/>
              </w:rPr>
              <w:t>R1 files, governed API, KoboToolbox and identity federation; SCIM and webhooks R2</w:t>
            </w:r>
          </w:p>
        </w:tc>
        <w:tc>
          <w:tcPr>
            <w:tcW w:type="dxa" w:w="2898"/>
            <w:vAlign w:val="center"/>
            <w:shd w:fill="F4F6F8"/>
          </w:tcPr>
          <w:p>
            <w:pPr>
              <w:spacing w:after="20" w:before="20" w:line="247" w:lineRule="auto"/>
            </w:pPr>
            <w:r>
              <w:rPr>
                <w:b w:val="0"/>
                <w:i w:val="0"/>
                <w:sz w:val="20"/>
              </w:rPr>
              <w:t>Individual connector qualification remains mandatory</w:t>
            </w:r>
          </w:p>
        </w:tc>
      </w:tr>
      <w:tr>
        <w:trPr>
          <w:cantSplit/>
        </w:trPr>
        <w:tc>
          <w:tcPr>
            <w:tcW w:type="dxa" w:w="2698"/>
            <w:vAlign w:val="center"/>
            <w:shd w:fill="FFFFFF"/>
          </w:tcPr>
          <w:p>
            <w:pPr>
              <w:spacing w:after="20" w:before="20" w:line="247" w:lineRule="auto"/>
            </w:pPr>
            <w:r>
              <w:rPr>
                <w:b w:val="0"/>
                <w:i w:val="0"/>
                <w:sz w:val="20"/>
              </w:rPr>
              <w:t>FD17 AI authority</w:t>
            </w:r>
          </w:p>
        </w:tc>
        <w:tc>
          <w:tcPr>
            <w:tcW w:type="dxa" w:w="4397"/>
            <w:vAlign w:val="center"/>
            <w:shd w:fill="FFFFFF"/>
          </w:tcPr>
          <w:p>
            <w:pPr>
              <w:spacing w:after="20" w:before="20" w:line="247" w:lineRule="auto"/>
            </w:pPr>
            <w:r>
              <w:rPr>
                <w:b w:val="0"/>
                <w:i w:val="0"/>
                <w:sz w:val="20"/>
              </w:rPr>
              <w:t>AI creates drafts or proposals only; explicit confirmation for writes; never self approve, publish, grant access or delete</w:t>
            </w:r>
          </w:p>
        </w:tc>
        <w:tc>
          <w:tcPr>
            <w:tcW w:type="dxa" w:w="2898"/>
            <w:vAlign w:val="center"/>
            <w:shd w:fill="FFFFFF"/>
          </w:tcPr>
          <w:p>
            <w:pPr>
              <w:spacing w:after="20" w:before="20" w:line="247" w:lineRule="auto"/>
            </w:pPr>
            <w:r>
              <w:rPr>
                <w:b w:val="0"/>
                <w:i w:val="0"/>
                <w:sz w:val="20"/>
              </w:rPr>
              <w:t>New tools require functional and assurance review</w:t>
            </w:r>
          </w:p>
        </w:tc>
      </w:tr>
      <w:tr>
        <w:trPr>
          <w:cantSplit/>
        </w:trPr>
        <w:tc>
          <w:tcPr>
            <w:tcW w:type="dxa" w:w="2698"/>
            <w:vAlign w:val="center"/>
            <w:shd w:fill="F4F6F8"/>
          </w:tcPr>
          <w:p>
            <w:pPr>
              <w:spacing w:after="20" w:before="20" w:line="247" w:lineRule="auto"/>
            </w:pPr>
            <w:r>
              <w:rPr>
                <w:b w:val="0"/>
                <w:i w:val="0"/>
                <w:sz w:val="20"/>
              </w:rPr>
              <w:t>FD18 Offline limits</w:t>
            </w:r>
          </w:p>
        </w:tc>
        <w:tc>
          <w:tcPr>
            <w:tcW w:type="dxa" w:w="4397"/>
            <w:vAlign w:val="center"/>
            <w:shd w:fill="F4F6F8"/>
          </w:tcPr>
          <w:p>
            <w:pPr>
              <w:spacing w:after="20" w:before="20" w:line="247" w:lineRule="auto"/>
            </w:pPr>
            <w:r>
              <w:rPr>
                <w:b w:val="0"/>
                <w:i w:val="0"/>
                <w:sz w:val="20"/>
              </w:rPr>
              <w:t>Ordinary grant at most 24 hours; restricted grant at most eight hours on qualified managed devices</w:t>
            </w:r>
          </w:p>
        </w:tc>
        <w:tc>
          <w:tcPr>
            <w:tcW w:type="dxa" w:w="2898"/>
            <w:vAlign w:val="center"/>
            <w:shd w:fill="F4F6F8"/>
          </w:tcPr>
          <w:p>
            <w:pPr>
              <w:spacing w:after="20" w:before="20" w:line="247" w:lineRule="auto"/>
            </w:pPr>
            <w:r>
              <w:rPr>
                <w:b w:val="0"/>
                <w:i w:val="0"/>
                <w:sz w:val="20"/>
              </w:rPr>
              <w:t>Longer low sensitivity windows need a bounded exception; unsupported secure expiry means no sensitive offline use</w:t>
            </w:r>
          </w:p>
        </w:tc>
      </w:tr>
      <w:tr>
        <w:trPr>
          <w:cantSplit/>
        </w:trPr>
        <w:tc>
          <w:tcPr>
            <w:tcW w:type="dxa" w:w="2698"/>
            <w:vAlign w:val="center"/>
            <w:shd w:fill="FFFFFF"/>
          </w:tcPr>
          <w:p>
            <w:pPr>
              <w:spacing w:after="20" w:before="20" w:line="247" w:lineRule="auto"/>
            </w:pPr>
            <w:r>
              <w:rPr>
                <w:b w:val="0"/>
                <w:i w:val="0"/>
                <w:sz w:val="20"/>
              </w:rPr>
              <w:t>FD19 Exit retrieval</w:t>
            </w:r>
          </w:p>
        </w:tc>
        <w:tc>
          <w:tcPr>
            <w:tcW w:type="dxa" w:w="4397"/>
            <w:vAlign w:val="center"/>
            <w:shd w:fill="FFFFFF"/>
          </w:tcPr>
          <w:p>
            <w:pPr>
              <w:spacing w:after="20" w:before="20" w:line="247" w:lineRule="auto"/>
            </w:pPr>
            <w:r>
              <w:rPr>
                <w:b w:val="0"/>
                <w:i w:val="0"/>
                <w:sz w:val="20"/>
              </w:rPr>
              <w:t>Proposed 30 calendar day retrieval window after approved closure request, subject to contract and holds</w:t>
            </w:r>
          </w:p>
        </w:tc>
        <w:tc>
          <w:tcPr>
            <w:tcW w:type="dxa" w:w="2898"/>
            <w:vAlign w:val="center"/>
            <w:shd w:fill="FFFFFF"/>
          </w:tcPr>
          <w:p>
            <w:pPr>
              <w:spacing w:after="20" w:before="20" w:line="247" w:lineRule="auto"/>
            </w:pPr>
            <w:r>
              <w:rPr>
                <w:b w:val="0"/>
                <w:i w:val="0"/>
                <w:sz w:val="20"/>
              </w:rPr>
              <w:t>Confirm before closing; no implicit immediate deletion</w:t>
            </w:r>
          </w:p>
        </w:tc>
      </w:tr>
      <w:tr>
        <w:trPr>
          <w:cantSplit/>
        </w:trPr>
        <w:tc>
          <w:tcPr>
            <w:tcW w:type="dxa" w:w="2698"/>
            <w:vAlign w:val="center"/>
            <w:shd w:fill="F4F6F8"/>
          </w:tcPr>
          <w:p>
            <w:pPr>
              <w:spacing w:after="20" w:before="20" w:line="247" w:lineRule="auto"/>
            </w:pPr>
            <w:r>
              <w:rPr>
                <w:b w:val="0"/>
                <w:i w:val="0"/>
                <w:sz w:val="20"/>
              </w:rPr>
              <w:t>FD20 Read and export pages</w:t>
            </w:r>
          </w:p>
        </w:tc>
        <w:tc>
          <w:tcPr>
            <w:tcW w:type="dxa" w:w="4397"/>
            <w:vAlign w:val="center"/>
            <w:shd w:fill="F4F6F8"/>
          </w:tcPr>
          <w:p>
            <w:pPr>
              <w:spacing w:after="20" w:before="20" w:line="247" w:lineRule="auto"/>
            </w:pPr>
            <w:r>
              <w:rPr>
                <w:b w:val="0"/>
                <w:i w:val="0"/>
                <w:sz w:val="20"/>
              </w:rPr>
              <w:t>Default page 50, maximum 100; interactive preview at most 1000 rows; larger result sets become asynchronous exports</w:t>
            </w:r>
          </w:p>
        </w:tc>
        <w:tc>
          <w:tcPr>
            <w:tcW w:type="dxa" w:w="2898"/>
            <w:vAlign w:val="center"/>
            <w:shd w:fill="F4F6F8"/>
          </w:tcPr>
          <w:p>
            <w:pPr>
              <w:spacing w:after="20" w:before="20" w:line="247" w:lineRule="auto"/>
            </w:pPr>
            <w:r>
              <w:rPr>
                <w:b w:val="0"/>
                <w:i w:val="0"/>
                <w:sz w:val="20"/>
              </w:rPr>
              <w:t>Limits visible before action; qualified bulk limits still apply</w:t>
            </w:r>
          </w:p>
        </w:tc>
      </w:tr>
    </w:tbl>
    <w:p>
      <w:pPr>
        <w:keepNext w:val="0"/>
        <w:spacing w:after="60" w:line="240" w:lineRule="auto" w:before="0"/>
      </w:pPr>
      <w:r>
        <w:rPr>
          <w:b w:val="0"/>
          <w:i w:val="0"/>
          <w:sz w:val="2"/>
        </w:rPr>
      </w:r>
    </w:p>
    <w:p>
      <w:pPr>
        <w:pStyle w:val="Heading2"/>
      </w:pPr>
      <w:r>
        <w:rPr>
          <w:b w:val="0"/>
          <w:i w:val="0"/>
        </w:rPr>
        <w:t>1 3 Functional scope boundaries</w:t>
      </w:r>
    </w:p>
    <w:p>
      <w:r>
        <w:rPr>
          <w:b w:val="0"/>
          <w:i w:val="0"/>
        </w:rPr>
        <w:t>The FSD specifies business entities and externally observable contracts. It does not choose programming languages, databases, deployment topology, message brokers, model vendors, encryption implementations or client technology. It does define what these choices must preserve: version identity, policy authority, deterministic results, durable acknowledgements and recoverable processing. General ledger, payroll, grant disbursement, clinical advice and autonomous eligibility decisions remain excluded as in the BRD.</w:t>
      </w:r>
    </w:p>
    <w:p>
      <w:r>
        <w:rPr>
          <w:b w:val="0"/>
          <w:i w:val="0"/>
        </w:rPr>
        <w:t>All R1, R2 and R3 requirements have functional definitions. A release assignment is inherited from its parent; shared capabilities become mandatory whenever a dependent function is exposed. Existing TolaData exports shall be assessed on actual authorised data. No source API, proprietary schema or historical audit completeness is assumed.</w:t>
      </w:r>
    </w:p>
    <w:p>
      <w:bookmarkStart w:id="2" w:name="sec_2"/>
      <w:pPr>
        <w:pStyle w:val="Heading1"/>
      </w:pPr>
      <w:r>
        <w:rPr>
          <w:b w:val="0"/>
          <w:i w:val="0"/>
        </w:rPr>
        <w:t>2 Shared interaction and transaction contracts</w:t>
      </w:r>
      <w:bookmarkEnd w:id="2"/>
    </w:p>
    <w:p>
      <w:pPr>
        <w:pStyle w:val="Heading2"/>
      </w:pPr>
      <w:r>
        <w:rPr>
          <w:b w:val="0"/>
          <w:i w:val="0"/>
        </w:rPr>
        <w:t>2 1 SC01 Context and authorisation</w:t>
      </w:r>
    </w:p>
    <w:p>
      <w:r>
        <w:rPr>
          <w:b w:val="0"/>
          <w:i w:val="0"/>
        </w:rPr>
        <w:t>Every request has an authenticated actor or a specifically qualified anonymous form context, an active tenant, intended action, object scope and policy version. Effective access is the intersection of active membership, capability, scope, sensitivity and purpose constraints. Explicit denial, expiry, suspension and an unmet assurance requirement override a positive role grant. Object ownership is an assignment, not a universal access bypass.</w:t>
      </w:r>
    </w:p>
    <w:p>
      <w:r>
        <w:rPr>
          <w:b w:val="0"/>
          <w:i w:val="0"/>
        </w:rPr>
        <w:t>Switching tenant creates a new visible context. Existing tabs retain their own tenant binding; requests cannot adopt a different tab's tenant silently. A deep link first resolves an authorised context and then opens the resource. If the user cannot establish that context, return the same resource unavailable response used for nonexistent protected objects. Search counts, facets, autocomplete, recent items and mention suggestions use the same eligible set.</w:t>
      </w:r>
    </w:p>
    <w:p>
      <w:pPr>
        <w:pStyle w:val="Heading2"/>
      </w:pPr>
      <w:r>
        <w:rPr>
          <w:b w:val="0"/>
          <w:i w:val="0"/>
        </w:rPr>
        <w:t>2 2 SC02 Versioned writes and business transactions</w:t>
      </w:r>
    </w:p>
    <w:p>
      <w:r>
        <w:rPr>
          <w:b w:val="0"/>
          <w:i w:val="0"/>
        </w:rPr>
        <w:t>Every mutable object exposes an opaque revision token. A write submits the revision it was based on. If the object changed, no overwrite occurs: retain the submitted draft, return CONFLICT_VERSION and show permitted differences plus reload or create a new revision. There is no silent last write wins for governed data. An independent approval binds object ID, immutable candidate version, workflow version and reviewed evidence references.</w:t>
      </w:r>
    </w:p>
    <w:p>
      <w:r>
        <w:rPr>
          <w:b w:val="0"/>
          <w:i w:val="0"/>
        </w:rPr>
        <w:t>One ordinary save is atomic across its declared fields and required child records. A successful receipt includes object ID, new revision, business status, saved timestamp and correlation reference. A network timeout with unknown outcome shows confirmation pending; the client checks the operation ID before resending. A bulk job may have partial item outcomes only if its preview stated that mode. Each item remains atomic; the result manifest explains committed, rejected, skipped, quarantined and cancelled counts.</w:t>
      </w:r>
    </w:p>
    <w:p>
      <w:pPr>
        <w:pStyle w:val="Heading2"/>
      </w:pPr>
      <w:r>
        <w:rPr>
          <w:b w:val="0"/>
          <w:i w:val="0"/>
        </w:rPr>
        <w:t>2 3 SC03 Retry and cancellation</w:t>
      </w:r>
    </w:p>
    <w:p>
      <w:r>
        <w:rPr>
          <w:b w:val="0"/>
          <w:i w:val="0"/>
        </w:rPr>
        <w:t>Commands that can create duplicate effects carry a client operation ID scoped to tenant, actor and operation kind. Same ID plus identical payload returns the earlier outcome; same ID plus a different payload returns CONFLICT_OPERATION. Interactive operation receipts remain queryable for at least seven days. Durable submission IDs and source business keys remain associated with their records for their retention lifetime, so late offline retries and historic source replays remain safe after an interactive receipt expires.</w:t>
      </w:r>
    </w:p>
    <w:p>
      <w:r>
        <w:rPr>
          <w:b w:val="0"/>
          <w:i w:val="0"/>
        </w:rPr>
        <w:t>Cancellation prevents new side effects after the acknowledged cancellation boundary. A job displays what already committed and what did not. Cancelling an import does not erase accepted records; a separately approved reversal may create correction revisions. Cancelling a report job removes unshared temporary outputs. A publication already acknowledged externally cannot be labelled cancelled: use withdrawal or correction and retain the external outcome.</w:t>
      </w:r>
    </w:p>
    <w:p>
      <w:pPr>
        <w:pStyle w:val="Heading2"/>
      </w:pPr>
      <w:r>
        <w:rPr>
          <w:b w:val="0"/>
          <w:i w:val="0"/>
        </w:rPr>
        <w:t>2 4 SC04 Validation and safe rendering</w:t>
      </w:r>
    </w:p>
    <w:p>
      <w:r>
        <w:rPr>
          <w:b w:val="0"/>
          <w:i w:val="0"/>
        </w:rPr>
        <w:t>Client validation assists the user; server validation is authoritative. Validate type, requiredness, limits, referential scope, revision, lifecycle, evidence, arithmetic and current policy before changing state. Inputs exceeding limits receive a field error rather than silent truncation. Stable codes are case sensitive unless a field explicitly declares otherwise. Human searchable labels may be normalised for matching while retaining their original value. Identifiers, national reference strings and source keys are always text unless their contract says otherwise.</w:t>
      </w:r>
    </w:p>
    <w:p>
      <w:r>
        <w:rPr>
          <w:b w:val="0"/>
          <w:i w:val="0"/>
        </w:rPr>
        <w:t>Error summaries link to invalid fields and preserve entered values. Restricted field names and values do not appear in errors for unauthorised users. Rich text is sanitised; external links are labelled; active code does not run in previews. CSV and spreadsheet exports preserve the underlying source text in a documented safe encoding that prevents formula execution; a companion dictionary explains any protective prefix used.</w:t>
      </w:r>
    </w:p>
    <w:p>
      <w:pPr>
        <w:pStyle w:val="Heading2"/>
      </w:pPr>
      <w:r>
        <w:rPr>
          <w:b w:val="0"/>
          <w:i w:val="0"/>
        </w:rPr>
        <w:t>2 5 SC05 Read models and derived content</w:t>
      </w:r>
    </w:p>
    <w:p>
      <w:r>
        <w:rPr>
          <w:b w:val="0"/>
          <w:i w:val="0"/>
        </w:rPr>
        <w:t>Live approved, provisional and frozen snapshot are distinct view modes. Every quantitative view exposes period, unit, definition version, source coverage, approval context and freshness. A provisional mode is visibly marked throughout the page and every export. It cannot be passed off as an official report snapshot. Cached content is reauthorised before presentation and within the online revocation bound; a sensitive action checks current authority at execution even inside that propagation window.</w:t>
      </w:r>
    </w:p>
    <w:p>
      <w:r>
        <w:rPr>
          <w:b w:val="0"/>
          <w:i w:val="0"/>
        </w:rPr>
        <w:t>Derived private artifacts carry the combined source restrictions. An independently approved disclosure artifact may have a separately specified audience without granting access to its sources. Opening a historic artifact reapplies current restriction and deletion decisions. If a component is no longer lawfully available, show withheld or withdrawn status; do not reconstruct it from a previous AI answer or an obsolete export cache.</w:t>
      </w:r>
    </w:p>
    <w:p>
      <w:pPr>
        <w:pStyle w:val="Heading2"/>
      </w:pPr>
      <w:r>
        <w:rPr>
          <w:b w:val="0"/>
          <w:i w:val="0"/>
        </w:rPr>
        <w:t>2 6 SC06 Empty stale partial and failure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State</w:t>
            </w:r>
          </w:p>
        </w:tc>
        <w:tc>
          <w:tcPr>
            <w:tcW w:type="dxa" w:w="4297"/>
            <w:vAlign w:val="center"/>
            <w:shd w:fill="233B53"/>
          </w:tcPr>
          <w:p>
            <w:pPr>
              <w:spacing w:after="20" w:before="20" w:line="247" w:lineRule="auto"/>
            </w:pPr>
            <w:r>
              <w:rPr>
                <w:b/>
                <w:i w:val="0"/>
                <w:color w:val="FFFFFF"/>
                <w:sz w:val="20"/>
              </w:rPr>
              <w:t>Required display</w:t>
            </w:r>
          </w:p>
        </w:tc>
        <w:tc>
          <w:tcPr>
            <w:tcW w:type="dxa" w:w="3498"/>
            <w:vAlign w:val="center"/>
            <w:shd w:fill="233B53"/>
          </w:tcPr>
          <w:p>
            <w:pPr>
              <w:spacing w:after="20" w:before="20" w:line="247" w:lineRule="auto"/>
            </w:pPr>
            <w:r>
              <w:rPr>
                <w:b/>
                <w:i w:val="0"/>
                <w:color w:val="FFFFFF"/>
                <w:sz w:val="20"/>
              </w:rPr>
              <w:t>Permitted recovery</w:t>
            </w:r>
          </w:p>
        </w:tc>
      </w:tr>
      <w:tr>
        <w:trPr>
          <w:cantSplit/>
        </w:trPr>
        <w:tc>
          <w:tcPr>
            <w:tcW w:type="dxa" w:w="2199"/>
            <w:vAlign w:val="center"/>
            <w:shd w:fill="FFFFFF"/>
          </w:tcPr>
          <w:p>
            <w:pPr>
              <w:spacing w:after="20" w:before="20" w:line="247" w:lineRule="auto"/>
            </w:pPr>
            <w:r>
              <w:rPr>
                <w:b w:val="0"/>
                <w:i w:val="0"/>
                <w:sz w:val="20"/>
              </w:rPr>
              <w:t>Empty permitted scope</w:t>
            </w:r>
          </w:p>
        </w:tc>
        <w:tc>
          <w:tcPr>
            <w:tcW w:type="dxa" w:w="4297"/>
            <w:vAlign w:val="center"/>
            <w:shd w:fill="FFFFFF"/>
          </w:tcPr>
          <w:p>
            <w:pPr>
              <w:spacing w:after="20" w:before="20" w:line="247" w:lineRule="auto"/>
            </w:pPr>
            <w:r>
              <w:rPr>
                <w:b w:val="0"/>
                <w:i w:val="0"/>
                <w:sz w:val="20"/>
              </w:rPr>
              <w:t>No records yet; show create or import only if allowed</w:t>
            </w:r>
          </w:p>
        </w:tc>
        <w:tc>
          <w:tcPr>
            <w:tcW w:type="dxa" w:w="3498"/>
            <w:vAlign w:val="center"/>
            <w:shd w:fill="FFFFFF"/>
          </w:tcPr>
          <w:p>
            <w:pPr>
              <w:spacing w:after="20" w:before="20" w:line="247" w:lineRule="auto"/>
            </w:pPr>
            <w:r>
              <w:rPr>
                <w:b w:val="0"/>
                <w:i w:val="0"/>
                <w:sz w:val="20"/>
              </w:rPr>
              <w:t>Start allowed work; do not imply other hidden records exist</w:t>
            </w:r>
          </w:p>
        </w:tc>
      </w:tr>
      <w:tr>
        <w:trPr>
          <w:cantSplit/>
        </w:trPr>
        <w:tc>
          <w:tcPr>
            <w:tcW w:type="dxa" w:w="2199"/>
            <w:vAlign w:val="center"/>
            <w:shd w:fill="F4F6F8"/>
          </w:tcPr>
          <w:p>
            <w:pPr>
              <w:spacing w:after="20" w:before="20" w:line="247" w:lineRule="auto"/>
            </w:pPr>
            <w:r>
              <w:rPr>
                <w:b w:val="0"/>
                <w:i w:val="0"/>
                <w:sz w:val="20"/>
              </w:rPr>
              <w:t>No filter matches</w:t>
            </w:r>
          </w:p>
        </w:tc>
        <w:tc>
          <w:tcPr>
            <w:tcW w:type="dxa" w:w="4297"/>
            <w:vAlign w:val="center"/>
            <w:shd w:fill="F4F6F8"/>
          </w:tcPr>
          <w:p>
            <w:pPr>
              <w:spacing w:after="20" w:before="20" w:line="247" w:lineRule="auto"/>
            </w:pPr>
            <w:r>
              <w:rPr>
                <w:b w:val="0"/>
                <w:i w:val="0"/>
                <w:sz w:val="20"/>
              </w:rPr>
              <w:t>Active filter summary and clear filters action</w:t>
            </w:r>
          </w:p>
        </w:tc>
        <w:tc>
          <w:tcPr>
            <w:tcW w:type="dxa" w:w="3498"/>
            <w:vAlign w:val="center"/>
            <w:shd w:fill="F4F6F8"/>
          </w:tcPr>
          <w:p>
            <w:pPr>
              <w:spacing w:after="20" w:before="20" w:line="247" w:lineRule="auto"/>
            </w:pPr>
            <w:r>
              <w:rPr>
                <w:b w:val="0"/>
                <w:i w:val="0"/>
                <w:sz w:val="20"/>
              </w:rPr>
              <w:t>Adjust authorised filters</w:t>
            </w:r>
          </w:p>
        </w:tc>
      </w:tr>
      <w:tr>
        <w:trPr>
          <w:cantSplit/>
        </w:trPr>
        <w:tc>
          <w:tcPr>
            <w:tcW w:type="dxa" w:w="2199"/>
            <w:vAlign w:val="center"/>
            <w:shd w:fill="FFFFFF"/>
          </w:tcPr>
          <w:p>
            <w:pPr>
              <w:spacing w:after="20" w:before="20" w:line="247" w:lineRule="auto"/>
            </w:pPr>
            <w:r>
              <w:rPr>
                <w:b w:val="0"/>
                <w:i w:val="0"/>
                <w:sz w:val="20"/>
              </w:rPr>
              <w:t>Loading</w:t>
            </w:r>
          </w:p>
        </w:tc>
        <w:tc>
          <w:tcPr>
            <w:tcW w:type="dxa" w:w="4297"/>
            <w:vAlign w:val="center"/>
            <w:shd w:fill="FFFFFF"/>
          </w:tcPr>
          <w:p>
            <w:pPr>
              <w:spacing w:after="20" w:before="20" w:line="247" w:lineRule="auto"/>
            </w:pPr>
            <w:r>
              <w:rPr>
                <w:b w:val="0"/>
                <w:i w:val="0"/>
                <w:sz w:val="20"/>
              </w:rPr>
              <w:t>Label the operation and preserve existing context</w:t>
            </w:r>
          </w:p>
        </w:tc>
        <w:tc>
          <w:tcPr>
            <w:tcW w:type="dxa" w:w="3498"/>
            <w:vAlign w:val="center"/>
            <w:shd w:fill="FFFFFF"/>
          </w:tcPr>
          <w:p>
            <w:pPr>
              <w:spacing w:after="20" w:before="20" w:line="247" w:lineRule="auto"/>
            </w:pPr>
            <w:r>
              <w:rPr>
                <w:b w:val="0"/>
                <w:i w:val="0"/>
                <w:sz w:val="20"/>
              </w:rPr>
              <w:t>Cancel long work; avoid showing stale values as new</w:t>
            </w:r>
          </w:p>
        </w:tc>
      </w:tr>
      <w:tr>
        <w:trPr>
          <w:cantSplit/>
        </w:trPr>
        <w:tc>
          <w:tcPr>
            <w:tcW w:type="dxa" w:w="2199"/>
            <w:vAlign w:val="center"/>
            <w:shd w:fill="F4F6F8"/>
          </w:tcPr>
          <w:p>
            <w:pPr>
              <w:spacing w:after="20" w:before="20" w:line="247" w:lineRule="auto"/>
            </w:pPr>
            <w:r>
              <w:rPr>
                <w:b w:val="0"/>
                <w:i w:val="0"/>
                <w:sz w:val="20"/>
              </w:rPr>
              <w:t>Stale</w:t>
            </w:r>
          </w:p>
        </w:tc>
        <w:tc>
          <w:tcPr>
            <w:tcW w:type="dxa" w:w="4297"/>
            <w:vAlign w:val="center"/>
            <w:shd w:fill="F4F6F8"/>
          </w:tcPr>
          <w:p>
            <w:pPr>
              <w:spacing w:after="20" w:before="20" w:line="247" w:lineRule="auto"/>
            </w:pPr>
            <w:r>
              <w:rPr>
                <w:b w:val="0"/>
                <w:i w:val="0"/>
                <w:sz w:val="20"/>
              </w:rPr>
              <w:t>Last successful source and calculation times, failed stage and owner</w:t>
            </w:r>
          </w:p>
        </w:tc>
        <w:tc>
          <w:tcPr>
            <w:tcW w:type="dxa" w:w="3498"/>
            <w:vAlign w:val="center"/>
            <w:shd w:fill="F4F6F8"/>
          </w:tcPr>
          <w:p>
            <w:pPr>
              <w:spacing w:after="20" w:before="20" w:line="247" w:lineRule="auto"/>
            </w:pPr>
            <w:r>
              <w:rPr>
                <w:b w:val="0"/>
                <w:i w:val="0"/>
                <w:sz w:val="20"/>
              </w:rPr>
              <w:t>Refresh or open source issue if allowed</w:t>
            </w:r>
          </w:p>
        </w:tc>
      </w:tr>
      <w:tr>
        <w:trPr>
          <w:cantSplit/>
        </w:trPr>
        <w:tc>
          <w:tcPr>
            <w:tcW w:type="dxa" w:w="2199"/>
            <w:vAlign w:val="center"/>
            <w:shd w:fill="FFFFFF"/>
          </w:tcPr>
          <w:p>
            <w:pPr>
              <w:spacing w:after="20" w:before="20" w:line="247" w:lineRule="auto"/>
            </w:pPr>
            <w:r>
              <w:rPr>
                <w:b w:val="0"/>
                <w:i w:val="0"/>
                <w:sz w:val="20"/>
              </w:rPr>
              <w:t>Partial</w:t>
            </w:r>
          </w:p>
        </w:tc>
        <w:tc>
          <w:tcPr>
            <w:tcW w:type="dxa" w:w="4297"/>
            <w:vAlign w:val="center"/>
            <w:shd w:fill="FFFFFF"/>
          </w:tcPr>
          <w:p>
            <w:pPr>
              <w:spacing w:after="20" w:before="20" w:line="247" w:lineRule="auto"/>
            </w:pPr>
            <w:r>
              <w:rPr>
                <w:b w:val="0"/>
                <w:i w:val="0"/>
                <w:sz w:val="20"/>
              </w:rPr>
              <w:t>Eligible contributors, expected contributors and material exclusions</w:t>
            </w:r>
          </w:p>
        </w:tc>
        <w:tc>
          <w:tcPr>
            <w:tcW w:type="dxa" w:w="3498"/>
            <w:vAlign w:val="center"/>
            <w:shd w:fill="FFFFFF"/>
          </w:tcPr>
          <w:p>
            <w:pPr>
              <w:spacing w:after="20" w:before="20" w:line="247" w:lineRule="auto"/>
            </w:pPr>
            <w:r>
              <w:rPr>
                <w:b w:val="0"/>
                <w:i w:val="0"/>
                <w:sz w:val="20"/>
              </w:rPr>
              <w:t>Open authorised missing work list</w:t>
            </w:r>
          </w:p>
        </w:tc>
      </w:tr>
      <w:tr>
        <w:trPr>
          <w:cantSplit/>
        </w:trPr>
        <w:tc>
          <w:tcPr>
            <w:tcW w:type="dxa" w:w="2199"/>
            <w:vAlign w:val="center"/>
            <w:shd w:fill="F4F6F8"/>
          </w:tcPr>
          <w:p>
            <w:pPr>
              <w:spacing w:after="20" w:before="20" w:line="247" w:lineRule="auto"/>
            </w:pPr>
            <w:r>
              <w:rPr>
                <w:b w:val="0"/>
                <w:i w:val="0"/>
                <w:sz w:val="20"/>
              </w:rPr>
              <w:t>Pending approval</w:t>
            </w:r>
          </w:p>
        </w:tc>
        <w:tc>
          <w:tcPr>
            <w:tcW w:type="dxa" w:w="4297"/>
            <w:vAlign w:val="center"/>
            <w:shd w:fill="F4F6F8"/>
          </w:tcPr>
          <w:p>
            <w:pPr>
              <w:spacing w:after="20" w:before="20" w:line="247" w:lineRule="auto"/>
            </w:pPr>
            <w:r>
              <w:rPr>
                <w:b w:val="0"/>
                <w:i w:val="0"/>
                <w:sz w:val="20"/>
              </w:rPr>
              <w:t>Received and validated but excluded from official totals</w:t>
            </w:r>
          </w:p>
        </w:tc>
        <w:tc>
          <w:tcPr>
            <w:tcW w:type="dxa" w:w="3498"/>
            <w:vAlign w:val="center"/>
            <w:shd w:fill="F4F6F8"/>
          </w:tcPr>
          <w:p>
            <w:pPr>
              <w:spacing w:after="20" w:before="20" w:line="247" w:lineRule="auto"/>
            </w:pPr>
            <w:r>
              <w:rPr>
                <w:b w:val="0"/>
                <w:i w:val="0"/>
                <w:sz w:val="20"/>
              </w:rPr>
              <w:t>Review, return or wait according to role</w:t>
            </w:r>
          </w:p>
        </w:tc>
      </w:tr>
      <w:tr>
        <w:trPr>
          <w:cantSplit/>
        </w:trPr>
        <w:tc>
          <w:tcPr>
            <w:tcW w:type="dxa" w:w="2199"/>
            <w:vAlign w:val="center"/>
            <w:shd w:fill="FFFFFF"/>
          </w:tcPr>
          <w:p>
            <w:pPr>
              <w:spacing w:after="20" w:before="20" w:line="247" w:lineRule="auto"/>
            </w:pPr>
            <w:r>
              <w:rPr>
                <w:b w:val="0"/>
                <w:i w:val="0"/>
                <w:sz w:val="20"/>
              </w:rPr>
              <w:t>Access lost</w:t>
            </w:r>
          </w:p>
        </w:tc>
        <w:tc>
          <w:tcPr>
            <w:tcW w:type="dxa" w:w="4297"/>
            <w:vAlign w:val="center"/>
            <w:shd w:fill="FFFFFF"/>
          </w:tcPr>
          <w:p>
            <w:pPr>
              <w:spacing w:after="20" w:before="20" w:line="247" w:lineRule="auto"/>
            </w:pPr>
            <w:r>
              <w:rPr>
                <w:b w:val="0"/>
                <w:i w:val="0"/>
                <w:sz w:val="20"/>
              </w:rPr>
              <w:t>Resource unavailable and safe return path</w:t>
            </w:r>
          </w:p>
        </w:tc>
        <w:tc>
          <w:tcPr>
            <w:tcW w:type="dxa" w:w="3498"/>
            <w:vAlign w:val="center"/>
            <w:shd w:fill="FFFFFF"/>
          </w:tcPr>
          <w:p>
            <w:pPr>
              <w:spacing w:after="20" w:before="20" w:line="247" w:lineRule="auto"/>
            </w:pPr>
            <w:r>
              <w:rPr>
                <w:b w:val="0"/>
                <w:i w:val="0"/>
                <w:sz w:val="20"/>
              </w:rPr>
              <w:t>Reauthenticate or contact designated admin without resource disclosure</w:t>
            </w:r>
          </w:p>
        </w:tc>
      </w:tr>
      <w:tr>
        <w:trPr>
          <w:cantSplit/>
        </w:trPr>
        <w:tc>
          <w:tcPr>
            <w:tcW w:type="dxa" w:w="2199"/>
            <w:vAlign w:val="center"/>
            <w:shd w:fill="F4F6F8"/>
          </w:tcPr>
          <w:p>
            <w:pPr>
              <w:spacing w:after="20" w:before="20" w:line="247" w:lineRule="auto"/>
            </w:pPr>
            <w:r>
              <w:rPr>
                <w:b w:val="0"/>
                <w:i w:val="0"/>
                <w:sz w:val="20"/>
              </w:rPr>
              <w:t>Conflict</w:t>
            </w:r>
          </w:p>
        </w:tc>
        <w:tc>
          <w:tcPr>
            <w:tcW w:type="dxa" w:w="4297"/>
            <w:vAlign w:val="center"/>
            <w:shd w:fill="F4F6F8"/>
          </w:tcPr>
          <w:p>
            <w:pPr>
              <w:spacing w:after="20" w:before="20" w:line="247" w:lineRule="auto"/>
            </w:pPr>
            <w:r>
              <w:rPr>
                <w:b w:val="0"/>
                <w:i w:val="0"/>
                <w:sz w:val="20"/>
              </w:rPr>
              <w:t>Submitted draft retained; current revision differs</w:t>
            </w:r>
          </w:p>
        </w:tc>
        <w:tc>
          <w:tcPr>
            <w:tcW w:type="dxa" w:w="3498"/>
            <w:vAlign w:val="center"/>
            <w:shd w:fill="F4F6F8"/>
          </w:tcPr>
          <w:p>
            <w:pPr>
              <w:spacing w:after="20" w:before="20" w:line="247" w:lineRule="auto"/>
            </w:pPr>
            <w:r>
              <w:rPr>
                <w:b w:val="0"/>
                <w:i w:val="0"/>
                <w:sz w:val="20"/>
              </w:rPr>
              <w:t>Compare permitted fields and resubmit</w:t>
            </w:r>
          </w:p>
        </w:tc>
      </w:tr>
      <w:tr>
        <w:trPr>
          <w:cantSplit/>
        </w:trPr>
        <w:tc>
          <w:tcPr>
            <w:tcW w:type="dxa" w:w="2199"/>
            <w:vAlign w:val="center"/>
            <w:shd w:fill="FFFFFF"/>
          </w:tcPr>
          <w:p>
            <w:pPr>
              <w:spacing w:after="20" w:before="20" w:line="247" w:lineRule="auto"/>
            </w:pPr>
            <w:r>
              <w:rPr>
                <w:b w:val="0"/>
                <w:i w:val="0"/>
                <w:sz w:val="20"/>
              </w:rPr>
              <w:t>Offline local save</w:t>
            </w:r>
          </w:p>
        </w:tc>
        <w:tc>
          <w:tcPr>
            <w:tcW w:type="dxa" w:w="4297"/>
            <w:vAlign w:val="center"/>
            <w:shd w:fill="FFFFFF"/>
          </w:tcPr>
          <w:p>
            <w:pPr>
              <w:spacing w:after="20" w:before="20" w:line="247" w:lineRule="auto"/>
            </w:pPr>
            <w:r>
              <w:rPr>
                <w:b w:val="0"/>
                <w:i w:val="0"/>
                <w:sz w:val="20"/>
              </w:rPr>
              <w:t>Saved on this device, upload pending</w:t>
            </w:r>
          </w:p>
        </w:tc>
        <w:tc>
          <w:tcPr>
            <w:tcW w:type="dxa" w:w="3498"/>
            <w:vAlign w:val="center"/>
            <w:shd w:fill="FFFFFF"/>
          </w:tcPr>
          <w:p>
            <w:pPr>
              <w:spacing w:after="20" w:before="20" w:line="247" w:lineRule="auto"/>
            </w:pPr>
            <w:r>
              <w:rPr>
                <w:b w:val="0"/>
                <w:i w:val="0"/>
                <w:sz w:val="20"/>
              </w:rPr>
              <w:t>Sync or use controlled handover</w:t>
            </w:r>
          </w:p>
        </w:tc>
      </w:tr>
      <w:tr>
        <w:trPr>
          <w:cantSplit/>
        </w:trPr>
        <w:tc>
          <w:tcPr>
            <w:tcW w:type="dxa" w:w="2199"/>
            <w:vAlign w:val="center"/>
            <w:shd w:fill="F4F6F8"/>
          </w:tcPr>
          <w:p>
            <w:pPr>
              <w:spacing w:after="20" w:before="20" w:line="247" w:lineRule="auto"/>
            </w:pPr>
            <w:r>
              <w:rPr>
                <w:b w:val="0"/>
                <w:i w:val="0"/>
                <w:sz w:val="20"/>
              </w:rPr>
              <w:t>Job failed</w:t>
            </w:r>
          </w:p>
        </w:tc>
        <w:tc>
          <w:tcPr>
            <w:tcW w:type="dxa" w:w="4297"/>
            <w:vAlign w:val="center"/>
            <w:shd w:fill="F4F6F8"/>
          </w:tcPr>
          <w:p>
            <w:pPr>
              <w:spacing w:after="20" w:before="20" w:line="247" w:lineRule="auto"/>
            </w:pPr>
            <w:r>
              <w:rPr>
                <w:b w:val="0"/>
                <w:i w:val="0"/>
                <w:sz w:val="20"/>
              </w:rPr>
              <w:t>Failed stage, committed work, retry eligibility and reference</w:t>
            </w:r>
          </w:p>
        </w:tc>
        <w:tc>
          <w:tcPr>
            <w:tcW w:type="dxa" w:w="3498"/>
            <w:vAlign w:val="center"/>
            <w:shd w:fill="F4F6F8"/>
          </w:tcPr>
          <w:p>
            <w:pPr>
              <w:spacing w:after="20" w:before="20" w:line="247" w:lineRule="auto"/>
            </w:pPr>
            <w:r>
              <w:rPr>
                <w:b w:val="0"/>
                <w:i w:val="0"/>
                <w:sz w:val="20"/>
              </w:rPr>
              <w:t>Retry eligible items; never blindly repeat the entire mutation</w:t>
            </w:r>
          </w:p>
        </w:tc>
      </w:tr>
    </w:tbl>
    <w:p>
      <w:pPr>
        <w:keepNext w:val="0"/>
        <w:spacing w:after="60" w:line="240" w:lineRule="auto" w:before="0"/>
      </w:pPr>
      <w:r>
        <w:rPr>
          <w:b w:val="0"/>
          <w:i w:val="0"/>
          <w:sz w:val="2"/>
        </w:rPr>
      </w:r>
    </w:p>
    <w:p>
      <w:pPr>
        <w:pStyle w:val="Heading2"/>
      </w:pPr>
      <w:r>
        <w:rPr>
          <w:b w:val="0"/>
          <w:i w:val="0"/>
        </w:rPr>
        <w:t>2 7 SC07 Structured errors</w:t>
      </w:r>
    </w:p>
    <w:p>
      <w:r>
        <w:rPr>
          <w:b w:val="0"/>
          <w:i w:val="0"/>
        </w:rPr>
        <w:t>Error contracts contain code, safe message, optional field path, retryable flag, correlation reference and permitted recovery actions. Public callers receive neither stack traces nor internal service names. The API transport mapping belongs in the interface design; the semantic codes below are mandatory across channels.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398"/>
        <w:gridCol w:w="3098"/>
        <w:gridCol w:w="3498"/>
      </w:tblGrid>
      <w:tr>
        <w:trPr>
          <w:cantSplit/>
          <w:tblHeader/>
        </w:trPr>
        <w:tc>
          <w:tcPr>
            <w:tcW w:type="dxa" w:w="3398"/>
            <w:vAlign w:val="center"/>
            <w:shd w:fill="233B53"/>
          </w:tcPr>
          <w:p>
            <w:pPr>
              <w:spacing w:after="20" w:before="20" w:line="247" w:lineRule="auto"/>
            </w:pPr>
            <w:r>
              <w:rPr>
                <w:b/>
                <w:i w:val="0"/>
                <w:color w:val="FFFFFF"/>
                <w:sz w:val="20"/>
              </w:rPr>
              <w:t>Code</w:t>
            </w:r>
          </w:p>
        </w:tc>
        <w:tc>
          <w:tcPr>
            <w:tcW w:type="dxa" w:w="3098"/>
            <w:vAlign w:val="center"/>
            <w:shd w:fill="233B53"/>
          </w:tcPr>
          <w:p>
            <w:pPr>
              <w:spacing w:after="20" w:before="20" w:line="247" w:lineRule="auto"/>
            </w:pPr>
            <w:r>
              <w:rPr>
                <w:b/>
                <w:i w:val="0"/>
                <w:color w:val="FFFFFF"/>
                <w:sz w:val="20"/>
              </w:rPr>
              <w:t>Meaning</w:t>
            </w:r>
          </w:p>
        </w:tc>
        <w:tc>
          <w:tcPr>
            <w:tcW w:type="dxa" w:w="3498"/>
            <w:vAlign w:val="center"/>
            <w:shd w:fill="233B53"/>
          </w:tcPr>
          <w:p>
            <w:pPr>
              <w:spacing w:after="20" w:before="20" w:line="247" w:lineRule="auto"/>
            </w:pPr>
            <w:r>
              <w:rPr>
                <w:b/>
                <w:i w:val="0"/>
                <w:color w:val="FFFFFF"/>
                <w:sz w:val="20"/>
              </w:rPr>
              <w:t>Required outcome</w:t>
            </w:r>
          </w:p>
        </w:tc>
      </w:tr>
      <w:tr>
        <w:trPr>
          <w:cantSplit/>
        </w:trPr>
        <w:tc>
          <w:tcPr>
            <w:tcW w:type="dxa" w:w="3398"/>
            <w:vAlign w:val="center"/>
            <w:shd w:fill="FFFFFF"/>
          </w:tcPr>
          <w:p>
            <w:pPr>
              <w:spacing w:after="20" w:before="20" w:line="247" w:lineRule="auto"/>
            </w:pPr>
            <w:r>
              <w:rPr>
                <w:b w:val="0"/>
                <w:i w:val="0"/>
                <w:sz w:val="20"/>
              </w:rPr>
              <w:t>AUTH_REQUIRED</w:t>
            </w:r>
          </w:p>
        </w:tc>
        <w:tc>
          <w:tcPr>
            <w:tcW w:type="dxa" w:w="3098"/>
            <w:vAlign w:val="center"/>
            <w:shd w:fill="FFFFFF"/>
          </w:tcPr>
          <w:p>
            <w:pPr>
              <w:spacing w:after="20" w:before="20" w:line="247" w:lineRule="auto"/>
            </w:pPr>
            <w:r>
              <w:rPr>
                <w:b w:val="0"/>
                <w:i w:val="0"/>
                <w:sz w:val="20"/>
              </w:rPr>
              <w:t>No valid session</w:t>
            </w:r>
          </w:p>
        </w:tc>
        <w:tc>
          <w:tcPr>
            <w:tcW w:type="dxa" w:w="3498"/>
            <w:vAlign w:val="center"/>
            <w:shd w:fill="FFFFFF"/>
          </w:tcPr>
          <w:p>
            <w:pPr>
              <w:spacing w:after="20" w:before="20" w:line="247" w:lineRule="auto"/>
            </w:pPr>
            <w:r>
              <w:rPr>
                <w:b w:val="0"/>
                <w:i w:val="0"/>
                <w:sz w:val="20"/>
              </w:rPr>
              <w:t>Preserve nonsecret draft; authenticate</w:t>
            </w:r>
          </w:p>
        </w:tc>
      </w:tr>
      <w:tr>
        <w:trPr>
          <w:cantSplit/>
        </w:trPr>
        <w:tc>
          <w:tcPr>
            <w:tcW w:type="dxa" w:w="3398"/>
            <w:vAlign w:val="center"/>
            <w:shd w:fill="F4F6F8"/>
          </w:tcPr>
          <w:p>
            <w:pPr>
              <w:spacing w:after="20" w:before="20" w:line="247" w:lineRule="auto"/>
            </w:pPr>
            <w:r>
              <w:rPr>
                <w:b w:val="0"/>
                <w:i w:val="0"/>
                <w:sz w:val="20"/>
              </w:rPr>
              <w:t>ASSURANCE_REQUIRED</w:t>
            </w:r>
          </w:p>
        </w:tc>
        <w:tc>
          <w:tcPr>
            <w:tcW w:type="dxa" w:w="3098"/>
            <w:vAlign w:val="center"/>
            <w:shd w:fill="F4F6F8"/>
          </w:tcPr>
          <w:p>
            <w:pPr>
              <w:spacing w:after="20" w:before="20" w:line="247" w:lineRule="auto"/>
            </w:pPr>
            <w:r>
              <w:rPr>
                <w:b w:val="0"/>
                <w:i w:val="0"/>
                <w:sz w:val="20"/>
              </w:rPr>
              <w:t>Sensitive action needs stronger or fresher verification</w:t>
            </w:r>
          </w:p>
        </w:tc>
        <w:tc>
          <w:tcPr>
            <w:tcW w:type="dxa" w:w="3498"/>
            <w:vAlign w:val="center"/>
            <w:shd w:fill="F4F6F8"/>
          </w:tcPr>
          <w:p>
            <w:pPr>
              <w:spacing w:after="20" w:before="20" w:line="247" w:lineRule="auto"/>
            </w:pPr>
            <w:r>
              <w:rPr>
                <w:b w:val="0"/>
                <w:i w:val="0"/>
                <w:sz w:val="20"/>
              </w:rPr>
              <w:t>Step up without executing the action</w:t>
            </w:r>
          </w:p>
        </w:tc>
      </w:tr>
      <w:tr>
        <w:trPr>
          <w:cantSplit/>
        </w:trPr>
        <w:tc>
          <w:tcPr>
            <w:tcW w:type="dxa" w:w="3398"/>
            <w:vAlign w:val="center"/>
            <w:shd w:fill="FFFFFF"/>
          </w:tcPr>
          <w:p>
            <w:pPr>
              <w:spacing w:after="20" w:before="20" w:line="247" w:lineRule="auto"/>
            </w:pPr>
            <w:r>
              <w:rPr>
                <w:b w:val="0"/>
                <w:i w:val="0"/>
                <w:sz w:val="20"/>
              </w:rPr>
              <w:t>RESOURCE_UNAVAILABLE</w:t>
            </w:r>
          </w:p>
        </w:tc>
        <w:tc>
          <w:tcPr>
            <w:tcW w:type="dxa" w:w="3098"/>
            <w:vAlign w:val="center"/>
            <w:shd w:fill="FFFFFF"/>
          </w:tcPr>
          <w:p>
            <w:pPr>
              <w:spacing w:after="20" w:before="20" w:line="247" w:lineRule="auto"/>
            </w:pPr>
            <w:r>
              <w:rPr>
                <w:b w:val="0"/>
                <w:i w:val="0"/>
                <w:sz w:val="20"/>
              </w:rPr>
              <w:t>Missing or inaccessible protected object</w:t>
            </w:r>
          </w:p>
        </w:tc>
        <w:tc>
          <w:tcPr>
            <w:tcW w:type="dxa" w:w="3498"/>
            <w:vAlign w:val="center"/>
            <w:shd w:fill="FFFFFF"/>
          </w:tcPr>
          <w:p>
            <w:pPr>
              <w:spacing w:after="20" w:before="20" w:line="247" w:lineRule="auto"/>
            </w:pPr>
            <w:r>
              <w:rPr>
                <w:b w:val="0"/>
                <w:i w:val="0"/>
                <w:sz w:val="20"/>
              </w:rPr>
              <w:t>No existence distinction</w:t>
            </w:r>
          </w:p>
        </w:tc>
      </w:tr>
      <w:tr>
        <w:trPr>
          <w:cantSplit/>
        </w:trPr>
        <w:tc>
          <w:tcPr>
            <w:tcW w:type="dxa" w:w="3398"/>
            <w:vAlign w:val="center"/>
            <w:shd w:fill="F4F6F8"/>
          </w:tcPr>
          <w:p>
            <w:pPr>
              <w:spacing w:after="20" w:before="20" w:line="247" w:lineRule="auto"/>
            </w:pPr>
            <w:r>
              <w:rPr>
                <w:b w:val="0"/>
                <w:i w:val="0"/>
                <w:sz w:val="20"/>
              </w:rPr>
              <w:t>POLICY_DENIED</w:t>
            </w:r>
          </w:p>
        </w:tc>
        <w:tc>
          <w:tcPr>
            <w:tcW w:type="dxa" w:w="3098"/>
            <w:vAlign w:val="center"/>
            <w:shd w:fill="F4F6F8"/>
          </w:tcPr>
          <w:p>
            <w:pPr>
              <w:spacing w:after="20" w:before="20" w:line="247" w:lineRule="auto"/>
            </w:pPr>
            <w:r>
              <w:rPr>
                <w:b w:val="0"/>
                <w:i w:val="0"/>
                <w:sz w:val="20"/>
              </w:rPr>
              <w:t>Known permitted context but action disallowed</w:t>
            </w:r>
          </w:p>
        </w:tc>
        <w:tc>
          <w:tcPr>
            <w:tcW w:type="dxa" w:w="3498"/>
            <w:vAlign w:val="center"/>
            <w:shd w:fill="F4F6F8"/>
          </w:tcPr>
          <w:p>
            <w:pPr>
              <w:spacing w:after="20" w:before="20" w:line="247" w:lineRule="auto"/>
            </w:pPr>
            <w:r>
              <w:rPr>
                <w:b w:val="0"/>
                <w:i w:val="0"/>
                <w:sz w:val="20"/>
              </w:rPr>
              <w:t>Safe explanation without hidden grants or records</w:t>
            </w:r>
          </w:p>
        </w:tc>
      </w:tr>
      <w:tr>
        <w:trPr>
          <w:cantSplit/>
        </w:trPr>
        <w:tc>
          <w:tcPr>
            <w:tcW w:type="dxa" w:w="3398"/>
            <w:vAlign w:val="center"/>
            <w:shd w:fill="FFFFFF"/>
          </w:tcPr>
          <w:p>
            <w:pPr>
              <w:spacing w:after="20" w:before="20" w:line="247" w:lineRule="auto"/>
            </w:pPr>
            <w:r>
              <w:rPr>
                <w:b w:val="0"/>
                <w:i w:val="0"/>
                <w:sz w:val="20"/>
              </w:rPr>
              <w:t>VALIDATION_FAILED</w:t>
            </w:r>
          </w:p>
        </w:tc>
        <w:tc>
          <w:tcPr>
            <w:tcW w:type="dxa" w:w="3098"/>
            <w:vAlign w:val="center"/>
            <w:shd w:fill="FFFFFF"/>
          </w:tcPr>
          <w:p>
            <w:pPr>
              <w:spacing w:after="20" w:before="20" w:line="247" w:lineRule="auto"/>
            </w:pPr>
            <w:r>
              <w:rPr>
                <w:b w:val="0"/>
                <w:i w:val="0"/>
                <w:sz w:val="20"/>
              </w:rPr>
              <w:t>Invalid fields or related records</w:t>
            </w:r>
          </w:p>
        </w:tc>
        <w:tc>
          <w:tcPr>
            <w:tcW w:type="dxa" w:w="3498"/>
            <w:vAlign w:val="center"/>
            <w:shd w:fill="FFFFFF"/>
          </w:tcPr>
          <w:p>
            <w:pPr>
              <w:spacing w:after="20" w:before="20" w:line="247" w:lineRule="auto"/>
            </w:pPr>
            <w:r>
              <w:rPr>
                <w:b w:val="0"/>
                <w:i w:val="0"/>
                <w:sz w:val="20"/>
              </w:rPr>
              <w:t>Field and summary errors; no partial ordinary save</w:t>
            </w:r>
          </w:p>
        </w:tc>
      </w:tr>
      <w:tr>
        <w:trPr>
          <w:cantSplit/>
        </w:trPr>
        <w:tc>
          <w:tcPr>
            <w:tcW w:type="dxa" w:w="3398"/>
            <w:vAlign w:val="center"/>
            <w:shd w:fill="F4F6F8"/>
          </w:tcPr>
          <w:p>
            <w:pPr>
              <w:spacing w:after="20" w:before="20" w:line="247" w:lineRule="auto"/>
            </w:pPr>
            <w:r>
              <w:rPr>
                <w:b w:val="0"/>
                <w:i w:val="0"/>
                <w:sz w:val="20"/>
              </w:rPr>
              <w:t>CONFLICT_VERSION</w:t>
            </w:r>
          </w:p>
        </w:tc>
        <w:tc>
          <w:tcPr>
            <w:tcW w:type="dxa" w:w="3098"/>
            <w:vAlign w:val="center"/>
            <w:shd w:fill="F4F6F8"/>
          </w:tcPr>
          <w:p>
            <w:pPr>
              <w:spacing w:after="20" w:before="20" w:line="247" w:lineRule="auto"/>
            </w:pPr>
            <w:r>
              <w:rPr>
                <w:b w:val="0"/>
                <w:i w:val="0"/>
                <w:sz w:val="20"/>
              </w:rPr>
              <w:t>Candidate revision stale</w:t>
            </w:r>
          </w:p>
        </w:tc>
        <w:tc>
          <w:tcPr>
            <w:tcW w:type="dxa" w:w="3498"/>
            <w:vAlign w:val="center"/>
            <w:shd w:fill="F4F6F8"/>
          </w:tcPr>
          <w:p>
            <w:pPr>
              <w:spacing w:after="20" w:before="20" w:line="247" w:lineRule="auto"/>
            </w:pPr>
            <w:r>
              <w:rPr>
                <w:b w:val="0"/>
                <w:i w:val="0"/>
                <w:sz w:val="20"/>
              </w:rPr>
              <w:t>Preserve draft and require review of latest version</w:t>
            </w:r>
          </w:p>
        </w:tc>
      </w:tr>
      <w:tr>
        <w:trPr>
          <w:cantSplit/>
        </w:trPr>
        <w:tc>
          <w:tcPr>
            <w:tcW w:type="dxa" w:w="3398"/>
            <w:vAlign w:val="center"/>
            <w:shd w:fill="FFFFFF"/>
          </w:tcPr>
          <w:p>
            <w:pPr>
              <w:spacing w:after="20" w:before="20" w:line="247" w:lineRule="auto"/>
            </w:pPr>
            <w:r>
              <w:rPr>
                <w:b w:val="0"/>
                <w:i w:val="0"/>
                <w:sz w:val="20"/>
              </w:rPr>
              <w:t>CONFLICT_OPERATION</w:t>
            </w:r>
          </w:p>
        </w:tc>
        <w:tc>
          <w:tcPr>
            <w:tcW w:type="dxa" w:w="3098"/>
            <w:vAlign w:val="center"/>
            <w:shd w:fill="FFFFFF"/>
          </w:tcPr>
          <w:p>
            <w:pPr>
              <w:spacing w:after="20" w:before="20" w:line="247" w:lineRule="auto"/>
            </w:pPr>
            <w:r>
              <w:rPr>
                <w:b w:val="0"/>
                <w:i w:val="0"/>
                <w:sz w:val="20"/>
              </w:rPr>
              <w:t>Reused operation ID with changed payload</w:t>
            </w:r>
          </w:p>
        </w:tc>
        <w:tc>
          <w:tcPr>
            <w:tcW w:type="dxa" w:w="3498"/>
            <w:vAlign w:val="center"/>
            <w:shd w:fill="FFFFFF"/>
          </w:tcPr>
          <w:p>
            <w:pPr>
              <w:spacing w:after="20" w:before="20" w:line="247" w:lineRule="auto"/>
            </w:pPr>
            <w:r>
              <w:rPr>
                <w:b w:val="0"/>
                <w:i w:val="0"/>
                <w:sz w:val="20"/>
              </w:rPr>
              <w:t>New reviewed command required</w:t>
            </w:r>
          </w:p>
        </w:tc>
      </w:tr>
      <w:tr>
        <w:trPr>
          <w:cantSplit/>
        </w:trPr>
        <w:tc>
          <w:tcPr>
            <w:tcW w:type="dxa" w:w="3398"/>
            <w:vAlign w:val="center"/>
            <w:shd w:fill="F4F6F8"/>
          </w:tcPr>
          <w:p>
            <w:pPr>
              <w:spacing w:after="20" w:before="20" w:line="247" w:lineRule="auto"/>
            </w:pPr>
            <w:r>
              <w:rPr>
                <w:b w:val="0"/>
                <w:i w:val="0"/>
                <w:sz w:val="20"/>
              </w:rPr>
              <w:t>STATE_TRANSITION_DENIED</w:t>
            </w:r>
          </w:p>
        </w:tc>
        <w:tc>
          <w:tcPr>
            <w:tcW w:type="dxa" w:w="3098"/>
            <w:vAlign w:val="center"/>
            <w:shd w:fill="F4F6F8"/>
          </w:tcPr>
          <w:p>
            <w:pPr>
              <w:spacing w:after="20" w:before="20" w:line="247" w:lineRule="auto"/>
            </w:pPr>
            <w:r>
              <w:rPr>
                <w:b w:val="0"/>
                <w:i w:val="0"/>
                <w:sz w:val="20"/>
              </w:rPr>
              <w:t>Action invalid from current lifecycle state</w:t>
            </w:r>
          </w:p>
        </w:tc>
        <w:tc>
          <w:tcPr>
            <w:tcW w:type="dxa" w:w="3498"/>
            <w:vAlign w:val="center"/>
            <w:shd w:fill="F4F6F8"/>
          </w:tcPr>
          <w:p>
            <w:pPr>
              <w:spacing w:after="20" w:before="20" w:line="247" w:lineRule="auto"/>
            </w:pPr>
            <w:r>
              <w:rPr>
                <w:b w:val="0"/>
                <w:i w:val="0"/>
                <w:sz w:val="20"/>
              </w:rPr>
              <w:t>Show allowed actions for this actor</w:t>
            </w:r>
          </w:p>
        </w:tc>
      </w:tr>
      <w:tr>
        <w:trPr>
          <w:cantSplit/>
        </w:trPr>
        <w:tc>
          <w:tcPr>
            <w:tcW w:type="dxa" w:w="3398"/>
            <w:vAlign w:val="center"/>
            <w:shd w:fill="FFFFFF"/>
          </w:tcPr>
          <w:p>
            <w:pPr>
              <w:spacing w:after="20" w:before="20" w:line="247" w:lineRule="auto"/>
            </w:pPr>
            <w:r>
              <w:rPr>
                <w:b w:val="0"/>
                <w:i w:val="0"/>
                <w:sz w:val="20"/>
              </w:rPr>
              <w:t>EVIDENCE_REQUIRED</w:t>
            </w:r>
          </w:p>
        </w:tc>
        <w:tc>
          <w:tcPr>
            <w:tcW w:type="dxa" w:w="3098"/>
            <w:vAlign w:val="center"/>
            <w:shd w:fill="FFFFFF"/>
          </w:tcPr>
          <w:p>
            <w:pPr>
              <w:spacing w:after="20" w:before="20" w:line="247" w:lineRule="auto"/>
            </w:pPr>
            <w:r>
              <w:rPr>
                <w:b w:val="0"/>
                <w:i w:val="0"/>
                <w:sz w:val="20"/>
              </w:rPr>
              <w:t>Missing or unverified mandatory evidence</w:t>
            </w:r>
          </w:p>
        </w:tc>
        <w:tc>
          <w:tcPr>
            <w:tcW w:type="dxa" w:w="3498"/>
            <w:vAlign w:val="center"/>
            <w:shd w:fill="FFFFFF"/>
          </w:tcPr>
          <w:p>
            <w:pPr>
              <w:spacing w:after="20" w:before="20" w:line="247" w:lineRule="auto"/>
            </w:pPr>
            <w:r>
              <w:rPr>
                <w:b w:val="0"/>
                <w:i w:val="0"/>
                <w:sz w:val="20"/>
              </w:rPr>
              <w:t>Keep draft or submitted state; block approval</w:t>
            </w:r>
          </w:p>
        </w:tc>
      </w:tr>
      <w:tr>
        <w:trPr>
          <w:cantSplit/>
        </w:trPr>
        <w:tc>
          <w:tcPr>
            <w:tcW w:type="dxa" w:w="3398"/>
            <w:vAlign w:val="center"/>
            <w:shd w:fill="F4F6F8"/>
          </w:tcPr>
          <w:p>
            <w:pPr>
              <w:spacing w:after="20" w:before="20" w:line="247" w:lineRule="auto"/>
            </w:pPr>
            <w:r>
              <w:rPr>
                <w:b w:val="0"/>
                <w:i w:val="0"/>
                <w:sz w:val="20"/>
              </w:rPr>
              <w:t>INCOMPATIBLE_MEASURE</w:t>
            </w:r>
          </w:p>
        </w:tc>
        <w:tc>
          <w:tcPr>
            <w:tcW w:type="dxa" w:w="3098"/>
            <w:vAlign w:val="center"/>
            <w:shd w:fill="F4F6F8"/>
          </w:tcPr>
          <w:p>
            <w:pPr>
              <w:spacing w:after="20" w:before="20" w:line="247" w:lineRule="auto"/>
            </w:pPr>
            <w:r>
              <w:rPr>
                <w:b w:val="0"/>
                <w:i w:val="0"/>
                <w:sz w:val="20"/>
              </w:rPr>
              <w:t>Unit population period or definition mismatch</w:t>
            </w:r>
          </w:p>
        </w:tc>
        <w:tc>
          <w:tcPr>
            <w:tcW w:type="dxa" w:w="3498"/>
            <w:vAlign w:val="center"/>
            <w:shd w:fill="F4F6F8"/>
          </w:tcPr>
          <w:p>
            <w:pPr>
              <w:spacing w:after="20" w:before="20" w:line="247" w:lineRule="auto"/>
            </w:pPr>
            <w:r>
              <w:rPr>
                <w:b w:val="0"/>
                <w:i w:val="0"/>
                <w:sz w:val="20"/>
              </w:rPr>
              <w:t>Identify authorised incompatible references</w:t>
            </w:r>
          </w:p>
        </w:tc>
      </w:tr>
      <w:tr>
        <w:trPr>
          <w:cantSplit/>
        </w:trPr>
        <w:tc>
          <w:tcPr>
            <w:tcW w:type="dxa" w:w="3398"/>
            <w:vAlign w:val="center"/>
            <w:shd w:fill="FFFFFF"/>
          </w:tcPr>
          <w:p>
            <w:pPr>
              <w:spacing w:after="20" w:before="20" w:line="247" w:lineRule="auto"/>
            </w:pPr>
            <w:r>
              <w:rPr>
                <w:b w:val="0"/>
                <w:i w:val="0"/>
                <w:sz w:val="20"/>
              </w:rPr>
              <w:t>UNDEFINED_RESULT</w:t>
            </w:r>
          </w:p>
        </w:tc>
        <w:tc>
          <w:tcPr>
            <w:tcW w:type="dxa" w:w="3098"/>
            <w:vAlign w:val="center"/>
            <w:shd w:fill="FFFFFF"/>
          </w:tcPr>
          <w:p>
            <w:pPr>
              <w:spacing w:after="20" w:before="20" w:line="247" w:lineRule="auto"/>
            </w:pPr>
            <w:r>
              <w:rPr>
                <w:b w:val="0"/>
                <w:i w:val="0"/>
                <w:sz w:val="20"/>
              </w:rPr>
              <w:t>No valid arithmetic result</w:t>
            </w:r>
          </w:p>
        </w:tc>
        <w:tc>
          <w:tcPr>
            <w:tcW w:type="dxa" w:w="3498"/>
            <w:vAlign w:val="center"/>
            <w:shd w:fill="FFFFFF"/>
          </w:tcPr>
          <w:p>
            <w:pPr>
              <w:spacing w:after="20" w:before="20" w:line="247" w:lineRule="auto"/>
            </w:pPr>
            <w:r>
              <w:rPr>
                <w:b w:val="0"/>
                <w:i w:val="0"/>
                <w:sz w:val="20"/>
              </w:rPr>
              <w:t>No fabricated zero, infinity or success</w:t>
            </w:r>
          </w:p>
        </w:tc>
      </w:tr>
      <w:tr>
        <w:trPr>
          <w:cantSplit/>
        </w:trPr>
        <w:tc>
          <w:tcPr>
            <w:tcW w:type="dxa" w:w="3398"/>
            <w:vAlign w:val="center"/>
            <w:shd w:fill="F4F6F8"/>
          </w:tcPr>
          <w:p>
            <w:pPr>
              <w:spacing w:after="20" w:before="20" w:line="247" w:lineRule="auto"/>
            </w:pPr>
            <w:r>
              <w:rPr>
                <w:b w:val="0"/>
                <w:i w:val="0"/>
                <w:sz w:val="20"/>
              </w:rPr>
              <w:t>LIMIT_EXCEEDED</w:t>
            </w:r>
          </w:p>
        </w:tc>
        <w:tc>
          <w:tcPr>
            <w:tcW w:type="dxa" w:w="3098"/>
            <w:vAlign w:val="center"/>
            <w:shd w:fill="F4F6F8"/>
          </w:tcPr>
          <w:p>
            <w:pPr>
              <w:spacing w:after="20" w:before="20" w:line="247" w:lineRule="auto"/>
            </w:pPr>
            <w:r>
              <w:rPr>
                <w:b w:val="0"/>
                <w:i w:val="0"/>
                <w:sz w:val="20"/>
              </w:rPr>
              <w:t>Object, quota or admission limit reached</w:t>
            </w:r>
          </w:p>
        </w:tc>
        <w:tc>
          <w:tcPr>
            <w:tcW w:type="dxa" w:w="3498"/>
            <w:vAlign w:val="center"/>
            <w:shd w:fill="F4F6F8"/>
          </w:tcPr>
          <w:p>
            <w:pPr>
              <w:spacing w:after="20" w:before="20" w:line="247" w:lineRule="auto"/>
            </w:pPr>
            <w:r>
              <w:rPr>
                <w:b w:val="0"/>
                <w:i w:val="0"/>
                <w:sz w:val="20"/>
              </w:rPr>
              <w:t>Return applicable limit and retry or split guidance</w:t>
            </w:r>
          </w:p>
        </w:tc>
      </w:tr>
      <w:tr>
        <w:trPr>
          <w:cantSplit/>
        </w:trPr>
        <w:tc>
          <w:tcPr>
            <w:tcW w:type="dxa" w:w="3398"/>
            <w:vAlign w:val="center"/>
            <w:shd w:fill="FFFFFF"/>
          </w:tcPr>
          <w:p>
            <w:pPr>
              <w:spacing w:after="20" w:before="20" w:line="247" w:lineRule="auto"/>
            </w:pPr>
            <w:r>
              <w:rPr>
                <w:b w:val="0"/>
                <w:i w:val="0"/>
                <w:sz w:val="20"/>
              </w:rPr>
              <w:t>DEPENDENCY_UNAVAILABLE</w:t>
            </w:r>
          </w:p>
        </w:tc>
        <w:tc>
          <w:tcPr>
            <w:tcW w:type="dxa" w:w="3098"/>
            <w:vAlign w:val="center"/>
            <w:shd w:fill="FFFFFF"/>
          </w:tcPr>
          <w:p>
            <w:pPr>
              <w:spacing w:after="20" w:before="20" w:line="247" w:lineRule="auto"/>
            </w:pPr>
            <w:r>
              <w:rPr>
                <w:b w:val="0"/>
                <w:i w:val="0"/>
                <w:sz w:val="20"/>
              </w:rPr>
              <w:t>External or internal function unavailable</w:t>
            </w:r>
          </w:p>
        </w:tc>
        <w:tc>
          <w:tcPr>
            <w:tcW w:type="dxa" w:w="3498"/>
            <w:vAlign w:val="center"/>
            <w:shd w:fill="FFFFFF"/>
          </w:tcPr>
          <w:p>
            <w:pPr>
              <w:spacing w:after="20" w:before="20" w:line="247" w:lineRule="auto"/>
            </w:pPr>
            <w:r>
              <w:rPr>
                <w:b w:val="0"/>
                <w:i w:val="0"/>
                <w:sz w:val="20"/>
              </w:rPr>
              <w:t>Preserve work and expose a bounded retry state</w:t>
            </w:r>
          </w:p>
        </w:tc>
      </w:tr>
      <w:tr>
        <w:trPr>
          <w:cantSplit/>
        </w:trPr>
        <w:tc>
          <w:tcPr>
            <w:tcW w:type="dxa" w:w="3398"/>
            <w:vAlign w:val="center"/>
            <w:shd w:fill="F4F6F8"/>
          </w:tcPr>
          <w:p>
            <w:pPr>
              <w:spacing w:after="20" w:before="20" w:line="247" w:lineRule="auto"/>
            </w:pPr>
            <w:r>
              <w:rPr>
                <w:b w:val="0"/>
                <w:i w:val="0"/>
                <w:sz w:val="20"/>
              </w:rPr>
              <w:t>QUARANTINED</w:t>
            </w:r>
          </w:p>
        </w:tc>
        <w:tc>
          <w:tcPr>
            <w:tcW w:type="dxa" w:w="3098"/>
            <w:vAlign w:val="center"/>
            <w:shd w:fill="F4F6F8"/>
          </w:tcPr>
          <w:p>
            <w:pPr>
              <w:spacing w:after="20" w:before="20" w:line="247" w:lineRule="auto"/>
            </w:pPr>
            <w:r>
              <w:rPr>
                <w:b w:val="0"/>
                <w:i w:val="0"/>
                <w:sz w:val="20"/>
              </w:rPr>
              <w:t>Received content held for version security or quality review</w:t>
            </w:r>
          </w:p>
        </w:tc>
        <w:tc>
          <w:tcPr>
            <w:tcW w:type="dxa" w:w="3498"/>
            <w:vAlign w:val="center"/>
            <w:shd w:fill="F4F6F8"/>
          </w:tcPr>
          <w:p>
            <w:pPr>
              <w:spacing w:after="20" w:before="20" w:line="247" w:lineRule="auto"/>
            </w:pPr>
            <w:r>
              <w:rPr>
                <w:b w:val="0"/>
                <w:i w:val="0"/>
                <w:sz w:val="20"/>
              </w:rPr>
              <w:t>Restricted case route; no official contribution</w:t>
            </w:r>
          </w:p>
        </w:tc>
      </w:tr>
      <w:tr>
        <w:trPr>
          <w:cantSplit/>
        </w:trPr>
        <w:tc>
          <w:tcPr>
            <w:tcW w:type="dxa" w:w="3398"/>
            <w:vAlign w:val="center"/>
            <w:shd w:fill="FFFFFF"/>
          </w:tcPr>
          <w:p>
            <w:pPr>
              <w:spacing w:after="20" w:before="20" w:line="247" w:lineRule="auto"/>
            </w:pPr>
            <w:r>
              <w:rPr>
                <w:b w:val="0"/>
                <w:i w:val="0"/>
                <w:sz w:val="20"/>
              </w:rPr>
              <w:t>EXPIRED_GRANT</w:t>
            </w:r>
          </w:p>
        </w:tc>
        <w:tc>
          <w:tcPr>
            <w:tcW w:type="dxa" w:w="3098"/>
            <w:vAlign w:val="center"/>
            <w:shd w:fill="FFFFFF"/>
          </w:tcPr>
          <w:p>
            <w:pPr>
              <w:spacing w:after="20" w:before="20" w:line="247" w:lineRule="auto"/>
            </w:pPr>
            <w:r>
              <w:rPr>
                <w:b w:val="0"/>
                <w:i w:val="0"/>
                <w:sz w:val="20"/>
              </w:rPr>
              <w:t>Offline, external or delegated authority expired</w:t>
            </w:r>
          </w:p>
        </w:tc>
        <w:tc>
          <w:tcPr>
            <w:tcW w:type="dxa" w:w="3498"/>
            <w:vAlign w:val="center"/>
            <w:shd w:fill="FFFFFF"/>
          </w:tcPr>
          <w:p>
            <w:pPr>
              <w:spacing w:after="20" w:before="20" w:line="247" w:lineRule="auto"/>
            </w:pPr>
            <w:r>
              <w:rPr>
                <w:b w:val="0"/>
                <w:i w:val="0"/>
                <w:sz w:val="20"/>
              </w:rPr>
              <w:t>Renew only after current policy checks</w:t>
            </w:r>
          </w:p>
        </w:tc>
      </w:tr>
    </w:tbl>
    <w:p>
      <w:pPr>
        <w:keepNext w:val="0"/>
        <w:spacing w:after="60" w:line="240" w:lineRule="auto" w:before="0"/>
      </w:pPr>
      <w:r>
        <w:rPr>
          <w:b w:val="0"/>
          <w:i w:val="0"/>
          <w:sz w:val="2"/>
        </w:rPr>
      </w:r>
    </w:p>
    <w:p>
      <w:pPr>
        <w:pStyle w:val="Heading2"/>
      </w:pPr>
      <w:r>
        <w:rPr>
          <w:b w:val="0"/>
          <w:i w:val="0"/>
        </w:rPr>
        <w:t>2 8 SC08 Bulk commands and impact preview</w:t>
      </w:r>
    </w:p>
    <w:p>
      <w:r>
        <w:rPr>
          <w:b w:val="0"/>
          <w:i w:val="0"/>
        </w:rPr>
        <w:t>Every bulk command identifies operation mode, candidate count, revision set, affected scopes and exclusions before confirmation. A preview expires after 30 minutes or any material input or policy change, whichever is earlier. Execution revalidates each candidate; preview is never a reservation of access. Bulk removal, replacement, access expansion and recalculation affecting approved results require reason and the applicable approval. A user can download a permitted outcome manifest and retry selected failed items with the same business identities.</w:t>
      </w:r>
    </w:p>
    <w:p>
      <w:bookmarkStart w:id="3" w:name="sec_3"/>
      <w:pPr>
        <w:pStyle w:val="Heading1"/>
      </w:pPr>
      <w:r>
        <w:rPr>
          <w:b w:val="0"/>
          <w:i w:val="0"/>
        </w:rPr>
        <w:t>3 Identity permissions and independent approval</w:t>
      </w:r>
      <w:bookmarkEnd w:id="3"/>
    </w:p>
    <w:p>
      <w:pPr>
        <w:pStyle w:val="Heading2"/>
      </w:pPr>
      <w:r>
        <w:rPr>
          <w:b w:val="0"/>
          <w:i w:val="0"/>
        </w:rPr>
        <w:t>3 1 Capability catalogue</w:t>
      </w:r>
    </w:p>
    <w:p>
      <w:r>
        <w:rPr>
          <w:b w:val="0"/>
          <w:i w:val="0"/>
        </w:rPr>
        <w:t>Capabilities are separate from role names. A grant records subject, capability, scope, field restrictions, start, expiry, purpose, issuer and approval where required. Scope can include explicit project sets, partner owned records, assigned collection tasks or approved disclosure artifacts. Organisational hierarchy does not automatically confer data hierarchy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Capability group</w:t>
            </w:r>
          </w:p>
        </w:tc>
        <w:tc>
          <w:tcPr>
            <w:tcW w:type="dxa" w:w="4297"/>
            <w:vAlign w:val="center"/>
            <w:shd w:fill="233B53"/>
          </w:tcPr>
          <w:p>
            <w:pPr>
              <w:spacing w:after="20" w:before="20" w:line="247" w:lineRule="auto"/>
            </w:pPr>
            <w:r>
              <w:rPr>
                <w:b/>
                <w:i w:val="0"/>
                <w:color w:val="FFFFFF"/>
                <w:sz w:val="20"/>
              </w:rPr>
              <w:t>Independently grantable actions</w:t>
            </w:r>
          </w:p>
        </w:tc>
        <w:tc>
          <w:tcPr>
            <w:tcW w:type="dxa" w:w="3498"/>
            <w:vAlign w:val="center"/>
            <w:shd w:fill="233B53"/>
          </w:tcPr>
          <w:p>
            <w:pPr>
              <w:spacing w:after="20" w:before="20" w:line="247" w:lineRule="auto"/>
            </w:pPr>
            <w:r>
              <w:rPr>
                <w:b/>
                <w:i w:val="0"/>
                <w:color w:val="FFFFFF"/>
                <w:sz w:val="20"/>
              </w:rPr>
              <w:t>Mandatory constraints</w:t>
            </w:r>
          </w:p>
        </w:tc>
      </w:tr>
      <w:tr>
        <w:trPr>
          <w:cantSplit/>
        </w:trPr>
        <w:tc>
          <w:tcPr>
            <w:tcW w:type="dxa" w:w="2199"/>
            <w:vAlign w:val="center"/>
            <w:shd w:fill="FFFFFF"/>
          </w:tcPr>
          <w:p>
            <w:pPr>
              <w:spacing w:after="20" w:before="20" w:line="247" w:lineRule="auto"/>
            </w:pPr>
            <w:r>
              <w:rPr>
                <w:b w:val="0"/>
                <w:i w:val="0"/>
                <w:sz w:val="20"/>
              </w:rPr>
              <w:t>Tenant</w:t>
            </w:r>
          </w:p>
        </w:tc>
        <w:tc>
          <w:tcPr>
            <w:tcW w:type="dxa" w:w="4297"/>
            <w:vAlign w:val="center"/>
            <w:shd w:fill="FFFFFF"/>
          </w:tcPr>
          <w:p>
            <w:pPr>
              <w:spacing w:after="20" w:before="20" w:line="247" w:lineRule="auto"/>
            </w:pPr>
            <w:r>
              <w:rPr>
                <w:b w:val="0"/>
                <w:i w:val="0"/>
                <w:sz w:val="20"/>
              </w:rPr>
              <w:t>tenant.configure, tenant.lifecycle, tenant.owner.transfer</w:t>
            </w:r>
          </w:p>
        </w:tc>
        <w:tc>
          <w:tcPr>
            <w:tcW w:type="dxa" w:w="3498"/>
            <w:vAlign w:val="center"/>
            <w:shd w:fill="FFFFFF"/>
          </w:tcPr>
          <w:p>
            <w:pPr>
              <w:spacing w:after="20" w:before="20" w:line="247" w:lineRule="auto"/>
            </w:pPr>
            <w:r>
              <w:rPr>
                <w:b w:val="0"/>
                <w:i w:val="0"/>
                <w:sz w:val="20"/>
              </w:rPr>
              <w:t>Last owner protected; operator and customer rights distinct</w:t>
            </w:r>
          </w:p>
        </w:tc>
      </w:tr>
      <w:tr>
        <w:trPr>
          <w:cantSplit/>
        </w:trPr>
        <w:tc>
          <w:tcPr>
            <w:tcW w:type="dxa" w:w="2199"/>
            <w:vAlign w:val="center"/>
            <w:shd w:fill="F4F6F8"/>
          </w:tcPr>
          <w:p>
            <w:pPr>
              <w:spacing w:after="20" w:before="20" w:line="247" w:lineRule="auto"/>
            </w:pPr>
            <w:r>
              <w:rPr>
                <w:b w:val="0"/>
                <w:i w:val="0"/>
                <w:sz w:val="20"/>
              </w:rPr>
              <w:t>Identity</w:t>
            </w:r>
          </w:p>
        </w:tc>
        <w:tc>
          <w:tcPr>
            <w:tcW w:type="dxa" w:w="4297"/>
            <w:vAlign w:val="center"/>
            <w:shd w:fill="F4F6F8"/>
          </w:tcPr>
          <w:p>
            <w:pPr>
              <w:spacing w:after="20" w:before="20" w:line="247" w:lineRule="auto"/>
            </w:pPr>
            <w:r>
              <w:rPr>
                <w:b w:val="0"/>
                <w:i w:val="0"/>
                <w:sz w:val="20"/>
              </w:rPr>
              <w:t>member.invite, member.manage, grant.manage, identity.policy, access.review</w:t>
            </w:r>
          </w:p>
        </w:tc>
        <w:tc>
          <w:tcPr>
            <w:tcW w:type="dxa" w:w="3498"/>
            <w:vAlign w:val="center"/>
            <w:shd w:fill="F4F6F8"/>
          </w:tcPr>
          <w:p>
            <w:pPr>
              <w:spacing w:after="20" w:before="20" w:line="247" w:lineRule="auto"/>
            </w:pPr>
            <w:r>
              <w:rPr>
                <w:b w:val="0"/>
                <w:i w:val="0"/>
                <w:sz w:val="20"/>
              </w:rPr>
              <w:t>Delegate only authorised capabilities; no self elevation</w:t>
            </w:r>
          </w:p>
        </w:tc>
      </w:tr>
      <w:tr>
        <w:trPr>
          <w:cantSplit/>
        </w:trPr>
        <w:tc>
          <w:tcPr>
            <w:tcW w:type="dxa" w:w="2199"/>
            <w:vAlign w:val="center"/>
            <w:shd w:fill="FFFFFF"/>
          </w:tcPr>
          <w:p>
            <w:pPr>
              <w:spacing w:after="20" w:before="20" w:line="247" w:lineRule="auto"/>
            </w:pPr>
            <w:r>
              <w:rPr>
                <w:b w:val="0"/>
                <w:i w:val="0"/>
                <w:sz w:val="20"/>
              </w:rPr>
              <w:t>Planning</w:t>
            </w:r>
          </w:p>
        </w:tc>
        <w:tc>
          <w:tcPr>
            <w:tcW w:type="dxa" w:w="4297"/>
            <w:vAlign w:val="center"/>
            <w:shd w:fill="FFFFFF"/>
          </w:tcPr>
          <w:p>
            <w:pPr>
              <w:spacing w:after="20" w:before="20" w:line="247" w:lineRule="auto"/>
            </w:pPr>
            <w:r>
              <w:rPr>
                <w:b w:val="0"/>
                <w:i w:val="0"/>
                <w:sz w:val="20"/>
              </w:rPr>
              <w:t>programme.create, programme.edit, framework.edit, definition.edit, target.edit</w:t>
            </w:r>
          </w:p>
        </w:tc>
        <w:tc>
          <w:tcPr>
            <w:tcW w:type="dxa" w:w="3498"/>
            <w:vAlign w:val="center"/>
            <w:shd w:fill="FFFFFF"/>
          </w:tcPr>
          <w:p>
            <w:pPr>
              <w:spacing w:after="20" w:before="20" w:line="247" w:lineRule="auto"/>
            </w:pPr>
            <w:r>
              <w:rPr>
                <w:b w:val="0"/>
                <w:i w:val="0"/>
                <w:sz w:val="20"/>
              </w:rPr>
              <w:t>Material amendments create versions</w:t>
            </w:r>
          </w:p>
        </w:tc>
      </w:tr>
      <w:tr>
        <w:trPr>
          <w:cantSplit/>
        </w:trPr>
        <w:tc>
          <w:tcPr>
            <w:tcW w:type="dxa" w:w="2199"/>
            <w:vAlign w:val="center"/>
            <w:shd w:fill="F4F6F8"/>
          </w:tcPr>
          <w:p>
            <w:pPr>
              <w:spacing w:after="20" w:before="20" w:line="247" w:lineRule="auto"/>
            </w:pPr>
            <w:r>
              <w:rPr>
                <w:b w:val="0"/>
                <w:i w:val="0"/>
                <w:sz w:val="20"/>
              </w:rPr>
              <w:t>Data</w:t>
            </w:r>
          </w:p>
        </w:tc>
        <w:tc>
          <w:tcPr>
            <w:tcW w:type="dxa" w:w="4297"/>
            <w:vAlign w:val="center"/>
            <w:shd w:fill="F4F6F8"/>
          </w:tcPr>
          <w:p>
            <w:pPr>
              <w:spacing w:after="20" w:before="20" w:line="247" w:lineRule="auto"/>
            </w:pPr>
            <w:r>
              <w:rPr>
                <w:b w:val="0"/>
                <w:i w:val="0"/>
                <w:sz w:val="20"/>
              </w:rPr>
              <w:t>record.create, record.edit, dataset.import, transform.manage, issue.resolve</w:t>
            </w:r>
          </w:p>
        </w:tc>
        <w:tc>
          <w:tcPr>
            <w:tcW w:type="dxa" w:w="3498"/>
            <w:vAlign w:val="center"/>
            <w:shd w:fill="F4F6F8"/>
          </w:tcPr>
          <w:p>
            <w:pPr>
              <w:spacing w:after="20" w:before="20" w:line="247" w:lineRule="auto"/>
            </w:pPr>
            <w:r>
              <w:rPr>
                <w:b w:val="0"/>
                <w:i w:val="0"/>
                <w:sz w:val="20"/>
              </w:rPr>
              <w:t>Source preservation and explicit scope</w:t>
            </w:r>
          </w:p>
        </w:tc>
      </w:tr>
      <w:tr>
        <w:trPr>
          <w:cantSplit/>
        </w:trPr>
        <w:tc>
          <w:tcPr>
            <w:tcW w:type="dxa" w:w="2199"/>
            <w:vAlign w:val="center"/>
            <w:shd w:fill="FFFFFF"/>
          </w:tcPr>
          <w:p>
            <w:pPr>
              <w:spacing w:after="20" w:before="20" w:line="247" w:lineRule="auto"/>
            </w:pPr>
            <w:r>
              <w:rPr>
                <w:b w:val="0"/>
                <w:i w:val="0"/>
                <w:sz w:val="20"/>
              </w:rPr>
              <w:t>Sensitive data</w:t>
            </w:r>
          </w:p>
        </w:tc>
        <w:tc>
          <w:tcPr>
            <w:tcW w:type="dxa" w:w="4297"/>
            <w:vAlign w:val="center"/>
            <w:shd w:fill="FFFFFF"/>
          </w:tcPr>
          <w:p>
            <w:pPr>
              <w:spacing w:after="20" w:before="20" w:line="247" w:lineRule="auto"/>
            </w:pPr>
            <w:r>
              <w:rPr>
                <w:b w:val="0"/>
                <w:i w:val="0"/>
                <w:sz w:val="20"/>
              </w:rPr>
              <w:t>restricted.read, identity.read, location.precise, safeguarding.manage</w:t>
            </w:r>
          </w:p>
        </w:tc>
        <w:tc>
          <w:tcPr>
            <w:tcW w:type="dxa" w:w="3498"/>
            <w:vAlign w:val="center"/>
            <w:shd w:fill="FFFFFF"/>
          </w:tcPr>
          <w:p>
            <w:pPr>
              <w:spacing w:after="20" w:before="20" w:line="247" w:lineRule="auto"/>
            </w:pPr>
            <w:r>
              <w:rPr>
                <w:b w:val="0"/>
                <w:i w:val="0"/>
                <w:sz w:val="20"/>
              </w:rPr>
              <w:t>Purpose and classification checks in addition to read</w:t>
            </w:r>
          </w:p>
        </w:tc>
      </w:tr>
      <w:tr>
        <w:trPr>
          <w:cantSplit/>
        </w:trPr>
        <w:tc>
          <w:tcPr>
            <w:tcW w:type="dxa" w:w="2199"/>
            <w:vAlign w:val="center"/>
            <w:shd w:fill="F4F6F8"/>
          </w:tcPr>
          <w:p>
            <w:pPr>
              <w:spacing w:after="20" w:before="20" w:line="247" w:lineRule="auto"/>
            </w:pPr>
            <w:r>
              <w:rPr>
                <w:b w:val="0"/>
                <w:i w:val="0"/>
                <w:sz w:val="20"/>
              </w:rPr>
              <w:t>Evidence</w:t>
            </w:r>
          </w:p>
        </w:tc>
        <w:tc>
          <w:tcPr>
            <w:tcW w:type="dxa" w:w="4297"/>
            <w:vAlign w:val="center"/>
            <w:shd w:fill="F4F6F8"/>
          </w:tcPr>
          <w:p>
            <w:pPr>
              <w:spacing w:after="20" w:before="20" w:line="247" w:lineRule="auto"/>
            </w:pPr>
            <w:r>
              <w:rPr>
                <w:b w:val="0"/>
                <w:i w:val="0"/>
                <w:sz w:val="20"/>
              </w:rPr>
              <w:t>evidence.upload, evidence.read, evidence.verify, evidence.redact</w:t>
            </w:r>
          </w:p>
        </w:tc>
        <w:tc>
          <w:tcPr>
            <w:tcW w:type="dxa" w:w="3498"/>
            <w:vAlign w:val="center"/>
            <w:shd w:fill="F4F6F8"/>
          </w:tcPr>
          <w:p>
            <w:pPr>
              <w:spacing w:after="20" w:before="20" w:line="247" w:lineRule="auto"/>
            </w:pPr>
            <w:r>
              <w:rPr>
                <w:b w:val="0"/>
                <w:i w:val="0"/>
                <w:sz w:val="20"/>
              </w:rPr>
              <w:t>File scanning and separate source rights</w:t>
            </w:r>
          </w:p>
        </w:tc>
      </w:tr>
      <w:tr>
        <w:trPr>
          <w:cantSplit/>
        </w:trPr>
        <w:tc>
          <w:tcPr>
            <w:tcW w:type="dxa" w:w="2199"/>
            <w:vAlign w:val="center"/>
            <w:shd w:fill="FFFFFF"/>
          </w:tcPr>
          <w:p>
            <w:pPr>
              <w:spacing w:after="20" w:before="20" w:line="247" w:lineRule="auto"/>
            </w:pPr>
            <w:r>
              <w:rPr>
                <w:b w:val="0"/>
                <w:i w:val="0"/>
                <w:sz w:val="20"/>
              </w:rPr>
              <w:t>Governance</w:t>
            </w:r>
          </w:p>
        </w:tc>
        <w:tc>
          <w:tcPr>
            <w:tcW w:type="dxa" w:w="4297"/>
            <w:vAlign w:val="center"/>
            <w:shd w:fill="FFFFFF"/>
          </w:tcPr>
          <w:p>
            <w:pPr>
              <w:spacing w:after="20" w:before="20" w:line="247" w:lineRule="auto"/>
            </w:pPr>
            <w:r>
              <w:rPr>
                <w:b w:val="0"/>
                <w:i w:val="0"/>
                <w:sz w:val="20"/>
              </w:rPr>
              <w:t>definition.approve, data.approve, period.close, period.restate, finance.approve</w:t>
            </w:r>
          </w:p>
        </w:tc>
        <w:tc>
          <w:tcPr>
            <w:tcW w:type="dxa" w:w="3498"/>
            <w:vAlign w:val="center"/>
            <w:shd w:fill="FFFFFF"/>
          </w:tcPr>
          <w:p>
            <w:pPr>
              <w:spacing w:after="20" w:before="20" w:line="247" w:lineRule="auto"/>
            </w:pPr>
            <w:r>
              <w:rPr>
                <w:b w:val="0"/>
                <w:i w:val="0"/>
                <w:sz w:val="20"/>
              </w:rPr>
              <w:t>Independent reviewer and exact candidate version</w:t>
            </w:r>
          </w:p>
        </w:tc>
      </w:tr>
      <w:tr>
        <w:trPr>
          <w:cantSplit/>
        </w:trPr>
        <w:tc>
          <w:tcPr>
            <w:tcW w:type="dxa" w:w="2199"/>
            <w:vAlign w:val="center"/>
            <w:shd w:fill="F4F6F8"/>
          </w:tcPr>
          <w:p>
            <w:pPr>
              <w:spacing w:after="20" w:before="20" w:line="247" w:lineRule="auto"/>
            </w:pPr>
            <w:r>
              <w:rPr>
                <w:b w:val="0"/>
                <w:i w:val="0"/>
                <w:sz w:val="20"/>
              </w:rPr>
              <w:t>Outputs</w:t>
            </w:r>
          </w:p>
        </w:tc>
        <w:tc>
          <w:tcPr>
            <w:tcW w:type="dxa" w:w="4297"/>
            <w:vAlign w:val="center"/>
            <w:shd w:fill="F4F6F8"/>
          </w:tcPr>
          <w:p>
            <w:pPr>
              <w:spacing w:after="20" w:before="20" w:line="247" w:lineRule="auto"/>
            </w:pPr>
            <w:r>
              <w:rPr>
                <w:b w:val="0"/>
                <w:i w:val="0"/>
                <w:sz w:val="20"/>
              </w:rPr>
              <w:t>dashboard.edit, report.edit, report.approve, report.publish, public.disclose</w:t>
            </w:r>
          </w:p>
        </w:tc>
        <w:tc>
          <w:tcPr>
            <w:tcW w:type="dxa" w:w="3498"/>
            <w:vAlign w:val="center"/>
            <w:shd w:fill="F4F6F8"/>
          </w:tcPr>
          <w:p>
            <w:pPr>
              <w:spacing w:after="20" w:before="20" w:line="247" w:lineRule="auto"/>
            </w:pPr>
            <w:r>
              <w:rPr>
                <w:b w:val="0"/>
                <w:i w:val="0"/>
                <w:sz w:val="20"/>
              </w:rPr>
              <w:t>Audience check; public disclosure separately reviewed</w:t>
            </w:r>
          </w:p>
        </w:tc>
      </w:tr>
      <w:tr>
        <w:trPr>
          <w:cantSplit/>
        </w:trPr>
        <w:tc>
          <w:tcPr>
            <w:tcW w:type="dxa" w:w="2199"/>
            <w:vAlign w:val="center"/>
            <w:shd w:fill="FFFFFF"/>
          </w:tcPr>
          <w:p>
            <w:pPr>
              <w:spacing w:after="20" w:before="20" w:line="247" w:lineRule="auto"/>
            </w:pPr>
            <w:r>
              <w:rPr>
                <w:b w:val="0"/>
                <w:i w:val="0"/>
                <w:sz w:val="20"/>
              </w:rPr>
              <w:t>Extraction</w:t>
            </w:r>
          </w:p>
        </w:tc>
        <w:tc>
          <w:tcPr>
            <w:tcW w:type="dxa" w:w="4297"/>
            <w:vAlign w:val="center"/>
            <w:shd w:fill="FFFFFF"/>
          </w:tcPr>
          <w:p>
            <w:pPr>
              <w:spacing w:after="20" w:before="20" w:line="247" w:lineRule="auto"/>
            </w:pPr>
            <w:r>
              <w:rPr>
                <w:b w:val="0"/>
                <w:i w:val="0"/>
                <w:sz w:val="20"/>
              </w:rPr>
              <w:t>data.export, evidence.download, tenant.export, audit.export</w:t>
            </w:r>
          </w:p>
        </w:tc>
        <w:tc>
          <w:tcPr>
            <w:tcW w:type="dxa" w:w="3498"/>
            <w:vAlign w:val="center"/>
            <w:shd w:fill="FFFFFF"/>
          </w:tcPr>
          <w:p>
            <w:pPr>
              <w:spacing w:after="20" w:before="20" w:line="247" w:lineRule="auto"/>
            </w:pPr>
            <w:r>
              <w:rPr>
                <w:b w:val="0"/>
                <w:i w:val="0"/>
                <w:sz w:val="20"/>
              </w:rPr>
              <w:t>Export is not implied by read</w:t>
            </w:r>
          </w:p>
        </w:tc>
      </w:tr>
      <w:tr>
        <w:trPr>
          <w:cantSplit/>
        </w:trPr>
        <w:tc>
          <w:tcPr>
            <w:tcW w:type="dxa" w:w="2199"/>
            <w:vAlign w:val="center"/>
            <w:shd w:fill="F4F6F8"/>
          </w:tcPr>
          <w:p>
            <w:pPr>
              <w:spacing w:after="20" w:before="20" w:line="247" w:lineRule="auto"/>
            </w:pPr>
            <w:r>
              <w:rPr>
                <w:b w:val="0"/>
                <w:i w:val="0"/>
                <w:sz w:val="20"/>
              </w:rPr>
              <w:t>Integration</w:t>
            </w:r>
          </w:p>
        </w:tc>
        <w:tc>
          <w:tcPr>
            <w:tcW w:type="dxa" w:w="4297"/>
            <w:vAlign w:val="center"/>
            <w:shd w:fill="F4F6F8"/>
          </w:tcPr>
          <w:p>
            <w:pPr>
              <w:spacing w:after="20" w:before="20" w:line="247" w:lineRule="auto"/>
            </w:pPr>
            <w:r>
              <w:rPr>
                <w:b w:val="0"/>
                <w:i w:val="0"/>
                <w:sz w:val="20"/>
              </w:rPr>
              <w:t>connection.manage, service.manage, api.read, api.write, webhook.manage</w:t>
            </w:r>
          </w:p>
        </w:tc>
        <w:tc>
          <w:tcPr>
            <w:tcW w:type="dxa" w:w="3498"/>
            <w:vAlign w:val="center"/>
            <w:shd w:fill="F4F6F8"/>
          </w:tcPr>
          <w:p>
            <w:pPr>
              <w:spacing w:after="20" w:before="20" w:line="247" w:lineRule="auto"/>
            </w:pPr>
            <w:r>
              <w:rPr>
                <w:b w:val="0"/>
                <w:i w:val="0"/>
                <w:sz w:val="20"/>
              </w:rPr>
              <w:t>Service owner, scopes and expiry</w:t>
            </w:r>
          </w:p>
        </w:tc>
      </w:tr>
      <w:tr>
        <w:trPr>
          <w:cantSplit/>
        </w:trPr>
        <w:tc>
          <w:tcPr>
            <w:tcW w:type="dxa" w:w="2199"/>
            <w:vAlign w:val="center"/>
            <w:shd w:fill="FFFFFF"/>
          </w:tcPr>
          <w:p>
            <w:pPr>
              <w:spacing w:after="20" w:before="20" w:line="247" w:lineRule="auto"/>
            </w:pPr>
            <w:r>
              <w:rPr>
                <w:b w:val="0"/>
                <w:i w:val="0"/>
                <w:sz w:val="20"/>
              </w:rPr>
              <w:t>AI</w:t>
            </w:r>
          </w:p>
        </w:tc>
        <w:tc>
          <w:tcPr>
            <w:tcW w:type="dxa" w:w="4297"/>
            <w:vAlign w:val="center"/>
            <w:shd w:fill="FFFFFF"/>
          </w:tcPr>
          <w:p>
            <w:pPr>
              <w:spacing w:after="20" w:before="20" w:line="247" w:lineRule="auto"/>
            </w:pPr>
            <w:r>
              <w:rPr>
                <w:b w:val="0"/>
                <w:i w:val="0"/>
                <w:sz w:val="20"/>
              </w:rPr>
              <w:t>ai.use, ai.configure, ai.proposal.apply, ai.evaluate</w:t>
            </w:r>
          </w:p>
        </w:tc>
        <w:tc>
          <w:tcPr>
            <w:tcW w:type="dxa" w:w="3498"/>
            <w:vAlign w:val="center"/>
            <w:shd w:fill="FFFFFF"/>
          </w:tcPr>
          <w:p>
            <w:pPr>
              <w:spacing w:after="20" w:before="20" w:line="247" w:lineRule="auto"/>
            </w:pPr>
            <w:r>
              <w:rPr>
                <w:b w:val="0"/>
                <w:i w:val="0"/>
                <w:sz w:val="20"/>
              </w:rPr>
              <w:t>No capability to bypass domain approval</w:t>
            </w:r>
          </w:p>
        </w:tc>
      </w:tr>
      <w:tr>
        <w:trPr>
          <w:cantSplit/>
        </w:trPr>
        <w:tc>
          <w:tcPr>
            <w:tcW w:type="dxa" w:w="2199"/>
            <w:vAlign w:val="center"/>
            <w:shd w:fill="F4F6F8"/>
          </w:tcPr>
          <w:p>
            <w:pPr>
              <w:spacing w:after="20" w:before="20" w:line="247" w:lineRule="auto"/>
            </w:pPr>
            <w:r>
              <w:rPr>
                <w:b w:val="0"/>
                <w:i w:val="0"/>
                <w:sz w:val="20"/>
              </w:rPr>
              <w:t>Privacy</w:t>
            </w:r>
          </w:p>
        </w:tc>
        <w:tc>
          <w:tcPr>
            <w:tcW w:type="dxa" w:w="4297"/>
            <w:vAlign w:val="center"/>
            <w:shd w:fill="F4F6F8"/>
          </w:tcPr>
          <w:p>
            <w:pPr>
              <w:spacing w:after="20" w:before="20" w:line="247" w:lineRule="auto"/>
            </w:pPr>
            <w:r>
              <w:rPr>
                <w:b w:val="0"/>
                <w:i w:val="0"/>
                <w:sz w:val="20"/>
              </w:rPr>
              <w:t>privacy.request.manage, hold.manage, retention.manage, disclosure.manage</w:t>
            </w:r>
          </w:p>
        </w:tc>
        <w:tc>
          <w:tcPr>
            <w:tcW w:type="dxa" w:w="3498"/>
            <w:vAlign w:val="center"/>
            <w:shd w:fill="F4F6F8"/>
          </w:tcPr>
          <w:p>
            <w:pPr>
              <w:spacing w:after="20" w:before="20" w:line="247" w:lineRule="auto"/>
            </w:pPr>
            <w:r>
              <w:rPr>
                <w:b w:val="0"/>
                <w:i w:val="0"/>
                <w:sz w:val="20"/>
              </w:rPr>
              <w:t>No unilateral removal of mandatory holds</w:t>
            </w:r>
          </w:p>
        </w:tc>
      </w:tr>
      <w:tr>
        <w:trPr>
          <w:cantSplit/>
        </w:trPr>
        <w:tc>
          <w:tcPr>
            <w:tcW w:type="dxa" w:w="2199"/>
            <w:vAlign w:val="center"/>
            <w:shd w:fill="FFFFFF"/>
          </w:tcPr>
          <w:p>
            <w:pPr>
              <w:spacing w:after="20" w:before="20" w:line="247" w:lineRule="auto"/>
            </w:pPr>
            <w:r>
              <w:rPr>
                <w:b w:val="0"/>
                <w:i w:val="0"/>
                <w:sz w:val="20"/>
              </w:rPr>
              <w:t>Operations</w:t>
            </w:r>
          </w:p>
        </w:tc>
        <w:tc>
          <w:tcPr>
            <w:tcW w:type="dxa" w:w="4297"/>
            <w:vAlign w:val="center"/>
            <w:shd w:fill="FFFFFF"/>
          </w:tcPr>
          <w:p>
            <w:pPr>
              <w:spacing w:after="20" w:before="20" w:line="247" w:lineRule="auto"/>
            </w:pPr>
            <w:r>
              <w:rPr>
                <w:b w:val="0"/>
                <w:i w:val="0"/>
                <w:sz w:val="20"/>
              </w:rPr>
              <w:t>support.case, support.access.approve, ops.elevate, release.approve</w:t>
            </w:r>
          </w:p>
        </w:tc>
        <w:tc>
          <w:tcPr>
            <w:tcW w:type="dxa" w:w="3498"/>
            <w:vAlign w:val="center"/>
            <w:shd w:fill="FFFFFF"/>
          </w:tcPr>
          <w:p>
            <w:pPr>
              <w:spacing w:after="20" w:before="20" w:line="247" w:lineRule="auto"/>
            </w:pPr>
            <w:r>
              <w:rPr>
                <w:b w:val="0"/>
                <w:i w:val="0"/>
                <w:sz w:val="20"/>
              </w:rPr>
              <w:t>Individually attributable and time bounded</w:t>
            </w:r>
          </w:p>
        </w:tc>
      </w:tr>
    </w:tbl>
    <w:p>
      <w:pPr>
        <w:keepNext w:val="0"/>
        <w:spacing w:after="60" w:line="240" w:lineRule="auto" w:before="0"/>
      </w:pPr>
      <w:r>
        <w:rPr>
          <w:b w:val="0"/>
          <w:i w:val="0"/>
          <w:sz w:val="2"/>
        </w:rPr>
      </w:r>
    </w:p>
    <w:p>
      <w:pPr>
        <w:pStyle w:val="Heading2"/>
      </w:pPr>
      <w:r>
        <w:rPr>
          <w:b w:val="0"/>
          <w:i w:val="0"/>
        </w:rPr>
        <w:t>3 2 Role templates</w:t>
      </w:r>
    </w:p>
    <w:p>
      <w:r>
        <w:rPr>
          <w:b w:val="0"/>
          <w:i w:val="0"/>
        </w:rPr>
        <w:t>These templates are starting grants. Programme scope and sensitive fields must still be assigned. A person may have several templates; a denial or independence restriction takes precedence over their union. The platform displays the resulting permission explanation, not only template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Role</w:t>
            </w:r>
          </w:p>
        </w:tc>
        <w:tc>
          <w:tcPr>
            <w:tcW w:type="dxa" w:w="4297"/>
            <w:vAlign w:val="center"/>
            <w:shd w:fill="233B53"/>
          </w:tcPr>
          <w:p>
            <w:pPr>
              <w:spacing w:after="20" w:before="20" w:line="247" w:lineRule="auto"/>
            </w:pPr>
            <w:r>
              <w:rPr>
                <w:b/>
                <w:i w:val="0"/>
                <w:color w:val="FFFFFF"/>
                <w:sz w:val="20"/>
              </w:rPr>
              <w:t>Default capabilities</w:t>
            </w:r>
          </w:p>
        </w:tc>
        <w:tc>
          <w:tcPr>
            <w:tcW w:type="dxa" w:w="3498"/>
            <w:vAlign w:val="center"/>
            <w:shd w:fill="233B53"/>
          </w:tcPr>
          <w:p>
            <w:pPr>
              <w:spacing w:after="20" w:before="20" w:line="247" w:lineRule="auto"/>
            </w:pPr>
            <w:r>
              <w:rPr>
                <w:b/>
                <w:i w:val="0"/>
                <w:color w:val="FFFFFF"/>
                <w:sz w:val="20"/>
              </w:rPr>
              <w:t>Explicitly absent unless separately granted</w:t>
            </w:r>
          </w:p>
        </w:tc>
      </w:tr>
      <w:tr>
        <w:trPr>
          <w:cantSplit/>
        </w:trPr>
        <w:tc>
          <w:tcPr>
            <w:tcW w:type="dxa" w:w="2199"/>
            <w:vAlign w:val="center"/>
            <w:shd w:fill="FFFFFF"/>
          </w:tcPr>
          <w:p>
            <w:pPr>
              <w:spacing w:after="20" w:before="20" w:line="247" w:lineRule="auto"/>
            </w:pPr>
            <w:r>
              <w:rPr>
                <w:b w:val="0"/>
                <w:i w:val="0"/>
                <w:sz w:val="20"/>
              </w:rPr>
              <w:t>Owner</w:t>
            </w:r>
          </w:p>
        </w:tc>
        <w:tc>
          <w:tcPr>
            <w:tcW w:type="dxa" w:w="4297"/>
            <w:vAlign w:val="center"/>
            <w:shd w:fill="FFFFFF"/>
          </w:tcPr>
          <w:p>
            <w:pPr>
              <w:spacing w:after="20" w:before="20" w:line="247" w:lineRule="auto"/>
            </w:pPr>
            <w:r>
              <w:rPr>
                <w:b w:val="0"/>
                <w:i w:val="0"/>
                <w:sz w:val="20"/>
              </w:rPr>
              <w:t>Account custody, delegated identity administration, policy approval, exit initiation</w:t>
            </w:r>
          </w:p>
        </w:tc>
        <w:tc>
          <w:tcPr>
            <w:tcW w:type="dxa" w:w="3498"/>
            <w:vAlign w:val="center"/>
            <w:shd w:fill="FFFFFF"/>
          </w:tcPr>
          <w:p>
            <w:pPr>
              <w:spacing w:after="20" w:before="20" w:line="247" w:lineRule="auto"/>
            </w:pPr>
            <w:r>
              <w:rPr>
                <w:b w:val="0"/>
                <w:i w:val="0"/>
                <w:sz w:val="20"/>
              </w:rPr>
              <w:t>Participant identity, bulk data export, data approval, public publication</w:t>
            </w:r>
          </w:p>
        </w:tc>
      </w:tr>
      <w:tr>
        <w:trPr>
          <w:cantSplit/>
        </w:trPr>
        <w:tc>
          <w:tcPr>
            <w:tcW w:type="dxa" w:w="2199"/>
            <w:vAlign w:val="center"/>
            <w:shd w:fill="F4F6F8"/>
          </w:tcPr>
          <w:p>
            <w:pPr>
              <w:spacing w:after="20" w:before="20" w:line="247" w:lineRule="auto"/>
            </w:pPr>
            <w:r>
              <w:rPr>
                <w:b w:val="0"/>
                <w:i w:val="0"/>
                <w:sz w:val="20"/>
              </w:rPr>
              <w:t>Identity administrator</w:t>
            </w:r>
          </w:p>
        </w:tc>
        <w:tc>
          <w:tcPr>
            <w:tcW w:type="dxa" w:w="4297"/>
            <w:vAlign w:val="center"/>
            <w:shd w:fill="F4F6F8"/>
          </w:tcPr>
          <w:p>
            <w:pPr>
              <w:spacing w:after="20" w:before="20" w:line="247" w:lineRule="auto"/>
            </w:pPr>
            <w:r>
              <w:rPr>
                <w:b w:val="0"/>
                <w:i w:val="0"/>
                <w:sz w:val="20"/>
              </w:rPr>
              <w:t>Scoped invitations, memberships, permitted groups and grants</w:t>
            </w:r>
          </w:p>
        </w:tc>
        <w:tc>
          <w:tcPr>
            <w:tcW w:type="dxa" w:w="3498"/>
            <w:vAlign w:val="center"/>
            <w:shd w:fill="F4F6F8"/>
          </w:tcPr>
          <w:p>
            <w:pPr>
              <w:spacing w:after="20" w:before="20" w:line="247" w:lineRule="auto"/>
            </w:pPr>
            <w:r>
              <w:rPr>
                <w:b w:val="0"/>
                <w:i w:val="0"/>
                <w:sz w:val="20"/>
              </w:rPr>
              <w:t>Programme content and own privilege elevation</w:t>
            </w:r>
          </w:p>
        </w:tc>
      </w:tr>
      <w:tr>
        <w:trPr>
          <w:cantSplit/>
        </w:trPr>
        <w:tc>
          <w:tcPr>
            <w:tcW w:type="dxa" w:w="2199"/>
            <w:vAlign w:val="center"/>
            <w:shd w:fill="FFFFFF"/>
          </w:tcPr>
          <w:p>
            <w:pPr>
              <w:spacing w:after="20" w:before="20" w:line="247" w:lineRule="auto"/>
            </w:pPr>
            <w:r>
              <w:rPr>
                <w:b w:val="0"/>
                <w:i w:val="0"/>
                <w:sz w:val="20"/>
              </w:rPr>
              <w:t>MEL administrator</w:t>
            </w:r>
          </w:p>
        </w:tc>
        <w:tc>
          <w:tcPr>
            <w:tcW w:type="dxa" w:w="4297"/>
            <w:vAlign w:val="center"/>
            <w:shd w:fill="FFFFFF"/>
          </w:tcPr>
          <w:p>
            <w:pPr>
              <w:spacing w:after="20" w:before="20" w:line="247" w:lineRule="auto"/>
            </w:pPr>
            <w:r>
              <w:rPr>
                <w:b w:val="0"/>
                <w:i w:val="0"/>
                <w:sz w:val="20"/>
              </w:rPr>
              <w:t>Frameworks, definitions, rules, libraries and quality review</w:t>
            </w:r>
          </w:p>
        </w:tc>
        <w:tc>
          <w:tcPr>
            <w:tcW w:type="dxa" w:w="3498"/>
            <w:vAlign w:val="center"/>
            <w:shd w:fill="FFFFFF"/>
          </w:tcPr>
          <w:p>
            <w:pPr>
              <w:spacing w:after="20" w:before="20" w:line="247" w:lineRule="auto"/>
            </w:pPr>
            <w:r>
              <w:rPr>
                <w:b w:val="0"/>
                <w:i w:val="0"/>
                <w:sz w:val="20"/>
              </w:rPr>
              <w:t>Approval of own definitions and automatic restricted identity access</w:t>
            </w:r>
          </w:p>
        </w:tc>
      </w:tr>
      <w:tr>
        <w:trPr>
          <w:cantSplit/>
        </w:trPr>
        <w:tc>
          <w:tcPr>
            <w:tcW w:type="dxa" w:w="2199"/>
            <w:vAlign w:val="center"/>
            <w:shd w:fill="F4F6F8"/>
          </w:tcPr>
          <w:p>
            <w:pPr>
              <w:spacing w:after="20" w:before="20" w:line="247" w:lineRule="auto"/>
            </w:pPr>
            <w:r>
              <w:rPr>
                <w:b w:val="0"/>
                <w:i w:val="0"/>
                <w:sz w:val="20"/>
              </w:rPr>
              <w:t>Programme manager</w:t>
            </w:r>
          </w:p>
        </w:tc>
        <w:tc>
          <w:tcPr>
            <w:tcW w:type="dxa" w:w="4297"/>
            <w:vAlign w:val="center"/>
            <w:shd w:fill="F4F6F8"/>
          </w:tcPr>
          <w:p>
            <w:pPr>
              <w:spacing w:after="20" w:before="20" w:line="247" w:lineRule="auto"/>
            </w:pPr>
            <w:r>
              <w:rPr>
                <w:b w:val="0"/>
                <w:i w:val="0"/>
                <w:sz w:val="20"/>
              </w:rPr>
              <w:t>Assigned project plans, work assignments, amendment proposals and reports</w:t>
            </w:r>
          </w:p>
        </w:tc>
        <w:tc>
          <w:tcPr>
            <w:tcW w:type="dxa" w:w="3498"/>
            <w:vAlign w:val="center"/>
            <w:shd w:fill="F4F6F8"/>
          </w:tcPr>
          <w:p>
            <w:pPr>
              <w:spacing w:after="20" w:before="20" w:line="247" w:lineRule="auto"/>
            </w:pPr>
            <w:r>
              <w:rPr>
                <w:b w:val="0"/>
                <w:i w:val="0"/>
                <w:sz w:val="20"/>
              </w:rPr>
              <w:t>Source data approval when authored; privacy case content</w:t>
            </w:r>
          </w:p>
        </w:tc>
      </w:tr>
      <w:tr>
        <w:trPr>
          <w:cantSplit/>
        </w:trPr>
        <w:tc>
          <w:tcPr>
            <w:tcW w:type="dxa" w:w="2199"/>
            <w:vAlign w:val="center"/>
            <w:shd w:fill="FFFFFF"/>
          </w:tcPr>
          <w:p>
            <w:pPr>
              <w:spacing w:after="20" w:before="20" w:line="247" w:lineRule="auto"/>
            </w:pPr>
            <w:r>
              <w:rPr>
                <w:b w:val="0"/>
                <w:i w:val="0"/>
                <w:sz w:val="20"/>
              </w:rPr>
              <w:t>Data steward</w:t>
            </w:r>
          </w:p>
        </w:tc>
        <w:tc>
          <w:tcPr>
            <w:tcW w:type="dxa" w:w="4297"/>
            <w:vAlign w:val="center"/>
            <w:shd w:fill="FFFFFF"/>
          </w:tcPr>
          <w:p>
            <w:pPr>
              <w:spacing w:after="20" w:before="20" w:line="247" w:lineRule="auto"/>
            </w:pPr>
            <w:r>
              <w:rPr>
                <w:b w:val="0"/>
                <w:i w:val="0"/>
                <w:sz w:val="20"/>
              </w:rPr>
              <w:t>Imports, mapping, transformations, corrections and quality work</w:t>
            </w:r>
          </w:p>
        </w:tc>
        <w:tc>
          <w:tcPr>
            <w:tcW w:type="dxa" w:w="3498"/>
            <w:vAlign w:val="center"/>
            <w:shd w:fill="FFFFFF"/>
          </w:tcPr>
          <w:p>
            <w:pPr>
              <w:spacing w:after="20" w:before="20" w:line="247" w:lineRule="auto"/>
            </w:pPr>
            <w:r>
              <w:rPr>
                <w:b w:val="0"/>
                <w:i w:val="0"/>
                <w:sz w:val="20"/>
              </w:rPr>
              <w:t>Independent approval of own changed source</w:t>
            </w:r>
          </w:p>
        </w:tc>
      </w:tr>
      <w:tr>
        <w:trPr>
          <w:cantSplit/>
        </w:trPr>
        <w:tc>
          <w:tcPr>
            <w:tcW w:type="dxa" w:w="2199"/>
            <w:vAlign w:val="center"/>
            <w:shd w:fill="F4F6F8"/>
          </w:tcPr>
          <w:p>
            <w:pPr>
              <w:spacing w:after="20" w:before="20" w:line="247" w:lineRule="auto"/>
            </w:pPr>
            <w:r>
              <w:rPr>
                <w:b w:val="0"/>
                <w:i w:val="0"/>
                <w:sz w:val="20"/>
              </w:rPr>
              <w:t>Enumerator</w:t>
            </w:r>
          </w:p>
        </w:tc>
        <w:tc>
          <w:tcPr>
            <w:tcW w:type="dxa" w:w="4297"/>
            <w:vAlign w:val="center"/>
            <w:shd w:fill="F4F6F8"/>
          </w:tcPr>
          <w:p>
            <w:pPr>
              <w:spacing w:after="20" w:before="20" w:line="247" w:lineRule="auto"/>
            </w:pPr>
            <w:r>
              <w:rPr>
                <w:b w:val="0"/>
                <w:i w:val="0"/>
                <w:sz w:val="20"/>
              </w:rPr>
              <w:t>Assigned forms and minimum reference fields</w:t>
            </w:r>
          </w:p>
        </w:tc>
        <w:tc>
          <w:tcPr>
            <w:tcW w:type="dxa" w:w="3498"/>
            <w:vAlign w:val="center"/>
            <w:shd w:fill="F4F6F8"/>
          </w:tcPr>
          <w:p>
            <w:pPr>
              <w:spacing w:after="20" w:before="20" w:line="247" w:lineRule="auto"/>
            </w:pPr>
            <w:r>
              <w:rPr>
                <w:b w:val="0"/>
                <w:i w:val="0"/>
                <w:sz w:val="20"/>
              </w:rPr>
              <w:t>Registry browsing, bulk export, report publication</w:t>
            </w:r>
          </w:p>
        </w:tc>
      </w:tr>
      <w:tr>
        <w:trPr>
          <w:cantSplit/>
        </w:trPr>
        <w:tc>
          <w:tcPr>
            <w:tcW w:type="dxa" w:w="2199"/>
            <w:vAlign w:val="center"/>
            <w:shd w:fill="FFFFFF"/>
          </w:tcPr>
          <w:p>
            <w:pPr>
              <w:spacing w:after="20" w:before="20" w:line="247" w:lineRule="auto"/>
            </w:pPr>
            <w:r>
              <w:rPr>
                <w:b w:val="0"/>
                <w:i w:val="0"/>
                <w:sz w:val="20"/>
              </w:rPr>
              <w:t>Reviewer</w:t>
            </w:r>
          </w:p>
        </w:tc>
        <w:tc>
          <w:tcPr>
            <w:tcW w:type="dxa" w:w="4297"/>
            <w:vAlign w:val="center"/>
            <w:shd w:fill="FFFFFF"/>
          </w:tcPr>
          <w:p>
            <w:pPr>
              <w:spacing w:after="20" w:before="20" w:line="247" w:lineRule="auto"/>
            </w:pPr>
            <w:r>
              <w:rPr>
                <w:b w:val="0"/>
                <w:i w:val="0"/>
                <w:sz w:val="20"/>
              </w:rPr>
              <w:t>Read assigned candidate and minimum evidence, approve or return</w:t>
            </w:r>
          </w:p>
        </w:tc>
        <w:tc>
          <w:tcPr>
            <w:tcW w:type="dxa" w:w="3498"/>
            <w:vAlign w:val="center"/>
            <w:shd w:fill="FFFFFF"/>
          </w:tcPr>
          <w:p>
            <w:pPr>
              <w:spacing w:after="20" w:before="20" w:line="247" w:lineRule="auto"/>
            </w:pPr>
            <w:r>
              <w:rPr>
                <w:b w:val="0"/>
                <w:i w:val="0"/>
                <w:sz w:val="20"/>
              </w:rPr>
              <w:t>Editing the candidate and approving authored revisions</w:t>
            </w:r>
          </w:p>
        </w:tc>
      </w:tr>
      <w:tr>
        <w:trPr>
          <w:cantSplit/>
        </w:trPr>
        <w:tc>
          <w:tcPr>
            <w:tcW w:type="dxa" w:w="2199"/>
            <w:vAlign w:val="center"/>
            <w:shd w:fill="F4F6F8"/>
          </w:tcPr>
          <w:p>
            <w:pPr>
              <w:spacing w:after="20" w:before="20" w:line="247" w:lineRule="auto"/>
            </w:pPr>
            <w:r>
              <w:rPr>
                <w:b w:val="0"/>
                <w:i w:val="0"/>
                <w:sz w:val="20"/>
              </w:rPr>
              <w:t>Analyst evaluator</w:t>
            </w:r>
          </w:p>
        </w:tc>
        <w:tc>
          <w:tcPr>
            <w:tcW w:type="dxa" w:w="4297"/>
            <w:vAlign w:val="center"/>
            <w:shd w:fill="F4F6F8"/>
          </w:tcPr>
          <w:p>
            <w:pPr>
              <w:spacing w:after="20" w:before="20" w:line="247" w:lineRule="auto"/>
            </w:pPr>
            <w:r>
              <w:rPr>
                <w:b w:val="0"/>
                <w:i w:val="0"/>
                <w:sz w:val="20"/>
              </w:rPr>
              <w:t>Approved permitted datasets, analyses and finding drafts</w:t>
            </w:r>
          </w:p>
        </w:tc>
        <w:tc>
          <w:tcPr>
            <w:tcW w:type="dxa" w:w="3498"/>
            <w:vAlign w:val="center"/>
            <w:shd w:fill="F4F6F8"/>
          </w:tcPr>
          <w:p>
            <w:pPr>
              <w:spacing w:after="20" w:before="20" w:line="247" w:lineRule="auto"/>
            </w:pPr>
            <w:r>
              <w:rPr>
                <w:b w:val="0"/>
                <w:i w:val="0"/>
                <w:sz w:val="20"/>
              </w:rPr>
              <w:t>Identity fields, cross project matching and extraction without export grant</w:t>
            </w:r>
          </w:p>
        </w:tc>
      </w:tr>
      <w:tr>
        <w:trPr>
          <w:cantSplit/>
        </w:trPr>
        <w:tc>
          <w:tcPr>
            <w:tcW w:type="dxa" w:w="2199"/>
            <w:vAlign w:val="center"/>
            <w:shd w:fill="FFFFFF"/>
          </w:tcPr>
          <w:p>
            <w:pPr>
              <w:spacing w:after="20" w:before="20" w:line="247" w:lineRule="auto"/>
            </w:pPr>
            <w:r>
              <w:rPr>
                <w:b w:val="0"/>
                <w:i w:val="0"/>
                <w:sz w:val="20"/>
              </w:rPr>
              <w:t>Partner contributor</w:t>
            </w:r>
          </w:p>
        </w:tc>
        <w:tc>
          <w:tcPr>
            <w:tcW w:type="dxa" w:w="4297"/>
            <w:vAlign w:val="center"/>
            <w:shd w:fill="FFFFFF"/>
          </w:tcPr>
          <w:p>
            <w:pPr>
              <w:spacing w:after="20" w:before="20" w:line="247" w:lineRule="auto"/>
            </w:pPr>
            <w:r>
              <w:rPr>
                <w:b w:val="0"/>
                <w:i w:val="0"/>
                <w:sz w:val="20"/>
              </w:rPr>
              <w:t>Shared definitions and own assigned submissions</w:t>
            </w:r>
          </w:p>
        </w:tc>
        <w:tc>
          <w:tcPr>
            <w:tcW w:type="dxa" w:w="3498"/>
            <w:vAlign w:val="center"/>
            <w:shd w:fill="FFFFFF"/>
          </w:tcPr>
          <w:p>
            <w:pPr>
              <w:spacing w:after="20" w:before="20" w:line="247" w:lineRule="auto"/>
            </w:pPr>
            <w:r>
              <w:rPr>
                <w:b w:val="0"/>
                <w:i w:val="0"/>
                <w:sz w:val="20"/>
              </w:rPr>
              <w:t>Another partner's records, counts or comments</w:t>
            </w:r>
          </w:p>
        </w:tc>
      </w:tr>
      <w:tr>
        <w:trPr>
          <w:cantSplit/>
        </w:trPr>
        <w:tc>
          <w:tcPr>
            <w:tcW w:type="dxa" w:w="2199"/>
            <w:vAlign w:val="center"/>
            <w:shd w:fill="F4F6F8"/>
          </w:tcPr>
          <w:p>
            <w:pPr>
              <w:spacing w:after="20" w:before="20" w:line="247" w:lineRule="auto"/>
            </w:pPr>
            <w:r>
              <w:rPr>
                <w:b w:val="0"/>
                <w:i w:val="0"/>
                <w:sz w:val="20"/>
              </w:rPr>
              <w:t>External viewer</w:t>
            </w:r>
          </w:p>
        </w:tc>
        <w:tc>
          <w:tcPr>
            <w:tcW w:type="dxa" w:w="4297"/>
            <w:vAlign w:val="center"/>
            <w:shd w:fill="F4F6F8"/>
          </w:tcPr>
          <w:p>
            <w:pPr>
              <w:spacing w:after="20" w:before="20" w:line="247" w:lineRule="auto"/>
            </w:pPr>
            <w:r>
              <w:rPr>
                <w:b w:val="0"/>
                <w:i w:val="0"/>
                <w:sz w:val="20"/>
              </w:rPr>
              <w:t>Assigned disclosure artifacts</w:t>
            </w:r>
          </w:p>
        </w:tc>
        <w:tc>
          <w:tcPr>
            <w:tcW w:type="dxa" w:w="3498"/>
            <w:vAlign w:val="center"/>
            <w:shd w:fill="F4F6F8"/>
          </w:tcPr>
          <w:p>
            <w:pPr>
              <w:spacing w:after="20" w:before="20" w:line="247" w:lineRule="auto"/>
            </w:pPr>
            <w:r>
              <w:rPr>
                <w:b w:val="0"/>
                <w:i w:val="0"/>
                <w:sz w:val="20"/>
              </w:rPr>
              <w:t>Live source records, source drill down and implicit export</w:t>
            </w:r>
          </w:p>
        </w:tc>
      </w:tr>
      <w:tr>
        <w:trPr>
          <w:cantSplit/>
        </w:trPr>
        <w:tc>
          <w:tcPr>
            <w:tcW w:type="dxa" w:w="2199"/>
            <w:vAlign w:val="center"/>
            <w:shd w:fill="FFFFFF"/>
          </w:tcPr>
          <w:p>
            <w:pPr>
              <w:spacing w:after="20" w:before="20" w:line="247" w:lineRule="auto"/>
            </w:pPr>
            <w:r>
              <w:rPr>
                <w:b w:val="0"/>
                <w:i w:val="0"/>
                <w:sz w:val="20"/>
              </w:rPr>
              <w:t>Auditor</w:t>
            </w:r>
          </w:p>
        </w:tc>
        <w:tc>
          <w:tcPr>
            <w:tcW w:type="dxa" w:w="4297"/>
            <w:vAlign w:val="center"/>
            <w:shd w:fill="FFFFFF"/>
          </w:tcPr>
          <w:p>
            <w:pPr>
              <w:spacing w:after="20" w:before="20" w:line="247" w:lineRule="auto"/>
            </w:pPr>
            <w:r>
              <w:rPr>
                <w:b w:val="0"/>
                <w:i w:val="0"/>
                <w:sz w:val="20"/>
              </w:rPr>
              <w:t>Time bounded read of approved audit scope</w:t>
            </w:r>
          </w:p>
        </w:tc>
        <w:tc>
          <w:tcPr>
            <w:tcW w:type="dxa" w:w="3498"/>
            <w:vAlign w:val="center"/>
            <w:shd w:fill="FFFFFF"/>
          </w:tcPr>
          <w:p>
            <w:pPr>
              <w:spacing w:after="20" w:before="20" w:line="247" w:lineRule="auto"/>
            </w:pPr>
            <w:r>
              <w:rPr>
                <w:b w:val="0"/>
                <w:i w:val="0"/>
                <w:sz w:val="20"/>
              </w:rPr>
              <w:t>Modification, identity administration and unrestricted raw evidence</w:t>
            </w:r>
          </w:p>
        </w:tc>
      </w:tr>
      <w:tr>
        <w:trPr>
          <w:cantSplit/>
        </w:trPr>
        <w:tc>
          <w:tcPr>
            <w:tcW w:type="dxa" w:w="2199"/>
            <w:vAlign w:val="center"/>
            <w:shd w:fill="F4F6F8"/>
          </w:tcPr>
          <w:p>
            <w:pPr>
              <w:spacing w:after="20" w:before="20" w:line="247" w:lineRule="auto"/>
            </w:pPr>
            <w:r>
              <w:rPr>
                <w:b w:val="0"/>
                <w:i w:val="0"/>
                <w:sz w:val="20"/>
              </w:rPr>
              <w:t>Privacy officer</w:t>
            </w:r>
          </w:p>
        </w:tc>
        <w:tc>
          <w:tcPr>
            <w:tcW w:type="dxa" w:w="4297"/>
            <w:vAlign w:val="center"/>
            <w:shd w:fill="F4F6F8"/>
          </w:tcPr>
          <w:p>
            <w:pPr>
              <w:spacing w:after="20" w:before="20" w:line="247" w:lineRule="auto"/>
            </w:pPr>
            <w:r>
              <w:rPr>
                <w:b w:val="0"/>
                <w:i w:val="0"/>
                <w:sz w:val="20"/>
              </w:rPr>
              <w:t>Approved requests, holds, disclosure reviews and sensitive cases</w:t>
            </w:r>
          </w:p>
        </w:tc>
        <w:tc>
          <w:tcPr>
            <w:tcW w:type="dxa" w:w="3498"/>
            <w:vAlign w:val="center"/>
            <w:shd w:fill="F4F6F8"/>
          </w:tcPr>
          <w:p>
            <w:pPr>
              <w:spacing w:after="20" w:before="20" w:line="247" w:lineRule="auto"/>
            </w:pPr>
            <w:r>
              <w:rPr>
                <w:b w:val="0"/>
                <w:i w:val="0"/>
                <w:sz w:val="20"/>
              </w:rPr>
              <w:t>General tenant administration unless separately granted</w:t>
            </w:r>
          </w:p>
        </w:tc>
      </w:tr>
      <w:tr>
        <w:trPr>
          <w:cantSplit/>
        </w:trPr>
        <w:tc>
          <w:tcPr>
            <w:tcW w:type="dxa" w:w="2199"/>
            <w:vAlign w:val="center"/>
            <w:shd w:fill="FFFFFF"/>
          </w:tcPr>
          <w:p>
            <w:pPr>
              <w:spacing w:after="20" w:before="20" w:line="247" w:lineRule="auto"/>
            </w:pPr>
            <w:r>
              <w:rPr>
                <w:b w:val="0"/>
                <w:i w:val="0"/>
                <w:sz w:val="20"/>
              </w:rPr>
              <w:t>Platform operator</w:t>
            </w:r>
          </w:p>
        </w:tc>
        <w:tc>
          <w:tcPr>
            <w:tcW w:type="dxa" w:w="4297"/>
            <w:vAlign w:val="center"/>
            <w:shd w:fill="FFFFFF"/>
          </w:tcPr>
          <w:p>
            <w:pPr>
              <w:spacing w:after="20" w:before="20" w:line="247" w:lineRule="auto"/>
            </w:pPr>
            <w:r>
              <w:rPr>
                <w:b w:val="0"/>
                <w:i w:val="0"/>
                <w:sz w:val="20"/>
              </w:rPr>
              <w:t>Service metadata, incident and lifecycle controls</w:t>
            </w:r>
          </w:p>
        </w:tc>
        <w:tc>
          <w:tcPr>
            <w:tcW w:type="dxa" w:w="3498"/>
            <w:vAlign w:val="center"/>
            <w:shd w:fill="FFFFFF"/>
          </w:tcPr>
          <w:p>
            <w:pPr>
              <w:spacing w:after="20" w:before="20" w:line="247" w:lineRule="auto"/>
            </w:pPr>
            <w:r>
              <w:rPr>
                <w:b w:val="0"/>
                <w:i w:val="0"/>
                <w:sz w:val="20"/>
              </w:rPr>
              <w:t>Customer content without approved exceptional access</w:t>
            </w:r>
          </w:p>
        </w:tc>
      </w:tr>
    </w:tbl>
    <w:p>
      <w:pPr>
        <w:keepNext w:val="0"/>
        <w:spacing w:after="60" w:line="240" w:lineRule="auto" w:before="0"/>
      </w:pPr>
      <w:r>
        <w:rPr>
          <w:b w:val="0"/>
          <w:i w:val="0"/>
          <w:sz w:val="2"/>
        </w:rPr>
      </w:r>
    </w:p>
    <w:p>
      <w:pPr>
        <w:pStyle w:val="Heading2"/>
      </w:pPr>
      <w:r>
        <w:rPr>
          <w:b w:val="0"/>
          <w:i w:val="0"/>
        </w:rPr>
        <w:t>3 3 Permission evaluation examples</w:t>
      </w:r>
    </w:p>
    <w:p>
      <w:r>
        <w:rPr>
          <w:b w:val="0"/>
          <w:i w:val="0"/>
        </w:rPr>
        <w:t>An analyst with project read plus export may export permitted analytic fields; identity.read remains separately required for names. A reviewer who also belongs to the author's manager group still cannot approve the revision they authored. A funder seeing a public aggregate cannot drill into a private source even if they are a tenant owner elsewhere. A connector credential for project A cannot create a row referencing a participant in project B. Removing a user from a group invalidates all derived access, including previously generated in-platform reports and AI conversations.</w:t>
      </w:r>
    </w:p>
    <w:p>
      <w:r>
        <w:rPr>
          <w:b w:val="0"/>
          <w:i w:val="0"/>
        </w:rPr>
        <w:t>Author sets include every actor who materially edited the submitted revision since the previous approved baseline, including the human who confirmed an AI change. Cosmetic comment authorship alone does not create an author conflict. The same natural identity across account aliases cannot satisfy independent approval where the platform has verified those aliases. Administrators must not create duplicate accounts as an independence workaround; identity reconciliation flags confirmed aliases. A workflow with insufficient independent reviewers remains blocked and routes a reassignment task.</w:t>
      </w:r>
    </w:p>
    <w:p>
      <w:pPr>
        <w:pStyle w:val="Heading2"/>
      </w:pPr>
      <w:r>
        <w:rPr>
          <w:b w:val="0"/>
          <w:i w:val="0"/>
        </w:rPr>
        <w:t>3 4 Privileged and emergency paths</w:t>
      </w:r>
    </w:p>
    <w:p>
      <w:r>
        <w:rPr>
          <w:b w:val="0"/>
          <w:i w:val="0"/>
        </w:rPr>
        <w:t>An emergency access request identifies incident, exact scope, requested duration and excluded actions. A distinct authorised reviewer approves it. The active session displays a persistent support indicator, preserves the operator's real identity and is terminable by designated tenant contacts. Publication, ownership transfer, recovery channel change and data export are excluded unless individually approved in the incident scope. On expiry all further access stops; the system generates a review task. Emergency use never manufactures a business approval or edits audit history.</w:t>
      </w:r>
    </w:p>
    <w:p>
      <w:bookmarkStart w:id="4" w:name="sec_4"/>
      <w:pPr>
        <w:pStyle w:val="Heading1"/>
      </w:pPr>
      <w:r>
        <w:rPr>
          <w:b w:val="0"/>
          <w:i w:val="0"/>
        </w:rPr>
        <w:t>4 Logical data dictionary</w:t>
      </w:r>
      <w:bookmarkEnd w:id="4"/>
    </w:p>
    <w:p>
      <w:pPr>
        <w:pStyle w:val="Heading2"/>
      </w:pPr>
      <w:r>
        <w:rPr>
          <w:b w:val="0"/>
          <w:i w:val="0"/>
        </w:rPr>
        <w:t>4 1 Common record envelope</w:t>
      </w:r>
    </w:p>
    <w:p>
      <w:r>
        <w:rPr>
          <w:b w:val="0"/>
          <w:i w:val="0"/>
        </w:rPr>
        <w:t>This is a logical field contract for FSD review, not a relational schema. All business objects carry immutable object_id, tenant_id, revision_id, lifecycle_state, created_at, created_by, updated_at, updated_by, classification, owner_id, policy_reference and retention_class where applicable. Actor identifiers survive display name and membership changes. A deleted user's identity may become a retained minimal attribution record according to policy.</w:t>
      </w:r>
    </w:p>
    <w:p>
      <w:r>
        <w:rPr>
          <w:b w:val="0"/>
          <w:i w:val="0"/>
        </w:rPr>
        <w:t>Text limits are measured in Unicode characters: codes 64, titles 200, short descriptions 2000, standard narratives 20000 and comments 5000. No truncation is silent. Longer approved narrative sections are stored as document content, not squeezed into a short description. Boolean false differs from absent. Lists store stable codes and their code list version. Amounts include unit or currency. A reference must resolve within permitted scope and expected type. Uploaded file references are not accepted as verified evidence until their safety and provenance states allow use.</w:t>
      </w:r>
    </w:p>
    <w:p>
      <w:r>
        <w:rPr>
          <w:b w:val="0"/>
          <w:i w:val="0"/>
        </w:rPr>
        <w:t>Each entity below defines its required fields in addition to the common envelope. Optional fields become required only under the stated condition. Derived fields are read only and cannot be changed by an import or AI proposal as if they were source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Entity</w:t>
            </w:r>
          </w:p>
        </w:tc>
        <w:tc>
          <w:tcPr>
            <w:tcW w:type="dxa" w:w="4297"/>
            <w:vAlign w:val="center"/>
            <w:shd w:fill="233B53"/>
          </w:tcPr>
          <w:p>
            <w:pPr>
              <w:spacing w:after="20" w:before="20" w:line="247" w:lineRule="auto"/>
            </w:pPr>
            <w:r>
              <w:rPr>
                <w:b/>
                <w:i w:val="0"/>
                <w:color w:val="FFFFFF"/>
                <w:sz w:val="20"/>
              </w:rPr>
              <w:t>Required business fields</w:t>
            </w:r>
          </w:p>
        </w:tc>
        <w:tc>
          <w:tcPr>
            <w:tcW w:type="dxa" w:w="3498"/>
            <w:vAlign w:val="center"/>
            <w:shd w:fill="233B53"/>
          </w:tcPr>
          <w:p>
            <w:pPr>
              <w:spacing w:after="20" w:before="20" w:line="247" w:lineRule="auto"/>
            </w:pPr>
            <w:r>
              <w:rPr>
                <w:b/>
                <w:i w:val="0"/>
                <w:color w:val="FFFFFF"/>
                <w:sz w:val="20"/>
              </w:rPr>
              <w:t>Conditional fields and invariants</w:t>
            </w:r>
          </w:p>
        </w:tc>
      </w:tr>
      <w:tr>
        <w:trPr>
          <w:cantSplit/>
        </w:trPr>
        <w:tc>
          <w:tcPr>
            <w:tcW w:type="dxa" w:w="2199"/>
            <w:vAlign w:val="center"/>
            <w:shd w:fill="FFFFFF"/>
          </w:tcPr>
          <w:p>
            <w:pPr>
              <w:spacing w:after="20" w:before="20" w:line="247" w:lineRule="auto"/>
            </w:pPr>
            <w:r>
              <w:rPr>
                <w:b w:val="0"/>
                <w:i w:val="0"/>
                <w:sz w:val="20"/>
              </w:rPr>
              <w:t>D01 Tenant</w:t>
            </w:r>
          </w:p>
        </w:tc>
        <w:tc>
          <w:tcPr>
            <w:tcW w:type="dxa" w:w="4297"/>
            <w:vAlign w:val="center"/>
            <w:shd w:fill="FFFFFF"/>
          </w:tcPr>
          <w:p>
            <w:pPr>
              <w:spacing w:after="20" w:before="20" w:line="247" w:lineRule="auto"/>
            </w:pPr>
            <w:r>
              <w:rPr>
                <w:b w:val="0"/>
                <w:i w:val="0"/>
                <w:sz w:val="20"/>
              </w:rPr>
              <w:t>Legal or operating name, owner membership, reporting zone, hosting policy, privacy policy, lifecycle</w:t>
            </w:r>
          </w:p>
        </w:tc>
        <w:tc>
          <w:tcPr>
            <w:tcW w:type="dxa" w:w="3498"/>
            <w:vAlign w:val="center"/>
            <w:shd w:fill="FFFFFF"/>
          </w:tcPr>
          <w:p>
            <w:pPr>
              <w:spacing w:after="20" w:before="20" w:line="247" w:lineRule="auto"/>
            </w:pPr>
            <w:r>
              <w:rPr>
                <w:b w:val="0"/>
                <w:i w:val="0"/>
                <w:sz w:val="20"/>
              </w:rPr>
              <w:t>Activation requires retention, region, identity recovery and administrator readiness</w:t>
            </w:r>
          </w:p>
        </w:tc>
      </w:tr>
      <w:tr>
        <w:trPr>
          <w:cantSplit/>
        </w:trPr>
        <w:tc>
          <w:tcPr>
            <w:tcW w:type="dxa" w:w="2199"/>
            <w:vAlign w:val="center"/>
            <w:shd w:fill="F4F6F8"/>
          </w:tcPr>
          <w:p>
            <w:pPr>
              <w:spacing w:after="20" w:before="20" w:line="247" w:lineRule="auto"/>
            </w:pPr>
            <w:r>
              <w:rPr>
                <w:b w:val="0"/>
                <w:i w:val="0"/>
                <w:sz w:val="20"/>
              </w:rPr>
              <w:t>D02 Membership</w:t>
            </w:r>
          </w:p>
        </w:tc>
        <w:tc>
          <w:tcPr>
            <w:tcW w:type="dxa" w:w="4297"/>
            <w:vAlign w:val="center"/>
            <w:shd w:fill="F4F6F8"/>
          </w:tcPr>
          <w:p>
            <w:pPr>
              <w:spacing w:after="20" w:before="20" w:line="247" w:lineRule="auto"/>
            </w:pPr>
            <w:r>
              <w:rPr>
                <w:b w:val="0"/>
                <w:i w:val="0"/>
                <w:sz w:val="20"/>
              </w:rPr>
              <w:t>Identity, tenant, status, authority source, joined or invited time</w:t>
            </w:r>
          </w:p>
        </w:tc>
        <w:tc>
          <w:tcPr>
            <w:tcW w:type="dxa" w:w="3498"/>
            <w:vAlign w:val="center"/>
            <w:shd w:fill="F4F6F8"/>
          </w:tcPr>
          <w:p>
            <w:pPr>
              <w:spacing w:after="20" w:before="20" w:line="247" w:lineRule="auto"/>
            </w:pPr>
            <w:r>
              <w:rPr>
                <w:b w:val="0"/>
                <w:i w:val="0"/>
                <w:sz w:val="20"/>
              </w:rPr>
              <w:t>Expiry mandatory for external roles; suspended identity retains attribution</w:t>
            </w:r>
          </w:p>
        </w:tc>
      </w:tr>
      <w:tr>
        <w:trPr>
          <w:cantSplit/>
        </w:trPr>
        <w:tc>
          <w:tcPr>
            <w:tcW w:type="dxa" w:w="2199"/>
            <w:vAlign w:val="center"/>
            <w:shd w:fill="FFFFFF"/>
          </w:tcPr>
          <w:p>
            <w:pPr>
              <w:spacing w:after="20" w:before="20" w:line="247" w:lineRule="auto"/>
            </w:pPr>
            <w:r>
              <w:rPr>
                <w:b w:val="0"/>
                <w:i w:val="0"/>
                <w:sz w:val="20"/>
              </w:rPr>
              <w:t>D03 Grant</w:t>
            </w:r>
          </w:p>
        </w:tc>
        <w:tc>
          <w:tcPr>
            <w:tcW w:type="dxa" w:w="4297"/>
            <w:vAlign w:val="center"/>
            <w:shd w:fill="FFFFFF"/>
          </w:tcPr>
          <w:p>
            <w:pPr>
              <w:spacing w:after="20" w:before="20" w:line="247" w:lineRule="auto"/>
            </w:pPr>
            <w:r>
              <w:rPr>
                <w:b w:val="0"/>
                <w:i w:val="0"/>
                <w:sz w:val="20"/>
              </w:rPr>
              <w:t>Subject, capability, scope, issuer, start, expiry policy</w:t>
            </w:r>
          </w:p>
        </w:tc>
        <w:tc>
          <w:tcPr>
            <w:tcW w:type="dxa" w:w="3498"/>
            <w:vAlign w:val="center"/>
            <w:shd w:fill="FFFFFF"/>
          </w:tcPr>
          <w:p>
            <w:pPr>
              <w:spacing w:after="20" w:before="20" w:line="247" w:lineRule="auto"/>
            </w:pPr>
            <w:r>
              <w:rPr>
                <w:b w:val="0"/>
                <w:i w:val="0"/>
                <w:sz w:val="20"/>
              </w:rPr>
              <w:t>Sensitive purpose and independent approval where policy requires; no wildcard by omission</w:t>
            </w:r>
          </w:p>
        </w:tc>
      </w:tr>
      <w:tr>
        <w:trPr>
          <w:cantSplit/>
        </w:trPr>
        <w:tc>
          <w:tcPr>
            <w:tcW w:type="dxa" w:w="2199"/>
            <w:vAlign w:val="center"/>
            <w:shd w:fill="F4F6F8"/>
          </w:tcPr>
          <w:p>
            <w:pPr>
              <w:spacing w:after="20" w:before="20" w:line="247" w:lineRule="auto"/>
            </w:pPr>
            <w:r>
              <w:rPr>
                <w:b w:val="0"/>
                <w:i w:val="0"/>
                <w:sz w:val="20"/>
              </w:rPr>
              <w:t>D04 Organisation unit</w:t>
            </w:r>
          </w:p>
        </w:tc>
        <w:tc>
          <w:tcPr>
            <w:tcW w:type="dxa" w:w="4297"/>
            <w:vAlign w:val="center"/>
            <w:shd w:fill="F4F6F8"/>
          </w:tcPr>
          <w:p>
            <w:pPr>
              <w:spacing w:after="20" w:before="20" w:line="247" w:lineRule="auto"/>
            </w:pPr>
            <w:r>
              <w:rPr>
                <w:b w:val="0"/>
                <w:i w:val="0"/>
                <w:sz w:val="20"/>
              </w:rPr>
              <w:t>Code, name, parent or root, owner</w:t>
            </w:r>
          </w:p>
        </w:tc>
        <w:tc>
          <w:tcPr>
            <w:tcW w:type="dxa" w:w="3498"/>
            <w:vAlign w:val="center"/>
            <w:shd w:fill="F4F6F8"/>
          </w:tcPr>
          <w:p>
            <w:pPr>
              <w:spacing w:after="20" w:before="20" w:line="247" w:lineRule="auto"/>
            </w:pPr>
            <w:r>
              <w:rPr>
                <w:b w:val="0"/>
                <w:i w:val="0"/>
                <w:sz w:val="20"/>
              </w:rPr>
              <w:t>Reporting hierarchy and access scope are separate; cycles prohibited</w:t>
            </w:r>
          </w:p>
        </w:tc>
      </w:tr>
      <w:tr>
        <w:trPr>
          <w:cantSplit/>
        </w:trPr>
        <w:tc>
          <w:tcPr>
            <w:tcW w:type="dxa" w:w="2199"/>
            <w:vAlign w:val="center"/>
            <w:shd w:fill="FFFFFF"/>
          </w:tcPr>
          <w:p>
            <w:pPr>
              <w:spacing w:after="20" w:before="20" w:line="247" w:lineRule="auto"/>
            </w:pPr>
            <w:r>
              <w:rPr>
                <w:b w:val="0"/>
                <w:i w:val="0"/>
                <w:sz w:val="20"/>
              </w:rPr>
              <w:t>D05 Programme</w:t>
            </w:r>
          </w:p>
        </w:tc>
        <w:tc>
          <w:tcPr>
            <w:tcW w:type="dxa" w:w="4297"/>
            <w:vAlign w:val="center"/>
            <w:shd w:fill="FFFFFF"/>
          </w:tcPr>
          <w:p>
            <w:pPr>
              <w:spacing w:after="20" w:before="20" w:line="247" w:lineRule="auto"/>
            </w:pPr>
            <w:r>
              <w:rPr>
                <w:b w:val="0"/>
                <w:i w:val="0"/>
                <w:sz w:val="20"/>
              </w:rPr>
              <w:t>Code, title, programme type, start, end, owner, reporting calendar, geography reference</w:t>
            </w:r>
          </w:p>
        </w:tc>
        <w:tc>
          <w:tcPr>
            <w:tcW w:type="dxa" w:w="3498"/>
            <w:vAlign w:val="center"/>
            <w:shd w:fill="FFFFFF"/>
          </w:tcPr>
          <w:p>
            <w:pPr>
              <w:spacing w:after="20" w:before="20" w:line="247" w:lineRule="auto"/>
            </w:pPr>
            <w:r>
              <w:rPr>
                <w:b w:val="0"/>
                <w:i w:val="0"/>
                <w:sz w:val="20"/>
              </w:rPr>
              <w:t>End is not before start; activation requires measurement completeness</w:t>
            </w:r>
          </w:p>
        </w:tc>
      </w:tr>
      <w:tr>
        <w:trPr>
          <w:cantSplit/>
        </w:trPr>
        <w:tc>
          <w:tcPr>
            <w:tcW w:type="dxa" w:w="2199"/>
            <w:vAlign w:val="center"/>
            <w:shd w:fill="F4F6F8"/>
          </w:tcPr>
          <w:p>
            <w:pPr>
              <w:spacing w:after="20" w:before="20" w:line="247" w:lineRule="auto"/>
            </w:pPr>
            <w:r>
              <w:rPr>
                <w:b w:val="0"/>
                <w:i w:val="0"/>
                <w:sz w:val="20"/>
              </w:rPr>
              <w:t>D06 Framework version</w:t>
            </w:r>
          </w:p>
        </w:tc>
        <w:tc>
          <w:tcPr>
            <w:tcW w:type="dxa" w:w="4297"/>
            <w:vAlign w:val="center"/>
            <w:shd w:fill="F4F6F8"/>
          </w:tcPr>
          <w:p>
            <w:pPr>
              <w:spacing w:after="20" w:before="20" w:line="247" w:lineRule="auto"/>
            </w:pPr>
            <w:r>
              <w:rPr>
                <w:b w:val="0"/>
                <w:i w:val="0"/>
                <w:sz w:val="20"/>
              </w:rPr>
              <w:t>Programme, version, nodes, relationships, owner, status</w:t>
            </w:r>
          </w:p>
        </w:tc>
        <w:tc>
          <w:tcPr>
            <w:tcW w:type="dxa" w:w="3498"/>
            <w:vAlign w:val="center"/>
            <w:shd w:fill="F4F6F8"/>
          </w:tcPr>
          <w:p>
            <w:pPr>
              <w:spacing w:after="20" w:before="20" w:line="247" w:lineRule="auto"/>
            </w:pPr>
            <w:r>
              <w:rPr>
                <w:b w:val="0"/>
                <w:i w:val="0"/>
                <w:sz w:val="20"/>
              </w:rPr>
              <w:t>Each node has stable ID, type, title and definition; structural cycles rejected where hierarchy applies</w:t>
            </w:r>
          </w:p>
        </w:tc>
      </w:tr>
      <w:tr>
        <w:trPr>
          <w:cantSplit/>
        </w:trPr>
        <w:tc>
          <w:tcPr>
            <w:tcW w:type="dxa" w:w="2199"/>
            <w:vAlign w:val="center"/>
            <w:shd w:fill="FFFFFF"/>
          </w:tcPr>
          <w:p>
            <w:pPr>
              <w:spacing w:after="20" w:before="20" w:line="247" w:lineRule="auto"/>
            </w:pPr>
            <w:r>
              <w:rPr>
                <w:b w:val="0"/>
                <w:i w:val="0"/>
                <w:sz w:val="20"/>
              </w:rPr>
              <w:t>D07 Indicator definition</w:t>
            </w:r>
          </w:p>
        </w:tc>
        <w:tc>
          <w:tcPr>
            <w:tcW w:type="dxa" w:w="4297"/>
            <w:vAlign w:val="center"/>
            <w:shd w:fill="FFFFFF"/>
          </w:tcPr>
          <w:p>
            <w:pPr>
              <w:spacing w:after="20" w:before="20" w:line="247" w:lineRule="auto"/>
            </w:pPr>
            <w:r>
              <w:rPr>
                <w:b w:val="0"/>
                <w:i w:val="0"/>
                <w:sz w:val="20"/>
              </w:rPr>
              <w:t>Code, name, measurement type, unit, population, inclusion, exclusion, method, source mode, time semantic, owner</w:t>
            </w:r>
          </w:p>
        </w:tc>
        <w:tc>
          <w:tcPr>
            <w:tcW w:type="dxa" w:w="3498"/>
            <w:vAlign w:val="center"/>
            <w:shd w:fill="FFFFFF"/>
          </w:tcPr>
          <w:p>
            <w:pPr>
              <w:spacing w:after="20" w:before="20" w:line="247" w:lineRule="auto"/>
            </w:pPr>
            <w:r>
              <w:rPr>
                <w:b w:val="0"/>
                <w:i w:val="0"/>
                <w:sz w:val="20"/>
              </w:rPr>
              <w:t>Ratios need numerator and denominator meanings; aggregation needs combination rule and comparability contract</w:t>
            </w:r>
          </w:p>
        </w:tc>
      </w:tr>
      <w:tr>
        <w:trPr>
          <w:cantSplit/>
        </w:trPr>
        <w:tc>
          <w:tcPr>
            <w:tcW w:type="dxa" w:w="2199"/>
            <w:vAlign w:val="center"/>
            <w:shd w:fill="F4F6F8"/>
          </w:tcPr>
          <w:p>
            <w:pPr>
              <w:spacing w:after="20" w:before="20" w:line="247" w:lineRule="auto"/>
            </w:pPr>
            <w:r>
              <w:rPr>
                <w:b w:val="0"/>
                <w:i w:val="0"/>
                <w:sz w:val="20"/>
              </w:rPr>
              <w:t>D08 Indicator instance</w:t>
            </w:r>
          </w:p>
        </w:tc>
        <w:tc>
          <w:tcPr>
            <w:tcW w:type="dxa" w:w="4297"/>
            <w:vAlign w:val="center"/>
            <w:shd w:fill="F4F6F8"/>
          </w:tcPr>
          <w:p>
            <w:pPr>
              <w:spacing w:after="20" w:before="20" w:line="247" w:lineRule="auto"/>
            </w:pPr>
            <w:r>
              <w:rPr>
                <w:b w:val="0"/>
                <w:i w:val="0"/>
                <w:sz w:val="20"/>
              </w:rPr>
              <w:t>Definition version, programme, local applicability, collector, reviewer, reporting schedule</w:t>
            </w:r>
          </w:p>
        </w:tc>
        <w:tc>
          <w:tcPr>
            <w:tcW w:type="dxa" w:w="3498"/>
            <w:vAlign w:val="center"/>
            <w:shd w:fill="F4F6F8"/>
          </w:tcPr>
          <w:p>
            <w:pPr>
              <w:spacing w:after="20" w:before="20" w:line="247" w:lineRule="auto"/>
            </w:pPr>
            <w:r>
              <w:rPr>
                <w:b w:val="0"/>
                <w:i w:val="0"/>
                <w:sz w:val="20"/>
              </w:rPr>
              <w:t>Local overrides explicit; parent version remains immutable</w:t>
            </w:r>
          </w:p>
        </w:tc>
      </w:tr>
      <w:tr>
        <w:trPr>
          <w:cantSplit/>
        </w:trPr>
        <w:tc>
          <w:tcPr>
            <w:tcW w:type="dxa" w:w="2199"/>
            <w:vAlign w:val="center"/>
            <w:shd w:fill="FFFFFF"/>
          </w:tcPr>
          <w:p>
            <w:pPr>
              <w:spacing w:after="20" w:before="20" w:line="247" w:lineRule="auto"/>
            </w:pPr>
            <w:r>
              <w:rPr>
                <w:b w:val="0"/>
                <w:i w:val="0"/>
                <w:sz w:val="20"/>
              </w:rPr>
              <w:t>D09 Target</w:t>
            </w:r>
          </w:p>
        </w:tc>
        <w:tc>
          <w:tcPr>
            <w:tcW w:type="dxa" w:w="4297"/>
            <w:vAlign w:val="center"/>
            <w:shd w:fill="FFFFFF"/>
          </w:tcPr>
          <w:p>
            <w:pPr>
              <w:spacing w:after="20" w:before="20" w:line="247" w:lineRule="auto"/>
            </w:pPr>
            <w:r>
              <w:rPr>
                <w:b w:val="0"/>
                <w:i w:val="0"/>
                <w:sz w:val="20"/>
              </w:rPr>
              <w:t>Indicator version, period or date, target kind, value state, direction, approval status</w:t>
            </w:r>
          </w:p>
        </w:tc>
        <w:tc>
          <w:tcPr>
            <w:tcW w:type="dxa" w:w="3498"/>
            <w:vAlign w:val="center"/>
            <w:shd w:fill="FFFFFF"/>
          </w:tcPr>
          <w:p>
            <w:pPr>
              <w:spacing w:after="20" w:before="20" w:line="247" w:lineRule="auto"/>
            </w:pPr>
            <w:r>
              <w:rPr>
                <w:b w:val="0"/>
                <w:i w:val="0"/>
                <w:sz w:val="20"/>
              </w:rPr>
              <w:t>Range has low and high; baseline and target units match; original and revised are separate</w:t>
            </w:r>
          </w:p>
        </w:tc>
      </w:tr>
      <w:tr>
        <w:trPr>
          <w:cantSplit/>
        </w:trPr>
        <w:tc>
          <w:tcPr>
            <w:tcW w:type="dxa" w:w="2199"/>
            <w:vAlign w:val="center"/>
            <w:shd w:fill="F4F6F8"/>
          </w:tcPr>
          <w:p>
            <w:pPr>
              <w:spacing w:after="20" w:before="20" w:line="247" w:lineRule="auto"/>
            </w:pPr>
            <w:r>
              <w:rPr>
                <w:b w:val="0"/>
                <w:i w:val="0"/>
                <w:sz w:val="20"/>
              </w:rPr>
              <w:t>D10 Dimension version</w:t>
            </w:r>
          </w:p>
        </w:tc>
        <w:tc>
          <w:tcPr>
            <w:tcW w:type="dxa" w:w="4297"/>
            <w:vAlign w:val="center"/>
            <w:shd w:fill="F4F6F8"/>
          </w:tcPr>
          <w:p>
            <w:pPr>
              <w:spacing w:after="20" w:before="20" w:line="247" w:lineRule="auto"/>
            </w:pPr>
            <w:r>
              <w:rPr>
                <w:b w:val="0"/>
                <w:i w:val="0"/>
                <w:sz w:val="20"/>
              </w:rPr>
              <w:t>Code, label, categories, exclusivity, exhaustiveness, effective date</w:t>
            </w:r>
          </w:p>
        </w:tc>
        <w:tc>
          <w:tcPr>
            <w:tcW w:type="dxa" w:w="3498"/>
            <w:vAlign w:val="center"/>
            <w:shd w:fill="F4F6F8"/>
          </w:tcPr>
          <w:p>
            <w:pPr>
              <w:spacing w:after="20" w:before="20" w:line="247" w:lineRule="auto"/>
            </w:pPr>
            <w:r>
              <w:rPr>
                <w:b w:val="0"/>
                <w:i w:val="0"/>
                <w:sz w:val="20"/>
              </w:rPr>
              <w:t>Unknown and declined codes distinct; category crosswalks reference both versions</w:t>
            </w:r>
          </w:p>
        </w:tc>
      </w:tr>
      <w:tr>
        <w:trPr>
          <w:cantSplit/>
        </w:trPr>
        <w:tc>
          <w:tcPr>
            <w:tcW w:type="dxa" w:w="2199"/>
            <w:vAlign w:val="center"/>
            <w:shd w:fill="FFFFFF"/>
          </w:tcPr>
          <w:p>
            <w:pPr>
              <w:spacing w:after="20" w:before="20" w:line="247" w:lineRule="auto"/>
            </w:pPr>
            <w:r>
              <w:rPr>
                <w:b w:val="0"/>
                <w:i w:val="0"/>
                <w:sz w:val="20"/>
              </w:rPr>
              <w:t>D11 Reporting period</w:t>
            </w:r>
          </w:p>
        </w:tc>
        <w:tc>
          <w:tcPr>
            <w:tcW w:type="dxa" w:w="4297"/>
            <w:vAlign w:val="center"/>
            <w:shd w:fill="FFFFFF"/>
          </w:tcPr>
          <w:p>
            <w:pPr>
              <w:spacing w:after="20" w:before="20" w:line="247" w:lineRule="auto"/>
            </w:pPr>
            <w:r>
              <w:rPr>
                <w:b w:val="0"/>
                <w:i w:val="0"/>
                <w:sz w:val="20"/>
              </w:rPr>
              <w:t>Calendar version, code, start instant, exclusive end, reporting zone, status</w:t>
            </w:r>
          </w:p>
        </w:tc>
        <w:tc>
          <w:tcPr>
            <w:tcW w:type="dxa" w:w="3498"/>
            <w:vAlign w:val="center"/>
            <w:shd w:fill="FFFFFF"/>
          </w:tcPr>
          <w:p>
            <w:pPr>
              <w:spacing w:after="20" w:before="20" w:line="247" w:lineRule="auto"/>
            </w:pPr>
            <w:r>
              <w:rPr>
                <w:b w:val="0"/>
                <w:i w:val="0"/>
                <w:sz w:val="20"/>
              </w:rPr>
              <w:t>No unintended overlap within one series; custom overlapping analyses do not duplicate official membership</w:t>
            </w:r>
          </w:p>
        </w:tc>
      </w:tr>
      <w:tr>
        <w:trPr>
          <w:cantSplit/>
        </w:trPr>
        <w:tc>
          <w:tcPr>
            <w:tcW w:type="dxa" w:w="2199"/>
            <w:vAlign w:val="center"/>
            <w:shd w:fill="F4F6F8"/>
          </w:tcPr>
          <w:p>
            <w:pPr>
              <w:spacing w:after="20" w:before="20" w:line="247" w:lineRule="auto"/>
            </w:pPr>
            <w:r>
              <w:rPr>
                <w:b w:val="0"/>
                <w:i w:val="0"/>
                <w:sz w:val="20"/>
              </w:rPr>
              <w:t>D12 Observation</w:t>
            </w:r>
          </w:p>
        </w:tc>
        <w:tc>
          <w:tcPr>
            <w:tcW w:type="dxa" w:w="4297"/>
            <w:vAlign w:val="center"/>
            <w:shd w:fill="F4F6F8"/>
          </w:tcPr>
          <w:p>
            <w:pPr>
              <w:spacing w:after="20" w:before="20" w:line="247" w:lineRule="auto"/>
            </w:pPr>
            <w:r>
              <w:rPr>
                <w:b w:val="0"/>
                <w:i w:val="0"/>
                <w:sz w:val="20"/>
              </w:rPr>
              <w:t>Source business key, indicator or dataset binding, event time, collection time, value state, source version, approval state</w:t>
            </w:r>
          </w:p>
        </w:tc>
        <w:tc>
          <w:tcPr>
            <w:tcW w:type="dxa" w:w="3498"/>
            <w:vAlign w:val="center"/>
            <w:shd w:fill="F4F6F8"/>
          </w:tcPr>
          <w:p>
            <w:pPr>
              <w:spacing w:after="20" w:before="20" w:line="247" w:lineRule="auto"/>
            </w:pPr>
            <w:r>
              <w:rPr>
                <w:b w:val="0"/>
                <w:i w:val="0"/>
                <w:sz w:val="20"/>
              </w:rPr>
              <w:t>Numeric value required only when present; numerator and denominator retained where applicable</w:t>
            </w:r>
          </w:p>
        </w:tc>
      </w:tr>
      <w:tr>
        <w:trPr>
          <w:cantSplit/>
        </w:trPr>
        <w:tc>
          <w:tcPr>
            <w:tcW w:type="dxa" w:w="2199"/>
            <w:vAlign w:val="center"/>
            <w:shd w:fill="FFFFFF"/>
          </w:tcPr>
          <w:p>
            <w:pPr>
              <w:spacing w:after="20" w:before="20" w:line="247" w:lineRule="auto"/>
            </w:pPr>
            <w:r>
              <w:rPr>
                <w:b w:val="0"/>
                <w:i w:val="0"/>
                <w:sz w:val="20"/>
              </w:rPr>
              <w:t>D13 Calculated result</w:t>
            </w:r>
          </w:p>
        </w:tc>
        <w:tc>
          <w:tcPr>
            <w:tcW w:type="dxa" w:w="4297"/>
            <w:vAlign w:val="center"/>
            <w:shd w:fill="FFFFFF"/>
          </w:tcPr>
          <w:p>
            <w:pPr>
              <w:spacing w:after="20" w:before="20" w:line="247" w:lineRule="auto"/>
            </w:pPr>
            <w:r>
              <w:rPr>
                <w:b w:val="0"/>
                <w:i w:val="0"/>
                <w:sz w:val="20"/>
              </w:rPr>
              <w:t>Indicator version, period, dimensions, rule version, input snapshot, run ID, result state, coverage</w:t>
            </w:r>
          </w:p>
        </w:tc>
        <w:tc>
          <w:tcPr>
            <w:tcW w:type="dxa" w:w="3498"/>
            <w:vAlign w:val="center"/>
            <w:shd w:fill="FFFFFF"/>
          </w:tcPr>
          <w:p>
            <w:pPr>
              <w:spacing w:after="20" w:before="20" w:line="247" w:lineRule="auto"/>
            </w:pPr>
            <w:r>
              <w:rPr>
                <w:b w:val="0"/>
                <w:i w:val="0"/>
                <w:sz w:val="20"/>
              </w:rPr>
              <w:t>Read only numeric result; lineage includes included and excluded source identities</w:t>
            </w:r>
          </w:p>
        </w:tc>
      </w:tr>
      <w:tr>
        <w:trPr>
          <w:cantSplit/>
        </w:trPr>
        <w:tc>
          <w:tcPr>
            <w:tcW w:type="dxa" w:w="2199"/>
            <w:vAlign w:val="center"/>
            <w:shd w:fill="F4F6F8"/>
          </w:tcPr>
          <w:p>
            <w:pPr>
              <w:spacing w:after="20" w:before="20" w:line="247" w:lineRule="auto"/>
            </w:pPr>
            <w:r>
              <w:rPr>
                <w:b w:val="0"/>
                <w:i w:val="0"/>
                <w:sz w:val="20"/>
              </w:rPr>
              <w:t>D14 Form version</w:t>
            </w:r>
          </w:p>
        </w:tc>
        <w:tc>
          <w:tcPr>
            <w:tcW w:type="dxa" w:w="4297"/>
            <w:vAlign w:val="center"/>
            <w:shd w:fill="F4F6F8"/>
          </w:tcPr>
          <w:p>
            <w:pPr>
              <w:spacing w:after="20" w:before="20" w:line="247" w:lineRule="auto"/>
            </w:pPr>
            <w:r>
              <w:rPr>
                <w:b w:val="0"/>
                <w:i w:val="0"/>
                <w:sz w:val="20"/>
              </w:rPr>
              <w:t>Code, fields, logic, language versions, owner, lifecycle</w:t>
            </w:r>
          </w:p>
        </w:tc>
        <w:tc>
          <w:tcPr>
            <w:tcW w:type="dxa" w:w="3498"/>
            <w:vAlign w:val="center"/>
            <w:shd w:fill="F4F6F8"/>
          </w:tcPr>
          <w:p>
            <w:pPr>
              <w:spacing w:after="20" w:before="20" w:line="247" w:lineRule="auto"/>
            </w:pPr>
            <w:r>
              <w:rPr>
                <w:b w:val="0"/>
                <w:i w:val="0"/>
                <w:sz w:val="20"/>
              </w:rPr>
              <w:t>Field IDs immutable within lineage; published form locked; destructive change creates version</w:t>
            </w:r>
          </w:p>
        </w:tc>
      </w:tr>
      <w:tr>
        <w:trPr>
          <w:cantSplit/>
        </w:trPr>
        <w:tc>
          <w:tcPr>
            <w:tcW w:type="dxa" w:w="2199"/>
            <w:vAlign w:val="center"/>
            <w:shd w:fill="FFFFFF"/>
          </w:tcPr>
          <w:p>
            <w:pPr>
              <w:spacing w:after="20" w:before="20" w:line="247" w:lineRule="auto"/>
            </w:pPr>
            <w:r>
              <w:rPr>
                <w:b w:val="0"/>
                <w:i w:val="0"/>
                <w:sz w:val="20"/>
              </w:rPr>
              <w:t>D15 Form field</w:t>
            </w:r>
          </w:p>
        </w:tc>
        <w:tc>
          <w:tcPr>
            <w:tcW w:type="dxa" w:w="4297"/>
            <w:vAlign w:val="center"/>
            <w:shd w:fill="FFFFFF"/>
          </w:tcPr>
          <w:p>
            <w:pPr>
              <w:spacing w:after="20" w:before="20" w:line="247" w:lineRule="auto"/>
            </w:pPr>
            <w:r>
              <w:rPr>
                <w:b w:val="0"/>
                <w:i w:val="0"/>
                <w:sz w:val="20"/>
              </w:rPr>
              <w:t>Stable code, type, label, classification, required or relevance rule</w:t>
            </w:r>
          </w:p>
        </w:tc>
        <w:tc>
          <w:tcPr>
            <w:tcW w:type="dxa" w:w="3498"/>
            <w:vAlign w:val="center"/>
            <w:shd w:fill="FFFFFF"/>
          </w:tcPr>
          <w:p>
            <w:pPr>
              <w:spacing w:after="20" w:before="20" w:line="247" w:lineRule="auto"/>
            </w:pPr>
            <w:r>
              <w:rPr>
                <w:b w:val="0"/>
                <w:i w:val="0"/>
                <w:sz w:val="20"/>
              </w:rPr>
              <w:t>Choices use code list; bounds typed; repeat child has parent definition; no circular calculation</w:t>
            </w:r>
          </w:p>
        </w:tc>
      </w:tr>
      <w:tr>
        <w:trPr>
          <w:cantSplit/>
        </w:trPr>
        <w:tc>
          <w:tcPr>
            <w:tcW w:type="dxa" w:w="2199"/>
            <w:vAlign w:val="center"/>
            <w:shd w:fill="F4F6F8"/>
          </w:tcPr>
          <w:p>
            <w:pPr>
              <w:spacing w:after="20" w:before="20" w:line="247" w:lineRule="auto"/>
            </w:pPr>
            <w:r>
              <w:rPr>
                <w:b w:val="0"/>
                <w:i w:val="0"/>
                <w:sz w:val="20"/>
              </w:rPr>
              <w:t>D16 Collection assignment</w:t>
            </w:r>
          </w:p>
        </w:tc>
        <w:tc>
          <w:tcPr>
            <w:tcW w:type="dxa" w:w="4297"/>
            <w:vAlign w:val="center"/>
            <w:shd w:fill="F4F6F8"/>
          </w:tcPr>
          <w:p>
            <w:pPr>
              <w:spacing w:after="20" w:before="20" w:line="247" w:lineRule="auto"/>
            </w:pPr>
            <w:r>
              <w:rPr>
                <w:b w:val="0"/>
                <w:i w:val="0"/>
                <w:sz w:val="20"/>
              </w:rPr>
              <w:t>Round, form version, assignee, site or eligible subject scope, due time, status</w:t>
            </w:r>
          </w:p>
        </w:tc>
        <w:tc>
          <w:tcPr>
            <w:tcW w:type="dxa" w:w="3498"/>
            <w:vAlign w:val="center"/>
            <w:shd w:fill="F4F6F8"/>
          </w:tcPr>
          <w:p>
            <w:pPr>
              <w:spacing w:after="20" w:before="20" w:line="247" w:lineRule="auto"/>
            </w:pPr>
            <w:r>
              <w:rPr>
                <w:b w:val="0"/>
                <w:i w:val="0"/>
                <w:sz w:val="20"/>
              </w:rPr>
              <w:t>Replacement and reassignment preserve original task identity and history</w:t>
            </w:r>
          </w:p>
        </w:tc>
      </w:tr>
      <w:tr>
        <w:trPr>
          <w:cantSplit/>
        </w:trPr>
        <w:tc>
          <w:tcPr>
            <w:tcW w:type="dxa" w:w="2199"/>
            <w:vAlign w:val="center"/>
            <w:shd w:fill="FFFFFF"/>
          </w:tcPr>
          <w:p>
            <w:pPr>
              <w:spacing w:after="20" w:before="20" w:line="247" w:lineRule="auto"/>
            </w:pPr>
            <w:r>
              <w:rPr>
                <w:b w:val="0"/>
                <w:i w:val="0"/>
                <w:sz w:val="20"/>
              </w:rPr>
              <w:t>D17 Submission</w:t>
            </w:r>
          </w:p>
        </w:tc>
        <w:tc>
          <w:tcPr>
            <w:tcW w:type="dxa" w:w="4297"/>
            <w:vAlign w:val="center"/>
            <w:shd w:fill="FFFFFF"/>
          </w:tcPr>
          <w:p>
            <w:pPr>
              <w:spacing w:after="20" w:before="20" w:line="247" w:lineRule="auto"/>
            </w:pPr>
            <w:r>
              <w:rPr>
                <w:b w:val="0"/>
                <w:i w:val="0"/>
                <w:sz w:val="20"/>
              </w:rPr>
              <w:t>Submission ID, form version, assignment if required, respondent scope, answers, device author, event time</w:t>
            </w:r>
          </w:p>
        </w:tc>
        <w:tc>
          <w:tcPr>
            <w:tcW w:type="dxa" w:w="3498"/>
            <w:vAlign w:val="center"/>
            <w:shd w:fill="FFFFFF"/>
          </w:tcPr>
          <w:p>
            <w:pPr>
              <w:spacing w:after="20" w:before="20" w:line="247" w:lineRule="auto"/>
            </w:pPr>
            <w:r>
              <w:rPr>
                <w:b w:val="0"/>
                <w:i w:val="0"/>
                <w:sz w:val="20"/>
              </w:rPr>
              <w:t>Revision and server receipt separate; required media completeness explicit</w:t>
            </w:r>
          </w:p>
        </w:tc>
      </w:tr>
      <w:tr>
        <w:trPr>
          <w:cantSplit/>
        </w:trPr>
        <w:tc>
          <w:tcPr>
            <w:tcW w:type="dxa" w:w="2199"/>
            <w:vAlign w:val="center"/>
            <w:shd w:fill="F4F6F8"/>
          </w:tcPr>
          <w:p>
            <w:pPr>
              <w:spacing w:after="20" w:before="20" w:line="247" w:lineRule="auto"/>
            </w:pPr>
            <w:r>
              <w:rPr>
                <w:b w:val="0"/>
                <w:i w:val="0"/>
                <w:sz w:val="20"/>
              </w:rPr>
              <w:t>D18 Participant</w:t>
            </w:r>
          </w:p>
        </w:tc>
        <w:tc>
          <w:tcPr>
            <w:tcW w:type="dxa" w:w="4297"/>
            <w:vAlign w:val="center"/>
            <w:shd w:fill="F4F6F8"/>
          </w:tcPr>
          <w:p>
            <w:pPr>
              <w:spacing w:after="20" w:before="20" w:line="247" w:lineRule="auto"/>
            </w:pPr>
            <w:r>
              <w:rPr>
                <w:b w:val="0"/>
                <w:i w:val="0"/>
                <w:sz w:val="20"/>
              </w:rPr>
              <w:t>Programme pseudonym, entity type, purpose, active status</w:t>
            </w:r>
          </w:p>
        </w:tc>
        <w:tc>
          <w:tcPr>
            <w:tcW w:type="dxa" w:w="3498"/>
            <w:vAlign w:val="center"/>
            <w:shd w:fill="F4F6F8"/>
          </w:tcPr>
          <w:p>
            <w:pPr>
              <w:spacing w:after="20" w:before="20" w:line="247" w:lineRule="auto"/>
            </w:pPr>
            <w:r>
              <w:rPr>
                <w:b w:val="0"/>
                <w:i w:val="0"/>
                <w:sz w:val="20"/>
              </w:rPr>
              <w:t>Direct identifiers optional and separately restricted; aggregate-only programmes omit registry entirely</w:t>
            </w:r>
          </w:p>
        </w:tc>
      </w:tr>
      <w:tr>
        <w:trPr>
          <w:cantSplit/>
        </w:trPr>
        <w:tc>
          <w:tcPr>
            <w:tcW w:type="dxa" w:w="2199"/>
            <w:vAlign w:val="center"/>
            <w:shd w:fill="FFFFFF"/>
          </w:tcPr>
          <w:p>
            <w:pPr>
              <w:spacing w:after="20" w:before="20" w:line="247" w:lineRule="auto"/>
            </w:pPr>
            <w:r>
              <w:rPr>
                <w:b w:val="0"/>
                <w:i w:val="0"/>
                <w:sz w:val="20"/>
              </w:rPr>
              <w:t>D19 Relationship or service event</w:t>
            </w:r>
          </w:p>
        </w:tc>
        <w:tc>
          <w:tcPr>
            <w:tcW w:type="dxa" w:w="4297"/>
            <w:vAlign w:val="center"/>
            <w:shd w:fill="FFFFFF"/>
          </w:tcPr>
          <w:p>
            <w:pPr>
              <w:spacing w:after="20" w:before="20" w:line="247" w:lineRule="auto"/>
            </w:pPr>
            <w:r>
              <w:rPr>
                <w:b w:val="0"/>
                <w:i w:val="0"/>
                <w:sz w:val="20"/>
              </w:rPr>
              <w:t>Related entity IDs, relationship or event code, effective or event date, source</w:t>
            </w:r>
          </w:p>
        </w:tc>
        <w:tc>
          <w:tcPr>
            <w:tcW w:type="dxa" w:w="3498"/>
            <w:vAlign w:val="center"/>
            <w:shd w:fill="FFFFFF"/>
          </w:tcPr>
          <w:p>
            <w:pPr>
              <w:spacing w:after="20" w:before="20" w:line="247" w:lineRule="auto"/>
            </w:pPr>
            <w:r>
              <w:rPr>
                <w:b w:val="0"/>
                <w:i w:val="0"/>
                <w:sz w:val="20"/>
              </w:rPr>
              <w:t>Household membership has start and optional end; one event identity prevents repeated attendance imports</w:t>
            </w:r>
          </w:p>
        </w:tc>
      </w:tr>
      <w:tr>
        <w:trPr>
          <w:cantSplit/>
        </w:trPr>
        <w:tc>
          <w:tcPr>
            <w:tcW w:type="dxa" w:w="2199"/>
            <w:vAlign w:val="center"/>
            <w:shd w:fill="F4F6F8"/>
          </w:tcPr>
          <w:p>
            <w:pPr>
              <w:spacing w:after="20" w:before="20" w:line="247" w:lineRule="auto"/>
            </w:pPr>
            <w:r>
              <w:rPr>
                <w:b w:val="0"/>
                <w:i w:val="0"/>
                <w:sz w:val="20"/>
              </w:rPr>
              <w:t>D20 Consent or handling record</w:t>
            </w:r>
          </w:p>
        </w:tc>
        <w:tc>
          <w:tcPr>
            <w:tcW w:type="dxa" w:w="4297"/>
            <w:vAlign w:val="center"/>
            <w:shd w:fill="F4F6F8"/>
          </w:tcPr>
          <w:p>
            <w:pPr>
              <w:spacing w:after="20" w:before="20" w:line="247" w:lineRule="auto"/>
            </w:pPr>
            <w:r>
              <w:rPr>
                <w:b w:val="0"/>
                <w:i w:val="0"/>
                <w:sz w:val="20"/>
              </w:rPr>
              <w:t>Subject, notice version, purpose, handling basis, language, recorded time, recorder, scope</w:t>
            </w:r>
          </w:p>
        </w:tc>
        <w:tc>
          <w:tcPr>
            <w:tcW w:type="dxa" w:w="3498"/>
            <w:vAlign w:val="center"/>
            <w:shd w:fill="F4F6F8"/>
          </w:tcPr>
          <w:p>
            <w:pPr>
              <w:spacing w:after="20" w:before="20" w:line="247" w:lineRule="auto"/>
            </w:pPr>
            <w:r>
              <w:rPr>
                <w:b w:val="0"/>
                <w:i w:val="0"/>
                <w:sz w:val="20"/>
              </w:rPr>
              <w:t>Consent only where applicable; withdrawal scope and effective time explicit</w:t>
            </w:r>
          </w:p>
        </w:tc>
      </w:tr>
      <w:tr>
        <w:trPr>
          <w:cantSplit/>
        </w:trPr>
        <w:tc>
          <w:tcPr>
            <w:tcW w:type="dxa" w:w="2199"/>
            <w:vAlign w:val="center"/>
            <w:shd w:fill="FFFFFF"/>
          </w:tcPr>
          <w:p>
            <w:pPr>
              <w:spacing w:after="20" w:before="20" w:line="247" w:lineRule="auto"/>
            </w:pPr>
            <w:r>
              <w:rPr>
                <w:b w:val="0"/>
                <w:i w:val="0"/>
                <w:sz w:val="20"/>
              </w:rPr>
              <w:t>D21 Dataset version</w:t>
            </w:r>
          </w:p>
        </w:tc>
        <w:tc>
          <w:tcPr>
            <w:tcW w:type="dxa" w:w="4297"/>
            <w:vAlign w:val="center"/>
            <w:shd w:fill="FFFFFF"/>
          </w:tcPr>
          <w:p>
            <w:pPr>
              <w:spacing w:after="20" w:before="20" w:line="247" w:lineRule="auto"/>
            </w:pPr>
            <w:r>
              <w:rPr>
                <w:b w:val="0"/>
                <w:i w:val="0"/>
                <w:sz w:val="20"/>
              </w:rPr>
              <w:t>Name, purpose, owner, source, schema version, classification, retention, refresh contract</w:t>
            </w:r>
          </w:p>
        </w:tc>
        <w:tc>
          <w:tcPr>
            <w:tcW w:type="dxa" w:w="3498"/>
            <w:vAlign w:val="center"/>
            <w:shd w:fill="FFFFFF"/>
          </w:tcPr>
          <w:p>
            <w:pPr>
              <w:spacing w:after="20" w:before="20" w:line="247" w:lineRule="auto"/>
            </w:pPr>
            <w:r>
              <w:rPr>
                <w:b w:val="0"/>
                <w:i w:val="0"/>
                <w:sz w:val="20"/>
              </w:rPr>
              <w:t>Raw receipt immutable; derived dataset records transformation and parent versions</w:t>
            </w:r>
          </w:p>
        </w:tc>
      </w:tr>
      <w:tr>
        <w:trPr>
          <w:cantSplit/>
        </w:trPr>
        <w:tc>
          <w:tcPr>
            <w:tcW w:type="dxa" w:w="2199"/>
            <w:vAlign w:val="center"/>
            <w:shd w:fill="F4F6F8"/>
          </w:tcPr>
          <w:p>
            <w:pPr>
              <w:spacing w:after="20" w:before="20" w:line="247" w:lineRule="auto"/>
            </w:pPr>
            <w:r>
              <w:rPr>
                <w:b w:val="0"/>
                <w:i w:val="0"/>
                <w:sz w:val="20"/>
              </w:rPr>
              <w:t>D22 Import job</w:t>
            </w:r>
          </w:p>
        </w:tc>
        <w:tc>
          <w:tcPr>
            <w:tcW w:type="dxa" w:w="4297"/>
            <w:vAlign w:val="center"/>
            <w:shd w:fill="F4F6F8"/>
          </w:tcPr>
          <w:p>
            <w:pPr>
              <w:spacing w:after="20" w:before="20" w:line="247" w:lineRule="auto"/>
            </w:pPr>
            <w:r>
              <w:rPr>
                <w:b w:val="0"/>
                <w:i w:val="0"/>
                <w:sz w:val="20"/>
              </w:rPr>
              <w:t>Source identity, mapping version, mode, key policy, submitter, operation ID, state</w:t>
            </w:r>
          </w:p>
        </w:tc>
        <w:tc>
          <w:tcPr>
            <w:tcW w:type="dxa" w:w="3498"/>
            <w:vAlign w:val="center"/>
            <w:shd w:fill="F4F6F8"/>
          </w:tcPr>
          <w:p>
            <w:pPr>
              <w:spacing w:after="20" w:before="20" w:line="247" w:lineRule="auto"/>
            </w:pPr>
            <w:r>
              <w:rPr>
                <w:b w:val="0"/>
                <w:i w:val="0"/>
                <w:sz w:val="20"/>
              </w:rPr>
              <w:t>Row outcome counts reconcile; controlled replacement requires impact preview</w:t>
            </w:r>
          </w:p>
        </w:tc>
      </w:tr>
      <w:tr>
        <w:trPr>
          <w:cantSplit/>
        </w:trPr>
        <w:tc>
          <w:tcPr>
            <w:tcW w:type="dxa" w:w="2199"/>
            <w:vAlign w:val="center"/>
            <w:shd w:fill="FFFFFF"/>
          </w:tcPr>
          <w:p>
            <w:pPr>
              <w:spacing w:after="20" w:before="20" w:line="247" w:lineRule="auto"/>
            </w:pPr>
            <w:r>
              <w:rPr>
                <w:b w:val="0"/>
                <w:i w:val="0"/>
                <w:sz w:val="20"/>
              </w:rPr>
              <w:t>D23 Quality issue</w:t>
            </w:r>
          </w:p>
        </w:tc>
        <w:tc>
          <w:tcPr>
            <w:tcW w:type="dxa" w:w="4297"/>
            <w:vAlign w:val="center"/>
            <w:shd w:fill="FFFFFF"/>
          </w:tcPr>
          <w:p>
            <w:pPr>
              <w:spacing w:after="20" w:before="20" w:line="247" w:lineRule="auto"/>
            </w:pPr>
            <w:r>
              <w:rPr>
                <w:b w:val="0"/>
                <w:i w:val="0"/>
                <w:sz w:val="20"/>
              </w:rPr>
              <w:t>Rule version, affected object and revision, severity, owner, status, detected time</w:t>
            </w:r>
          </w:p>
        </w:tc>
        <w:tc>
          <w:tcPr>
            <w:tcW w:type="dxa" w:w="3498"/>
            <w:vAlign w:val="center"/>
            <w:shd w:fill="FFFFFF"/>
          </w:tcPr>
          <w:p>
            <w:pPr>
              <w:spacing w:after="20" w:before="20" w:line="247" w:lineRule="auto"/>
            </w:pPr>
            <w:r>
              <w:rPr>
                <w:b w:val="0"/>
                <w:i w:val="0"/>
                <w:sz w:val="20"/>
              </w:rPr>
              <w:t>Exception needs authority, reason, scope and expiry; dismissal is not correction</w:t>
            </w:r>
          </w:p>
        </w:tc>
      </w:tr>
      <w:tr>
        <w:trPr>
          <w:cantSplit/>
        </w:trPr>
        <w:tc>
          <w:tcPr>
            <w:tcW w:type="dxa" w:w="2199"/>
            <w:vAlign w:val="center"/>
            <w:shd w:fill="F4F6F8"/>
          </w:tcPr>
          <w:p>
            <w:pPr>
              <w:spacing w:after="20" w:before="20" w:line="247" w:lineRule="auto"/>
            </w:pPr>
            <w:r>
              <w:rPr>
                <w:b w:val="0"/>
                <w:i w:val="0"/>
                <w:sz w:val="20"/>
              </w:rPr>
              <w:t>D24 Evidence version</w:t>
            </w:r>
          </w:p>
        </w:tc>
        <w:tc>
          <w:tcPr>
            <w:tcW w:type="dxa" w:w="4297"/>
            <w:vAlign w:val="center"/>
            <w:shd w:fill="F4F6F8"/>
          </w:tcPr>
          <w:p>
            <w:pPr>
              <w:spacing w:after="20" w:before="20" w:line="247" w:lineRule="auto"/>
            </w:pPr>
            <w:r>
              <w:rPr>
                <w:b w:val="0"/>
                <w:i w:val="0"/>
                <w:sz w:val="20"/>
              </w:rPr>
              <w:t>File or external reference, source, owner, date, type, integrity reference, classification, verification state</w:t>
            </w:r>
          </w:p>
        </w:tc>
        <w:tc>
          <w:tcPr>
            <w:tcW w:type="dxa" w:w="3498"/>
            <w:vAlign w:val="center"/>
            <w:shd w:fill="F4F6F8"/>
          </w:tcPr>
          <w:p>
            <w:pPr>
              <w:spacing w:after="20" w:before="20" w:line="247" w:lineRule="auto"/>
            </w:pPr>
            <w:r>
              <w:rPr>
                <w:b w:val="0"/>
                <w:i w:val="0"/>
                <w:sz w:val="20"/>
              </w:rPr>
              <w:t>Scan status, provenance and publication consent are separate fields</w:t>
            </w:r>
          </w:p>
        </w:tc>
      </w:tr>
      <w:tr>
        <w:trPr>
          <w:cantSplit/>
        </w:trPr>
        <w:tc>
          <w:tcPr>
            <w:tcW w:type="dxa" w:w="2199"/>
            <w:vAlign w:val="center"/>
            <w:shd w:fill="FFFFFF"/>
          </w:tcPr>
          <w:p>
            <w:pPr>
              <w:spacing w:after="20" w:before="20" w:line="247" w:lineRule="auto"/>
            </w:pPr>
            <w:r>
              <w:rPr>
                <w:b w:val="0"/>
                <w:i w:val="0"/>
                <w:sz w:val="20"/>
              </w:rPr>
              <w:t>D25 Workflow instance</w:t>
            </w:r>
          </w:p>
        </w:tc>
        <w:tc>
          <w:tcPr>
            <w:tcW w:type="dxa" w:w="4297"/>
            <w:vAlign w:val="center"/>
            <w:shd w:fill="FFFFFF"/>
          </w:tcPr>
          <w:p>
            <w:pPr>
              <w:spacing w:after="20" w:before="20" w:line="247" w:lineRule="auto"/>
            </w:pPr>
            <w:r>
              <w:rPr>
                <w:b w:val="0"/>
                <w:i w:val="0"/>
                <w:sz w:val="20"/>
              </w:rPr>
              <w:t>Object and version, workflow version, stages, candidate reviewers, status</w:t>
            </w:r>
          </w:p>
        </w:tc>
        <w:tc>
          <w:tcPr>
            <w:tcW w:type="dxa" w:w="3498"/>
            <w:vAlign w:val="center"/>
            <w:shd w:fill="FFFFFF"/>
          </w:tcPr>
          <w:p>
            <w:pPr>
              <w:spacing w:after="20" w:before="20" w:line="247" w:lineRule="auto"/>
            </w:pPr>
            <w:r>
              <w:rPr>
                <w:b w:val="0"/>
                <w:i w:val="0"/>
                <w:sz w:val="20"/>
              </w:rPr>
              <w:t>Decisions immutable; current authority and independence checked at each stage</w:t>
            </w:r>
          </w:p>
        </w:tc>
      </w:tr>
      <w:tr>
        <w:trPr>
          <w:cantSplit/>
        </w:trPr>
        <w:tc>
          <w:tcPr>
            <w:tcW w:type="dxa" w:w="2199"/>
            <w:vAlign w:val="center"/>
            <w:shd w:fill="F4F6F8"/>
          </w:tcPr>
          <w:p>
            <w:pPr>
              <w:spacing w:after="20" w:before="20" w:line="247" w:lineRule="auto"/>
            </w:pPr>
            <w:r>
              <w:rPr>
                <w:b w:val="0"/>
                <w:i w:val="0"/>
                <w:sz w:val="20"/>
              </w:rPr>
              <w:t>D26 Decision</w:t>
            </w:r>
          </w:p>
        </w:tc>
        <w:tc>
          <w:tcPr>
            <w:tcW w:type="dxa" w:w="4297"/>
            <w:vAlign w:val="center"/>
            <w:shd w:fill="F4F6F8"/>
          </w:tcPr>
          <w:p>
            <w:pPr>
              <w:spacing w:after="20" w:before="20" w:line="247" w:lineRule="auto"/>
            </w:pPr>
            <w:r>
              <w:rPr>
                <w:b w:val="0"/>
                <w:i w:val="0"/>
                <w:sz w:val="20"/>
              </w:rPr>
              <w:t>Actor, capacity, candidate version, action, time, reason, evidence references</w:t>
            </w:r>
          </w:p>
        </w:tc>
        <w:tc>
          <w:tcPr>
            <w:tcW w:type="dxa" w:w="3498"/>
            <w:vAlign w:val="center"/>
            <w:shd w:fill="F4F6F8"/>
          </w:tcPr>
          <w:p>
            <w:pPr>
              <w:spacing w:after="20" w:before="20" w:line="247" w:lineRule="auto"/>
            </w:pPr>
            <w:r>
              <w:rPr>
                <w:b w:val="0"/>
                <w:i w:val="0"/>
                <w:sz w:val="20"/>
              </w:rPr>
              <w:t>No decision fabricated for imported historic records; delegated actor recorded</w:t>
            </w:r>
          </w:p>
        </w:tc>
      </w:tr>
      <w:tr>
        <w:trPr>
          <w:cantSplit/>
        </w:trPr>
        <w:tc>
          <w:tcPr>
            <w:tcW w:type="dxa" w:w="2199"/>
            <w:vAlign w:val="center"/>
            <w:shd w:fill="FFFFFF"/>
          </w:tcPr>
          <w:p>
            <w:pPr>
              <w:spacing w:after="20" w:before="20" w:line="247" w:lineRule="auto"/>
            </w:pPr>
            <w:r>
              <w:rPr>
                <w:b w:val="0"/>
                <w:i w:val="0"/>
                <w:sz w:val="20"/>
              </w:rPr>
              <w:t>D27 Snapshot</w:t>
            </w:r>
          </w:p>
        </w:tc>
        <w:tc>
          <w:tcPr>
            <w:tcW w:type="dxa" w:w="4297"/>
            <w:vAlign w:val="center"/>
            <w:shd w:fill="FFFFFF"/>
          </w:tcPr>
          <w:p>
            <w:pPr>
              <w:spacing w:after="20" w:before="20" w:line="247" w:lineRule="auto"/>
            </w:pPr>
            <w:r>
              <w:rPr>
                <w:b w:val="0"/>
                <w:i w:val="0"/>
                <w:sz w:val="20"/>
              </w:rPr>
              <w:t>Scope, period, definition set, target set, approved result set, evidence set, policy context, lock time</w:t>
            </w:r>
          </w:p>
        </w:tc>
        <w:tc>
          <w:tcPr>
            <w:tcW w:type="dxa" w:w="3498"/>
            <w:vAlign w:val="center"/>
            <w:shd w:fill="FFFFFF"/>
          </w:tcPr>
          <w:p>
            <w:pPr>
              <w:spacing w:after="20" w:before="20" w:line="247" w:lineRule="auto"/>
            </w:pPr>
            <w:r>
              <w:rPr>
                <w:b w:val="0"/>
                <w:i w:val="0"/>
                <w:sz w:val="20"/>
              </w:rPr>
              <w:t>Immutable manifest; deletion restrictions can withhold content without rewriting original arithmetic</w:t>
            </w:r>
          </w:p>
        </w:tc>
      </w:tr>
      <w:tr>
        <w:trPr>
          <w:cantSplit/>
        </w:trPr>
        <w:tc>
          <w:tcPr>
            <w:tcW w:type="dxa" w:w="2199"/>
            <w:vAlign w:val="center"/>
            <w:shd w:fill="F4F6F8"/>
          </w:tcPr>
          <w:p>
            <w:pPr>
              <w:spacing w:after="20" w:before="20" w:line="247" w:lineRule="auto"/>
            </w:pPr>
            <w:r>
              <w:rPr>
                <w:b w:val="0"/>
                <w:i w:val="0"/>
                <w:sz w:val="20"/>
              </w:rPr>
              <w:t>D28 Report version</w:t>
            </w:r>
          </w:p>
        </w:tc>
        <w:tc>
          <w:tcPr>
            <w:tcW w:type="dxa" w:w="4297"/>
            <w:vAlign w:val="center"/>
            <w:shd w:fill="F4F6F8"/>
          </w:tcPr>
          <w:p>
            <w:pPr>
              <w:spacing w:after="20" w:before="20" w:line="247" w:lineRule="auto"/>
            </w:pPr>
            <w:r>
              <w:rPr>
                <w:b w:val="0"/>
                <w:i w:val="0"/>
                <w:sz w:val="20"/>
              </w:rPr>
              <w:t>Template version, snapshot, language, audience class, sections, owner, status</w:t>
            </w:r>
          </w:p>
        </w:tc>
        <w:tc>
          <w:tcPr>
            <w:tcW w:type="dxa" w:w="3498"/>
            <w:vAlign w:val="center"/>
            <w:shd w:fill="F4F6F8"/>
          </w:tcPr>
          <w:p>
            <w:pPr>
              <w:spacing w:after="20" w:before="20" w:line="247" w:lineRule="auto"/>
            </w:pPr>
            <w:r>
              <w:rPr>
                <w:b w:val="0"/>
                <w:i w:val="0"/>
                <w:sz w:val="20"/>
              </w:rPr>
              <w:t>Official numeric fields bind to result references; approved version immutable</w:t>
            </w:r>
          </w:p>
        </w:tc>
      </w:tr>
      <w:tr>
        <w:trPr>
          <w:cantSplit/>
        </w:trPr>
        <w:tc>
          <w:tcPr>
            <w:tcW w:type="dxa" w:w="2199"/>
            <w:vAlign w:val="center"/>
            <w:shd w:fill="FFFFFF"/>
          </w:tcPr>
          <w:p>
            <w:pPr>
              <w:spacing w:after="20" w:before="20" w:line="247" w:lineRule="auto"/>
            </w:pPr>
            <w:r>
              <w:rPr>
                <w:b w:val="0"/>
                <w:i w:val="0"/>
                <w:sz w:val="20"/>
              </w:rPr>
              <w:t>D29 Disclosure</w:t>
            </w:r>
          </w:p>
        </w:tc>
        <w:tc>
          <w:tcPr>
            <w:tcW w:type="dxa" w:w="4297"/>
            <w:vAlign w:val="center"/>
            <w:shd w:fill="FFFFFF"/>
          </w:tcPr>
          <w:p>
            <w:pPr>
              <w:spacing w:after="20" w:before="20" w:line="247" w:lineRule="auto"/>
            </w:pPr>
            <w:r>
              <w:rPr>
                <w:b w:val="0"/>
                <w:i w:val="0"/>
                <w:sz w:val="20"/>
              </w:rPr>
              <w:t>Artifact version, recipients or public audience, purpose, policy review, expiry, owner</w:t>
            </w:r>
          </w:p>
        </w:tc>
        <w:tc>
          <w:tcPr>
            <w:tcW w:type="dxa" w:w="3498"/>
            <w:vAlign w:val="center"/>
            <w:shd w:fill="FFFFFF"/>
          </w:tcPr>
          <w:p>
            <w:pPr>
              <w:spacing w:after="20" w:before="20" w:line="247" w:lineRule="auto"/>
            </w:pPr>
            <w:r>
              <w:rPr>
                <w:b w:val="0"/>
                <w:i w:val="0"/>
                <w:sz w:val="20"/>
              </w:rPr>
              <w:t>Public cells and privacy transformations fixed at approval; download rights explicit</w:t>
            </w:r>
          </w:p>
        </w:tc>
      </w:tr>
      <w:tr>
        <w:trPr>
          <w:cantSplit/>
        </w:trPr>
        <w:tc>
          <w:tcPr>
            <w:tcW w:type="dxa" w:w="2199"/>
            <w:vAlign w:val="center"/>
            <w:shd w:fill="F4F6F8"/>
          </w:tcPr>
          <w:p>
            <w:pPr>
              <w:spacing w:after="20" w:before="20" w:line="247" w:lineRule="auto"/>
            </w:pPr>
            <w:r>
              <w:rPr>
                <w:b w:val="0"/>
                <w:i w:val="0"/>
                <w:sz w:val="20"/>
              </w:rPr>
              <w:t>D30 Funding or budget line</w:t>
            </w:r>
          </w:p>
        </w:tc>
        <w:tc>
          <w:tcPr>
            <w:tcW w:type="dxa" w:w="4297"/>
            <w:vAlign w:val="center"/>
            <w:shd w:fill="F4F6F8"/>
          </w:tcPr>
          <w:p>
            <w:pPr>
              <w:spacing w:after="20" w:before="20" w:line="247" w:lineRule="auto"/>
            </w:pPr>
            <w:r>
              <w:rPr>
                <w:b w:val="0"/>
                <w:i w:val="0"/>
                <w:sz w:val="20"/>
              </w:rPr>
              <w:t>Agreement, project, category, period, amount, currency, version, owner</w:t>
            </w:r>
          </w:p>
        </w:tc>
        <w:tc>
          <w:tcPr>
            <w:tcW w:type="dxa" w:w="3498"/>
            <w:vAlign w:val="center"/>
            <w:shd w:fill="F4F6F8"/>
          </w:tcPr>
          <w:p>
            <w:pPr>
              <w:spacing w:after="20" w:before="20" w:line="247" w:lineRule="auto"/>
            </w:pPr>
            <w:r>
              <w:rPr>
                <w:b w:val="0"/>
                <w:i w:val="0"/>
                <w:sz w:val="20"/>
              </w:rPr>
              <w:t>Rate reference for conversion; actual expenditure has independent source transaction key</w:t>
            </w:r>
          </w:p>
        </w:tc>
      </w:tr>
      <w:tr>
        <w:trPr>
          <w:cantSplit/>
        </w:trPr>
        <w:tc>
          <w:tcPr>
            <w:tcW w:type="dxa" w:w="2199"/>
            <w:vAlign w:val="center"/>
            <w:shd w:fill="FFFFFF"/>
          </w:tcPr>
          <w:p>
            <w:pPr>
              <w:spacing w:after="20" w:before="20" w:line="247" w:lineRule="auto"/>
            </w:pPr>
            <w:r>
              <w:rPr>
                <w:b w:val="0"/>
                <w:i w:val="0"/>
                <w:sz w:val="20"/>
              </w:rPr>
              <w:t>D31 Connection</w:t>
            </w:r>
          </w:p>
        </w:tc>
        <w:tc>
          <w:tcPr>
            <w:tcW w:type="dxa" w:w="4297"/>
            <w:vAlign w:val="center"/>
            <w:shd w:fill="FFFFFF"/>
          </w:tcPr>
          <w:p>
            <w:pPr>
              <w:spacing w:after="20" w:before="20" w:line="247" w:lineRule="auto"/>
            </w:pPr>
            <w:r>
              <w:rPr>
                <w:b w:val="0"/>
                <w:i w:val="0"/>
                <w:sz w:val="20"/>
              </w:rPr>
              <w:t>Type, authorised object scope, owner, credential reference, mapping, schedule, state</w:t>
            </w:r>
          </w:p>
        </w:tc>
        <w:tc>
          <w:tcPr>
            <w:tcW w:type="dxa" w:w="3498"/>
            <w:vAlign w:val="center"/>
            <w:shd w:fill="FFFFFF"/>
          </w:tcPr>
          <w:p>
            <w:pPr>
              <w:spacing w:after="20" w:before="20" w:line="247" w:lineRule="auto"/>
            </w:pPr>
            <w:r>
              <w:rPr>
                <w:b w:val="0"/>
                <w:i w:val="0"/>
                <w:sz w:val="20"/>
              </w:rPr>
              <w:t>Secret value not readable after entry; credential expiry and upstream permission health visible</w:t>
            </w:r>
          </w:p>
        </w:tc>
      </w:tr>
      <w:tr>
        <w:trPr>
          <w:cantSplit/>
        </w:trPr>
        <w:tc>
          <w:tcPr>
            <w:tcW w:type="dxa" w:w="2199"/>
            <w:vAlign w:val="center"/>
            <w:shd w:fill="F4F6F8"/>
          </w:tcPr>
          <w:p>
            <w:pPr>
              <w:spacing w:after="20" w:before="20" w:line="247" w:lineRule="auto"/>
            </w:pPr>
            <w:r>
              <w:rPr>
                <w:b w:val="0"/>
                <w:i w:val="0"/>
                <w:sz w:val="20"/>
              </w:rPr>
              <w:t>D32 AI task and proposal</w:t>
            </w:r>
          </w:p>
        </w:tc>
        <w:tc>
          <w:tcPr>
            <w:tcW w:type="dxa" w:w="4297"/>
            <w:vAlign w:val="center"/>
            <w:shd w:fill="F4F6F8"/>
          </w:tcPr>
          <w:p>
            <w:pPr>
              <w:spacing w:after="20" w:before="20" w:line="247" w:lineRule="auto"/>
            </w:pPr>
            <w:r>
              <w:rPr>
                <w:b w:val="0"/>
                <w:i w:val="0"/>
                <w:sz w:val="20"/>
              </w:rPr>
              <w:t>Use case, requester, tenant, permitted sources, configuration version, state, budget context</w:t>
            </w:r>
          </w:p>
        </w:tc>
        <w:tc>
          <w:tcPr>
            <w:tcW w:type="dxa" w:w="3498"/>
            <w:vAlign w:val="center"/>
            <w:shd w:fill="F4F6F8"/>
          </w:tcPr>
          <w:p>
            <w:pPr>
              <w:spacing w:after="20" w:before="20" w:line="247" w:lineRule="auto"/>
            </w:pPr>
            <w:r>
              <w:rPr>
                <w:b w:val="0"/>
                <w:i w:val="0"/>
                <w:sz w:val="20"/>
              </w:rPr>
              <w:t>Applied proposal has exact diff, source revisions, confirming actor and domain command receipts</w:t>
            </w:r>
          </w:p>
        </w:tc>
      </w:tr>
      <w:tr>
        <w:trPr>
          <w:cantSplit/>
        </w:trPr>
        <w:tc>
          <w:tcPr>
            <w:tcW w:type="dxa" w:w="2199"/>
            <w:vAlign w:val="center"/>
            <w:shd w:fill="FFFFFF"/>
          </w:tcPr>
          <w:p>
            <w:pPr>
              <w:spacing w:after="20" w:before="20" w:line="247" w:lineRule="auto"/>
            </w:pPr>
            <w:r>
              <w:rPr>
                <w:b w:val="0"/>
                <w:i w:val="0"/>
                <w:sz w:val="20"/>
              </w:rPr>
              <w:t>D33 Privacy case</w:t>
            </w:r>
          </w:p>
        </w:tc>
        <w:tc>
          <w:tcPr>
            <w:tcW w:type="dxa" w:w="4297"/>
            <w:vAlign w:val="center"/>
            <w:shd w:fill="FFFFFF"/>
          </w:tcPr>
          <w:p>
            <w:pPr>
              <w:spacing w:after="20" w:before="20" w:line="247" w:lineRule="auto"/>
            </w:pPr>
            <w:r>
              <w:rPr>
                <w:b w:val="0"/>
                <w:i w:val="0"/>
                <w:sz w:val="20"/>
              </w:rPr>
              <w:t>Verified requester reference, request type, affected scope, handling authority, deadline, case status</w:t>
            </w:r>
          </w:p>
        </w:tc>
        <w:tc>
          <w:tcPr>
            <w:tcW w:type="dxa" w:w="3498"/>
            <w:vAlign w:val="center"/>
            <w:shd w:fill="FFFFFF"/>
          </w:tcPr>
          <w:p>
            <w:pPr>
              <w:spacing w:after="20" w:before="20" w:line="247" w:lineRule="auto"/>
            </w:pPr>
            <w:r>
              <w:rPr>
                <w:b w:val="0"/>
                <w:i w:val="0"/>
                <w:sz w:val="20"/>
              </w:rPr>
              <w:t>Identity verification evidence restricted; holds and external actions tracked separately</w:t>
            </w:r>
          </w:p>
        </w:tc>
      </w:tr>
      <w:tr>
        <w:trPr>
          <w:cantSplit/>
        </w:trPr>
        <w:tc>
          <w:tcPr>
            <w:tcW w:type="dxa" w:w="2199"/>
            <w:vAlign w:val="center"/>
            <w:shd w:fill="F4F6F8"/>
          </w:tcPr>
          <w:p>
            <w:pPr>
              <w:spacing w:after="20" w:before="20" w:line="247" w:lineRule="auto"/>
            </w:pPr>
            <w:r>
              <w:rPr>
                <w:b w:val="0"/>
                <w:i w:val="0"/>
                <w:sz w:val="20"/>
              </w:rPr>
              <w:t>D34 Audit event</w:t>
            </w:r>
          </w:p>
        </w:tc>
        <w:tc>
          <w:tcPr>
            <w:tcW w:type="dxa" w:w="4297"/>
            <w:vAlign w:val="center"/>
            <w:shd w:fill="F4F6F8"/>
          </w:tcPr>
          <w:p>
            <w:pPr>
              <w:spacing w:after="20" w:before="20" w:line="247" w:lineRule="auto"/>
            </w:pPr>
            <w:r>
              <w:rPr>
                <w:b w:val="0"/>
                <w:i w:val="0"/>
                <w:sz w:val="20"/>
              </w:rPr>
              <w:t>Tenant, real actor, effective actor if delegated, action, object reference, outcome, time, correlation</w:t>
            </w:r>
          </w:p>
        </w:tc>
        <w:tc>
          <w:tcPr>
            <w:tcW w:type="dxa" w:w="3498"/>
            <w:vAlign w:val="center"/>
            <w:shd w:fill="F4F6F8"/>
          </w:tcPr>
          <w:p>
            <w:pPr>
              <w:spacing w:after="20" w:before="20" w:line="247" w:lineRule="auto"/>
            </w:pPr>
            <w:r>
              <w:rPr>
                <w:b w:val="0"/>
                <w:i w:val="0"/>
                <w:sz w:val="20"/>
              </w:rPr>
              <w:t>No secrets or unnecessary payload; restricted read events record category rather than values</w:t>
            </w:r>
          </w:p>
        </w:tc>
      </w:tr>
      <w:tr>
        <w:trPr>
          <w:cantSplit/>
        </w:trPr>
        <w:tc>
          <w:tcPr>
            <w:tcW w:type="dxa" w:w="2199"/>
            <w:vAlign w:val="center"/>
            <w:shd w:fill="FFFFFF"/>
          </w:tcPr>
          <w:p>
            <w:pPr>
              <w:spacing w:after="20" w:before="20" w:line="247" w:lineRule="auto"/>
            </w:pPr>
            <w:r>
              <w:rPr>
                <w:b w:val="0"/>
                <w:i w:val="0"/>
                <w:sz w:val="20"/>
              </w:rPr>
              <w:t>D35 Evaluation and finding</w:t>
            </w:r>
          </w:p>
        </w:tc>
        <w:tc>
          <w:tcPr>
            <w:tcW w:type="dxa" w:w="4297"/>
            <w:vAlign w:val="center"/>
            <w:shd w:fill="FFFFFF"/>
          </w:tcPr>
          <w:p>
            <w:pPr>
              <w:spacing w:after="20" w:before="20" w:line="247" w:lineRule="auto"/>
            </w:pPr>
            <w:r>
              <w:rPr>
                <w:b w:val="0"/>
                <w:i w:val="0"/>
                <w:sz w:val="20"/>
              </w:rPr>
              <w:t>Questions, programme baseline, methods, study period, evaluator, evidence, limitations</w:t>
            </w:r>
          </w:p>
        </w:tc>
        <w:tc>
          <w:tcPr>
            <w:tcW w:type="dxa" w:w="3498"/>
            <w:vAlign w:val="center"/>
            <w:shd w:fill="FFFFFF"/>
          </w:tcPr>
          <w:p>
            <w:pPr>
              <w:spacing w:after="20" w:before="20" w:line="247" w:lineRule="auto"/>
            </w:pPr>
            <w:r>
              <w:rPr>
                <w:b w:val="0"/>
                <w:i w:val="0"/>
                <w:sz w:val="20"/>
              </w:rPr>
              <w:t>Causal claim requires reviewed methodology; contradictory evidence references retained</w:t>
            </w:r>
          </w:p>
        </w:tc>
      </w:tr>
      <w:tr>
        <w:trPr>
          <w:cantSplit/>
        </w:trPr>
        <w:tc>
          <w:tcPr>
            <w:tcW w:type="dxa" w:w="2199"/>
            <w:vAlign w:val="center"/>
            <w:shd w:fill="F4F6F8"/>
          </w:tcPr>
          <w:p>
            <w:pPr>
              <w:spacing w:after="20" w:before="20" w:line="247" w:lineRule="auto"/>
            </w:pPr>
            <w:r>
              <w:rPr>
                <w:b w:val="0"/>
                <w:i w:val="0"/>
                <w:sz w:val="20"/>
              </w:rPr>
              <w:t>D36 Retention and hold</w:t>
            </w:r>
          </w:p>
        </w:tc>
        <w:tc>
          <w:tcPr>
            <w:tcW w:type="dxa" w:w="4297"/>
            <w:vAlign w:val="center"/>
            <w:shd w:fill="F4F6F8"/>
          </w:tcPr>
          <w:p>
            <w:pPr>
              <w:spacing w:after="20" w:before="20" w:line="247" w:lineRule="auto"/>
            </w:pPr>
            <w:r>
              <w:rPr>
                <w:b w:val="0"/>
                <w:i w:val="0"/>
                <w:sz w:val="20"/>
              </w:rPr>
              <w:t>Data class, purpose, trigger, duration, expiry action, policy owner</w:t>
            </w:r>
          </w:p>
        </w:tc>
        <w:tc>
          <w:tcPr>
            <w:tcW w:type="dxa" w:w="3498"/>
            <w:vAlign w:val="center"/>
            <w:shd w:fill="F4F6F8"/>
          </w:tcPr>
          <w:p>
            <w:pPr>
              <w:spacing w:after="20" w:before="20" w:line="247" w:lineRule="auto"/>
            </w:pPr>
            <w:r>
              <w:rPr>
                <w:b w:val="0"/>
                <w:i w:val="0"/>
                <w:sz w:val="20"/>
              </w:rPr>
              <w:t>Hold has authority, reason, covered objects, review date and release decision</w:t>
            </w:r>
          </w:p>
        </w:tc>
      </w:tr>
      <w:tr>
        <w:trPr>
          <w:cantSplit/>
        </w:trPr>
        <w:tc>
          <w:tcPr>
            <w:tcW w:type="dxa" w:w="2199"/>
            <w:vAlign w:val="center"/>
            <w:shd w:fill="FFFFFF"/>
          </w:tcPr>
          <w:p>
            <w:pPr>
              <w:spacing w:after="20" w:before="20" w:line="247" w:lineRule="auto"/>
            </w:pPr>
            <w:r>
              <w:rPr>
                <w:b w:val="0"/>
                <w:i w:val="0"/>
                <w:sz w:val="20"/>
              </w:rPr>
              <w:t>D37 Subscription and entitlement</w:t>
            </w:r>
          </w:p>
        </w:tc>
        <w:tc>
          <w:tcPr>
            <w:tcW w:type="dxa" w:w="4297"/>
            <w:vAlign w:val="center"/>
            <w:shd w:fill="FFFFFF"/>
          </w:tcPr>
          <w:p>
            <w:pPr>
              <w:spacing w:after="20" w:before="20" w:line="247" w:lineRule="auto"/>
            </w:pPr>
            <w:r>
              <w:rPr>
                <w:b w:val="0"/>
                <w:i w:val="0"/>
                <w:sz w:val="20"/>
              </w:rPr>
              <w:t>Plan reference, commercial status, effective dates, authorised limits, billing contact</w:t>
            </w:r>
          </w:p>
        </w:tc>
        <w:tc>
          <w:tcPr>
            <w:tcW w:type="dxa" w:w="3498"/>
            <w:vAlign w:val="center"/>
            <w:shd w:fill="FFFFFF"/>
          </w:tcPr>
          <w:p>
            <w:pPr>
              <w:spacing w:after="20" w:before="20" w:line="247" w:lineRule="auto"/>
            </w:pPr>
            <w:r>
              <w:rPr>
                <w:b w:val="0"/>
                <w:i w:val="0"/>
                <w:sz w:val="20"/>
              </w:rPr>
              <w:t>Independent of data permissions and tenant deletion state</w:t>
            </w:r>
          </w:p>
        </w:tc>
      </w:tr>
    </w:tbl>
    <w:p>
      <w:pPr>
        <w:keepNext w:val="0"/>
        <w:spacing w:after="60" w:line="240" w:lineRule="auto" w:before="0"/>
      </w:pPr>
      <w:r>
        <w:rPr>
          <w:b w:val="0"/>
          <w:i w:val="0"/>
          <w:sz w:val="2"/>
        </w:rPr>
      </w:r>
    </w:p>
    <w:p>
      <w:pPr>
        <w:pStyle w:val="Heading2"/>
      </w:pPr>
      <w:r>
        <w:rPr>
          <w:b w:val="0"/>
          <w:i w:val="0"/>
        </w:rPr>
        <w:t>4 2 Null states and field validation</w:t>
      </w:r>
    </w:p>
    <w:p>
      <w:r>
        <w:rPr>
          <w:b w:val="0"/>
          <w:i w:val="0"/>
        </w:rPr>
        <w:t>The observation value_state enum is PRESENT, MISSING, NOT_COLLECTED, NOT_APPLICABLE, INVALID or UNDEFINED. PRESENT may contain numeric zero. Approval status, staleness and coverage are separate fields. SUPPRESSED is a disclosure presentation state: an authorised internal calculation may have a value while an external view must withhold it. PENDING_APPROVAL is a workflow state, never a numeric value. Import mappings must not collapse these concepts into a nullable number.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698"/>
        <w:gridCol w:w="1599"/>
        <w:gridCol w:w="3498"/>
      </w:tblGrid>
      <w:tr>
        <w:trPr>
          <w:cantSplit/>
          <w:tblHeader/>
        </w:trPr>
        <w:tc>
          <w:tcPr>
            <w:tcW w:type="dxa" w:w="2199"/>
            <w:vAlign w:val="center"/>
            <w:shd w:fill="233B53"/>
          </w:tcPr>
          <w:p>
            <w:pPr>
              <w:spacing w:after="20" w:before="20" w:line="247" w:lineRule="auto"/>
            </w:pPr>
            <w:r>
              <w:rPr>
                <w:b/>
                <w:i w:val="0"/>
                <w:color w:val="FFFFFF"/>
                <w:sz w:val="20"/>
              </w:rPr>
              <w:t>Value or state</w:t>
            </w:r>
          </w:p>
        </w:tc>
        <w:tc>
          <w:tcPr>
            <w:tcW w:type="dxa" w:w="2698"/>
            <w:vAlign w:val="center"/>
            <w:shd w:fill="233B53"/>
          </w:tcPr>
          <w:p>
            <w:pPr>
              <w:spacing w:after="20" w:before="20" w:line="247" w:lineRule="auto"/>
            </w:pPr>
            <w:r>
              <w:rPr>
                <w:b/>
                <w:i w:val="0"/>
                <w:color w:val="FFFFFF"/>
                <w:sz w:val="20"/>
              </w:rPr>
              <w:t>Official calculation</w:t>
            </w:r>
          </w:p>
        </w:tc>
        <w:tc>
          <w:tcPr>
            <w:tcW w:type="dxa" w:w="1599"/>
            <w:vAlign w:val="center"/>
            <w:shd w:fill="233B53"/>
          </w:tcPr>
          <w:p>
            <w:pPr>
              <w:spacing w:after="20" w:before="20" w:line="247" w:lineRule="auto"/>
            </w:pPr>
            <w:r>
              <w:rPr>
                <w:b/>
                <w:i w:val="0"/>
                <w:color w:val="FFFFFF"/>
                <w:sz w:val="20"/>
              </w:rPr>
              <w:t>Completeness treatment</w:t>
            </w:r>
          </w:p>
        </w:tc>
        <w:tc>
          <w:tcPr>
            <w:tcW w:type="dxa" w:w="3498"/>
            <w:vAlign w:val="center"/>
            <w:shd w:fill="233B53"/>
          </w:tcPr>
          <w:p>
            <w:pPr>
              <w:spacing w:after="20" w:before="20" w:line="247" w:lineRule="auto"/>
            </w:pPr>
            <w:r>
              <w:rPr>
                <w:b/>
                <w:i w:val="0"/>
                <w:color w:val="FFFFFF"/>
                <w:sz w:val="20"/>
              </w:rPr>
              <w:t>Display and export</w:t>
            </w:r>
          </w:p>
        </w:tc>
      </w:tr>
      <w:tr>
        <w:trPr>
          <w:cantSplit/>
        </w:trPr>
        <w:tc>
          <w:tcPr>
            <w:tcW w:type="dxa" w:w="2199"/>
            <w:vAlign w:val="center"/>
            <w:shd w:fill="FFFFFF"/>
          </w:tcPr>
          <w:p>
            <w:pPr>
              <w:spacing w:after="20" w:before="20" w:line="247" w:lineRule="auto"/>
            </w:pPr>
            <w:r>
              <w:rPr>
                <w:b w:val="0"/>
                <w:i w:val="0"/>
                <w:sz w:val="20"/>
              </w:rPr>
              <w:t>PRESENT zero</w:t>
            </w:r>
          </w:p>
        </w:tc>
        <w:tc>
          <w:tcPr>
            <w:tcW w:type="dxa" w:w="2698"/>
            <w:vAlign w:val="center"/>
            <w:shd w:fill="FFFFFF"/>
          </w:tcPr>
          <w:p>
            <w:pPr>
              <w:spacing w:after="20" w:before="20" w:line="247" w:lineRule="auto"/>
            </w:pPr>
            <w:r>
              <w:rPr>
                <w:b w:val="0"/>
                <w:i w:val="0"/>
                <w:sz w:val="20"/>
              </w:rPr>
              <w:t>Include zero where eligible</w:t>
            </w:r>
          </w:p>
        </w:tc>
        <w:tc>
          <w:tcPr>
            <w:tcW w:type="dxa" w:w="1599"/>
            <w:vAlign w:val="center"/>
            <w:shd w:fill="FFFFFF"/>
          </w:tcPr>
          <w:p>
            <w:pPr>
              <w:spacing w:after="20" w:before="20" w:line="247" w:lineRule="auto"/>
            </w:pPr>
            <w:r>
              <w:rPr>
                <w:b w:val="0"/>
                <w:i w:val="0"/>
                <w:sz w:val="20"/>
              </w:rPr>
              <w:t>Received and valid; approved only after decision</w:t>
            </w:r>
          </w:p>
        </w:tc>
        <w:tc>
          <w:tcPr>
            <w:tcW w:type="dxa" w:w="3498"/>
            <w:vAlign w:val="center"/>
            <w:shd w:fill="FFFFFF"/>
          </w:tcPr>
          <w:p>
            <w:pPr>
              <w:spacing w:after="20" w:before="20" w:line="247" w:lineRule="auto"/>
            </w:pPr>
            <w:r>
              <w:rPr>
                <w:b w:val="0"/>
                <w:i w:val="0"/>
                <w:sz w:val="20"/>
              </w:rPr>
              <w:t>0 with unit</w:t>
            </w:r>
          </w:p>
        </w:tc>
      </w:tr>
      <w:tr>
        <w:trPr>
          <w:cantSplit/>
        </w:trPr>
        <w:tc>
          <w:tcPr>
            <w:tcW w:type="dxa" w:w="2199"/>
            <w:vAlign w:val="center"/>
            <w:shd w:fill="F4F6F8"/>
          </w:tcPr>
          <w:p>
            <w:pPr>
              <w:spacing w:after="20" w:before="20" w:line="247" w:lineRule="auto"/>
            </w:pPr>
            <w:r>
              <w:rPr>
                <w:b w:val="0"/>
                <w:i w:val="0"/>
                <w:sz w:val="20"/>
              </w:rPr>
              <w:t>MISSING</w:t>
            </w:r>
          </w:p>
        </w:tc>
        <w:tc>
          <w:tcPr>
            <w:tcW w:type="dxa" w:w="2698"/>
            <w:vAlign w:val="center"/>
            <w:shd w:fill="F4F6F8"/>
          </w:tcPr>
          <w:p>
            <w:pPr>
              <w:spacing w:after="20" w:before="20" w:line="247" w:lineRule="auto"/>
            </w:pPr>
            <w:r>
              <w:rPr>
                <w:b w:val="0"/>
                <w:i w:val="0"/>
                <w:sz w:val="20"/>
              </w:rPr>
              <w:t>Exclude and mark partial when expected</w:t>
            </w:r>
          </w:p>
        </w:tc>
        <w:tc>
          <w:tcPr>
            <w:tcW w:type="dxa" w:w="1599"/>
            <w:vAlign w:val="center"/>
            <w:shd w:fill="F4F6F8"/>
          </w:tcPr>
          <w:p>
            <w:pPr>
              <w:spacing w:after="20" w:before="20" w:line="247" w:lineRule="auto"/>
            </w:pPr>
            <w:r>
              <w:rPr>
                <w:b w:val="0"/>
                <w:i w:val="0"/>
                <w:sz w:val="20"/>
              </w:rPr>
              <w:t>Expected denominator remains</w:t>
            </w:r>
          </w:p>
        </w:tc>
        <w:tc>
          <w:tcPr>
            <w:tcW w:type="dxa" w:w="3498"/>
            <w:vAlign w:val="center"/>
            <w:shd w:fill="F4F6F8"/>
          </w:tcPr>
          <w:p>
            <w:pPr>
              <w:spacing w:after="20" w:before="20" w:line="247" w:lineRule="auto"/>
            </w:pPr>
            <w:r>
              <w:rPr>
                <w:b w:val="0"/>
                <w:i w:val="0"/>
                <w:sz w:val="20"/>
              </w:rPr>
              <w:t>Missing</w:t>
            </w:r>
          </w:p>
        </w:tc>
      </w:tr>
      <w:tr>
        <w:trPr>
          <w:cantSplit/>
        </w:trPr>
        <w:tc>
          <w:tcPr>
            <w:tcW w:type="dxa" w:w="2199"/>
            <w:vAlign w:val="center"/>
            <w:shd w:fill="FFFFFF"/>
          </w:tcPr>
          <w:p>
            <w:pPr>
              <w:spacing w:after="20" w:before="20" w:line="247" w:lineRule="auto"/>
            </w:pPr>
            <w:r>
              <w:rPr>
                <w:b w:val="0"/>
                <w:i w:val="0"/>
                <w:sz w:val="20"/>
              </w:rPr>
              <w:t>NOT_COLLECTED</w:t>
            </w:r>
          </w:p>
        </w:tc>
        <w:tc>
          <w:tcPr>
            <w:tcW w:type="dxa" w:w="2698"/>
            <w:vAlign w:val="center"/>
            <w:shd w:fill="FFFFFF"/>
          </w:tcPr>
          <w:p>
            <w:pPr>
              <w:spacing w:after="20" w:before="20" w:line="247" w:lineRule="auto"/>
            </w:pPr>
            <w:r>
              <w:rPr>
                <w:b w:val="0"/>
                <w:i w:val="0"/>
                <w:sz w:val="20"/>
              </w:rPr>
              <w:t>Exclude with reason</w:t>
            </w:r>
          </w:p>
        </w:tc>
        <w:tc>
          <w:tcPr>
            <w:tcW w:type="dxa" w:w="1599"/>
            <w:vAlign w:val="center"/>
            <w:shd w:fill="FFFFFF"/>
          </w:tcPr>
          <w:p>
            <w:pPr>
              <w:spacing w:after="20" w:before="20" w:line="247" w:lineRule="auto"/>
            </w:pPr>
            <w:r>
              <w:rPr>
                <w:b w:val="0"/>
                <w:i w:val="0"/>
                <w:sz w:val="20"/>
              </w:rPr>
              <w:t>Expected denominator remains unless obligation formally changed</w:t>
            </w:r>
          </w:p>
        </w:tc>
        <w:tc>
          <w:tcPr>
            <w:tcW w:type="dxa" w:w="3498"/>
            <w:vAlign w:val="center"/>
            <w:shd w:fill="FFFFFF"/>
          </w:tcPr>
          <w:p>
            <w:pPr>
              <w:spacing w:after="20" w:before="20" w:line="247" w:lineRule="auto"/>
            </w:pPr>
            <w:r>
              <w:rPr>
                <w:b w:val="0"/>
                <w:i w:val="0"/>
                <w:sz w:val="20"/>
              </w:rPr>
              <w:t>Not collected and reason</w:t>
            </w:r>
          </w:p>
        </w:tc>
      </w:tr>
      <w:tr>
        <w:trPr>
          <w:cantSplit/>
        </w:trPr>
        <w:tc>
          <w:tcPr>
            <w:tcW w:type="dxa" w:w="2199"/>
            <w:vAlign w:val="center"/>
            <w:shd w:fill="F4F6F8"/>
          </w:tcPr>
          <w:p>
            <w:pPr>
              <w:spacing w:after="20" w:before="20" w:line="247" w:lineRule="auto"/>
            </w:pPr>
            <w:r>
              <w:rPr>
                <w:b w:val="0"/>
                <w:i w:val="0"/>
                <w:sz w:val="20"/>
              </w:rPr>
              <w:t>NOT_APPLICABLE</w:t>
            </w:r>
          </w:p>
        </w:tc>
        <w:tc>
          <w:tcPr>
            <w:tcW w:type="dxa" w:w="2698"/>
            <w:vAlign w:val="center"/>
            <w:shd w:fill="F4F6F8"/>
          </w:tcPr>
          <w:p>
            <w:pPr>
              <w:spacing w:after="20" w:before="20" w:line="247" w:lineRule="auto"/>
            </w:pPr>
            <w:r>
              <w:rPr>
                <w:b w:val="0"/>
                <w:i w:val="0"/>
                <w:sz w:val="20"/>
              </w:rPr>
              <w:t>Exclude only under approved eligibility rule</w:t>
            </w:r>
          </w:p>
        </w:tc>
        <w:tc>
          <w:tcPr>
            <w:tcW w:type="dxa" w:w="1599"/>
            <w:vAlign w:val="center"/>
            <w:shd w:fill="F4F6F8"/>
          </w:tcPr>
          <w:p>
            <w:pPr>
              <w:spacing w:after="20" w:before="20" w:line="247" w:lineRule="auto"/>
            </w:pPr>
            <w:r>
              <w:rPr>
                <w:b w:val="0"/>
                <w:i w:val="0"/>
                <w:sz w:val="20"/>
              </w:rPr>
              <w:t>Remove from eligible denominator with rule reference</w:t>
            </w:r>
          </w:p>
        </w:tc>
        <w:tc>
          <w:tcPr>
            <w:tcW w:type="dxa" w:w="3498"/>
            <w:vAlign w:val="center"/>
            <w:shd w:fill="F4F6F8"/>
          </w:tcPr>
          <w:p>
            <w:pPr>
              <w:spacing w:after="20" w:before="20" w:line="247" w:lineRule="auto"/>
            </w:pPr>
            <w:r>
              <w:rPr>
                <w:b w:val="0"/>
                <w:i w:val="0"/>
                <w:sz w:val="20"/>
              </w:rPr>
              <w:t>Not applicable</w:t>
            </w:r>
          </w:p>
        </w:tc>
      </w:tr>
      <w:tr>
        <w:trPr>
          <w:cantSplit/>
        </w:trPr>
        <w:tc>
          <w:tcPr>
            <w:tcW w:type="dxa" w:w="2199"/>
            <w:vAlign w:val="center"/>
            <w:shd w:fill="FFFFFF"/>
          </w:tcPr>
          <w:p>
            <w:pPr>
              <w:spacing w:after="20" w:before="20" w:line="247" w:lineRule="auto"/>
            </w:pPr>
            <w:r>
              <w:rPr>
                <w:b w:val="0"/>
                <w:i w:val="0"/>
                <w:sz w:val="20"/>
              </w:rPr>
              <w:t>INVALID</w:t>
            </w:r>
          </w:p>
        </w:tc>
        <w:tc>
          <w:tcPr>
            <w:tcW w:type="dxa" w:w="2698"/>
            <w:vAlign w:val="center"/>
            <w:shd w:fill="FFFFFF"/>
          </w:tcPr>
          <w:p>
            <w:pPr>
              <w:spacing w:after="20" w:before="20" w:line="247" w:lineRule="auto"/>
            </w:pPr>
            <w:r>
              <w:rPr>
                <w:b w:val="0"/>
                <w:i w:val="0"/>
                <w:sz w:val="20"/>
              </w:rPr>
              <w:t>Exclude; blocking issue</w:t>
            </w:r>
          </w:p>
        </w:tc>
        <w:tc>
          <w:tcPr>
            <w:tcW w:type="dxa" w:w="1599"/>
            <w:vAlign w:val="center"/>
            <w:shd w:fill="FFFFFF"/>
          </w:tcPr>
          <w:p>
            <w:pPr>
              <w:spacing w:after="20" w:before="20" w:line="247" w:lineRule="auto"/>
            </w:pPr>
            <w:r>
              <w:rPr>
                <w:b w:val="0"/>
                <w:i w:val="0"/>
                <w:sz w:val="20"/>
              </w:rPr>
              <w:t>Received but invalid</w:t>
            </w:r>
          </w:p>
        </w:tc>
        <w:tc>
          <w:tcPr>
            <w:tcW w:type="dxa" w:w="3498"/>
            <w:vAlign w:val="center"/>
            <w:shd w:fill="FFFFFF"/>
          </w:tcPr>
          <w:p>
            <w:pPr>
              <w:spacing w:after="20" w:before="20" w:line="247" w:lineRule="auto"/>
            </w:pPr>
            <w:r>
              <w:rPr>
                <w:b w:val="0"/>
                <w:i w:val="0"/>
                <w:sz w:val="20"/>
              </w:rPr>
              <w:t>Invalid with permitted correction route</w:t>
            </w:r>
          </w:p>
        </w:tc>
      </w:tr>
      <w:tr>
        <w:trPr>
          <w:cantSplit/>
        </w:trPr>
        <w:tc>
          <w:tcPr>
            <w:tcW w:type="dxa" w:w="2199"/>
            <w:vAlign w:val="center"/>
            <w:shd w:fill="F4F6F8"/>
          </w:tcPr>
          <w:p>
            <w:pPr>
              <w:spacing w:after="20" w:before="20" w:line="247" w:lineRule="auto"/>
            </w:pPr>
            <w:r>
              <w:rPr>
                <w:b w:val="0"/>
                <w:i w:val="0"/>
                <w:sz w:val="20"/>
              </w:rPr>
              <w:t>UNDEFINED</w:t>
            </w:r>
          </w:p>
        </w:tc>
        <w:tc>
          <w:tcPr>
            <w:tcW w:type="dxa" w:w="2698"/>
            <w:vAlign w:val="center"/>
            <w:shd w:fill="F4F6F8"/>
          </w:tcPr>
          <w:p>
            <w:pPr>
              <w:spacing w:after="20" w:before="20" w:line="247" w:lineRule="auto"/>
            </w:pPr>
            <w:r>
              <w:rPr>
                <w:b w:val="0"/>
                <w:i w:val="0"/>
                <w:sz w:val="20"/>
              </w:rPr>
              <w:t>Do not substitute zero</w:t>
            </w:r>
          </w:p>
        </w:tc>
        <w:tc>
          <w:tcPr>
            <w:tcW w:type="dxa" w:w="1599"/>
            <w:vAlign w:val="center"/>
            <w:shd w:fill="F4F6F8"/>
          </w:tcPr>
          <w:p>
            <w:pPr>
              <w:spacing w:after="20" w:before="20" w:line="247" w:lineRule="auto"/>
            </w:pPr>
            <w:r>
              <w:rPr>
                <w:b w:val="0"/>
                <w:i w:val="0"/>
                <w:sz w:val="20"/>
              </w:rPr>
              <w:t>Calculation attempted but no valid result</w:t>
            </w:r>
          </w:p>
        </w:tc>
        <w:tc>
          <w:tcPr>
            <w:tcW w:type="dxa" w:w="3498"/>
            <w:vAlign w:val="center"/>
            <w:shd w:fill="F4F6F8"/>
          </w:tcPr>
          <w:p>
            <w:pPr>
              <w:spacing w:after="20" w:before="20" w:line="247" w:lineRule="auto"/>
            </w:pPr>
            <w:r>
              <w:rPr>
                <w:b w:val="0"/>
                <w:i w:val="0"/>
                <w:sz w:val="20"/>
              </w:rPr>
              <w:t>Undefined and reason such as zero denominator</w:t>
            </w:r>
          </w:p>
        </w:tc>
      </w:tr>
      <w:tr>
        <w:trPr>
          <w:cantSplit/>
        </w:trPr>
        <w:tc>
          <w:tcPr>
            <w:tcW w:type="dxa" w:w="2199"/>
            <w:vAlign w:val="center"/>
            <w:shd w:fill="FFFFFF"/>
          </w:tcPr>
          <w:p>
            <w:pPr>
              <w:spacing w:after="20" w:before="20" w:line="247" w:lineRule="auto"/>
            </w:pPr>
            <w:r>
              <w:rPr>
                <w:b w:val="0"/>
                <w:i w:val="0"/>
                <w:sz w:val="20"/>
              </w:rPr>
              <w:t>Pending approval</w:t>
            </w:r>
          </w:p>
        </w:tc>
        <w:tc>
          <w:tcPr>
            <w:tcW w:type="dxa" w:w="2698"/>
            <w:vAlign w:val="center"/>
            <w:shd w:fill="FFFFFF"/>
          </w:tcPr>
          <w:p>
            <w:pPr>
              <w:spacing w:after="20" w:before="20" w:line="247" w:lineRule="auto"/>
            </w:pPr>
            <w:r>
              <w:rPr>
                <w:b w:val="0"/>
                <w:i w:val="0"/>
                <w:sz w:val="20"/>
              </w:rPr>
              <w:t>Exclude from official; available in labelled provisional mode</w:t>
            </w:r>
          </w:p>
        </w:tc>
        <w:tc>
          <w:tcPr>
            <w:tcW w:type="dxa" w:w="1599"/>
            <w:vAlign w:val="center"/>
            <w:shd w:fill="FFFFFF"/>
          </w:tcPr>
          <w:p>
            <w:pPr>
              <w:spacing w:after="20" w:before="20" w:line="247" w:lineRule="auto"/>
            </w:pPr>
            <w:r>
              <w:rPr>
                <w:b w:val="0"/>
                <w:i w:val="0"/>
                <w:sz w:val="20"/>
              </w:rPr>
              <w:t>Received valid but not approved</w:t>
            </w:r>
          </w:p>
        </w:tc>
        <w:tc>
          <w:tcPr>
            <w:tcW w:type="dxa" w:w="3498"/>
            <w:vAlign w:val="center"/>
            <w:shd w:fill="FFFFFF"/>
          </w:tcPr>
          <w:p>
            <w:pPr>
              <w:spacing w:after="20" w:before="20" w:line="247" w:lineRule="auto"/>
            </w:pPr>
            <w:r>
              <w:rPr>
                <w:b w:val="0"/>
                <w:i w:val="0"/>
                <w:sz w:val="20"/>
              </w:rPr>
              <w:t>Pending approval</w:t>
            </w:r>
          </w:p>
        </w:tc>
      </w:tr>
      <w:tr>
        <w:trPr>
          <w:cantSplit/>
        </w:trPr>
        <w:tc>
          <w:tcPr>
            <w:tcW w:type="dxa" w:w="2199"/>
            <w:vAlign w:val="center"/>
            <w:shd w:fill="F4F6F8"/>
          </w:tcPr>
          <w:p>
            <w:pPr>
              <w:spacing w:after="20" w:before="20" w:line="247" w:lineRule="auto"/>
            </w:pPr>
            <w:r>
              <w:rPr>
                <w:b w:val="0"/>
                <w:i w:val="0"/>
                <w:sz w:val="20"/>
              </w:rPr>
              <w:t>SUPPRESSED</w:t>
            </w:r>
          </w:p>
        </w:tc>
        <w:tc>
          <w:tcPr>
            <w:tcW w:type="dxa" w:w="2698"/>
            <w:vAlign w:val="center"/>
            <w:shd w:fill="F4F6F8"/>
          </w:tcPr>
          <w:p>
            <w:pPr>
              <w:spacing w:after="20" w:before="20" w:line="247" w:lineRule="auto"/>
            </w:pPr>
            <w:r>
              <w:rPr>
                <w:b w:val="0"/>
                <w:i w:val="0"/>
                <w:sz w:val="20"/>
              </w:rPr>
              <w:t>Follow approved private calculation; withhold public value</w:t>
            </w:r>
          </w:p>
        </w:tc>
        <w:tc>
          <w:tcPr>
            <w:tcW w:type="dxa" w:w="1599"/>
            <w:vAlign w:val="center"/>
            <w:shd w:fill="F4F6F8"/>
          </w:tcPr>
          <w:p>
            <w:pPr>
              <w:spacing w:after="20" w:before="20" w:line="247" w:lineRule="auto"/>
            </w:pPr>
            <w:r>
              <w:rPr>
                <w:b w:val="0"/>
                <w:i w:val="0"/>
                <w:sz w:val="20"/>
              </w:rPr>
              <w:t>Coverage may be disclosed only if safe</w:t>
            </w:r>
          </w:p>
        </w:tc>
        <w:tc>
          <w:tcPr>
            <w:tcW w:type="dxa" w:w="3498"/>
            <w:vAlign w:val="center"/>
            <w:shd w:fill="F4F6F8"/>
          </w:tcPr>
          <w:p>
            <w:pPr>
              <w:spacing w:after="20" w:before="20" w:line="247" w:lineRule="auto"/>
            </w:pPr>
            <w:r>
              <w:rPr>
                <w:b w:val="0"/>
                <w:i w:val="0"/>
                <w:sz w:val="20"/>
              </w:rPr>
              <w:t>Suppressed with no hidden numeric payload</w:t>
            </w:r>
          </w:p>
        </w:tc>
      </w:tr>
    </w:tbl>
    <w:p>
      <w:pPr>
        <w:keepNext w:val="0"/>
        <w:spacing w:after="60" w:line="240" w:lineRule="auto" w:before="0"/>
      </w:pPr>
      <w:r>
        <w:rPr>
          <w:b w:val="0"/>
          <w:i w:val="0"/>
          <w:sz w:val="2"/>
        </w:rPr>
      </w:r>
    </w:p>
    <w:p>
      <w:bookmarkStart w:id="5" w:name="sec_5"/>
      <w:pPr>
        <w:pStyle w:val="Heading1"/>
      </w:pPr>
      <w:r>
        <w:rPr>
          <w:b w:val="0"/>
          <w:i w:val="0"/>
        </w:rPr>
        <w:t>5 Lifecycle transition specifications</w:t>
      </w:r>
      <w:bookmarkEnd w:id="5"/>
    </w:p>
    <w:p>
      <w:pPr>
        <w:pStyle w:val="Heading2"/>
      </w:pPr>
      <w:r>
        <w:rPr>
          <w:b w:val="0"/>
          <w:i w:val="0"/>
        </w:rPr>
        <w:t>5 1 Transition contract</w:t>
      </w:r>
    </w:p>
    <w:p>
      <w:r>
        <w:rPr>
          <w:b w:val="0"/>
          <w:i w:val="0"/>
        </w:rPr>
        <w:t>Every transition checks SC01 and SC02, required evidence and applicable capability. Denied transitions leave the current state intact and create a security or business rejection event where material. The tables define business states; async progress and health statuses are separate so an object cannot become approved merely because its processing job succeeded. Terminal history is retained under the governing policy. Soft archive is not deletion.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Model</w:t>
            </w:r>
          </w:p>
        </w:tc>
        <w:tc>
          <w:tcPr>
            <w:tcW w:type="dxa" w:w="4297"/>
            <w:vAlign w:val="center"/>
            <w:shd w:fill="233B53"/>
          </w:tcPr>
          <w:p>
            <w:pPr>
              <w:spacing w:after="20" w:before="20" w:line="247" w:lineRule="auto"/>
            </w:pPr>
            <w:r>
              <w:rPr>
                <w:b/>
                <w:i w:val="0"/>
                <w:color w:val="FFFFFF"/>
                <w:sz w:val="20"/>
              </w:rPr>
              <w:t>Permitted transitions</w:t>
            </w:r>
          </w:p>
        </w:tc>
        <w:tc>
          <w:tcPr>
            <w:tcW w:type="dxa" w:w="3498"/>
            <w:vAlign w:val="center"/>
            <w:shd w:fill="233B53"/>
          </w:tcPr>
          <w:p>
            <w:pPr>
              <w:spacing w:after="20" w:before="20" w:line="247" w:lineRule="auto"/>
            </w:pPr>
            <w:r>
              <w:rPr>
                <w:b/>
                <w:i w:val="0"/>
                <w:color w:val="FFFFFF"/>
                <w:sz w:val="20"/>
              </w:rPr>
              <w:t>Guards and effects</w:t>
            </w:r>
          </w:p>
        </w:tc>
      </w:tr>
      <w:tr>
        <w:trPr>
          <w:cantSplit/>
        </w:trPr>
        <w:tc>
          <w:tcPr>
            <w:tcW w:type="dxa" w:w="2199"/>
            <w:vAlign w:val="center"/>
            <w:shd w:fill="FFFFFF"/>
          </w:tcPr>
          <w:p>
            <w:pPr>
              <w:spacing w:after="20" w:before="20" w:line="247" w:lineRule="auto"/>
            </w:pPr>
            <w:r>
              <w:rPr>
                <w:b w:val="0"/>
                <w:i w:val="0"/>
                <w:sz w:val="20"/>
              </w:rPr>
              <w:t>ST01 Tenant</w:t>
            </w:r>
          </w:p>
        </w:tc>
        <w:tc>
          <w:tcPr>
            <w:tcW w:type="dxa" w:w="4297"/>
            <w:vAlign w:val="center"/>
            <w:shd w:fill="FFFFFF"/>
          </w:tcPr>
          <w:p>
            <w:pPr>
              <w:spacing w:after="20" w:before="20" w:line="247" w:lineRule="auto"/>
            </w:pPr>
            <w:r>
              <w:rPr>
                <w:b w:val="0"/>
                <w:i w:val="0"/>
                <w:sz w:val="20"/>
              </w:rPr>
              <w:t>Requested to Provisioning to Active; Active to Suspended or Closing; Suspended to Active or Closing; Closing to Archived to Deleted</w:t>
            </w:r>
          </w:p>
        </w:tc>
        <w:tc>
          <w:tcPr>
            <w:tcW w:type="dxa" w:w="3498"/>
            <w:vAlign w:val="center"/>
            <w:shd w:fill="FFFFFF"/>
          </w:tcPr>
          <w:p>
            <w:pPr>
              <w:spacing w:after="20" w:before="20" w:line="247" w:lineRule="auto"/>
            </w:pPr>
            <w:r>
              <w:rPr>
                <w:b w:val="0"/>
                <w:i w:val="0"/>
                <w:sz w:val="20"/>
              </w:rPr>
              <w:t>Activation policies complete; suspension pauses writes and schedules; closure export and hold checks; deletion irreversible and audited</w:t>
            </w:r>
          </w:p>
        </w:tc>
      </w:tr>
      <w:tr>
        <w:trPr>
          <w:cantSplit/>
        </w:trPr>
        <w:tc>
          <w:tcPr>
            <w:tcW w:type="dxa" w:w="2199"/>
            <w:vAlign w:val="center"/>
            <w:shd w:fill="F4F6F8"/>
          </w:tcPr>
          <w:p>
            <w:pPr>
              <w:spacing w:after="20" w:before="20" w:line="247" w:lineRule="auto"/>
            </w:pPr>
            <w:r>
              <w:rPr>
                <w:b w:val="0"/>
                <w:i w:val="0"/>
                <w:sz w:val="20"/>
              </w:rPr>
              <w:t>ST02 Membership</w:t>
            </w:r>
          </w:p>
        </w:tc>
        <w:tc>
          <w:tcPr>
            <w:tcW w:type="dxa" w:w="4297"/>
            <w:vAlign w:val="center"/>
            <w:shd w:fill="F4F6F8"/>
          </w:tcPr>
          <w:p>
            <w:pPr>
              <w:spacing w:after="20" w:before="20" w:line="247" w:lineRule="auto"/>
            </w:pPr>
            <w:r>
              <w:rPr>
                <w:b w:val="0"/>
                <w:i w:val="0"/>
                <w:sz w:val="20"/>
              </w:rPr>
              <w:t>Invited to Active; Invited to Expired or Revoked; Active to Suspended Expired or Revoked; Suspended to Active</w:t>
            </w:r>
          </w:p>
        </w:tc>
        <w:tc>
          <w:tcPr>
            <w:tcW w:type="dxa" w:w="3498"/>
            <w:vAlign w:val="center"/>
            <w:shd w:fill="F4F6F8"/>
          </w:tcPr>
          <w:p>
            <w:pPr>
              <w:spacing w:after="20" w:before="20" w:line="247" w:lineRule="auto"/>
            </w:pPr>
            <w:r>
              <w:rPr>
                <w:b w:val="0"/>
                <w:i w:val="0"/>
                <w:sz w:val="20"/>
              </w:rPr>
              <w:t>Identity verified; new activation rechecks grants and expiry; revoked membership needs a fresh approved invitation rather than token reuse</w:t>
            </w:r>
          </w:p>
        </w:tc>
      </w:tr>
      <w:tr>
        <w:trPr>
          <w:cantSplit/>
        </w:trPr>
        <w:tc>
          <w:tcPr>
            <w:tcW w:type="dxa" w:w="2199"/>
            <w:vAlign w:val="center"/>
            <w:shd w:fill="FFFFFF"/>
          </w:tcPr>
          <w:p>
            <w:pPr>
              <w:spacing w:after="20" w:before="20" w:line="247" w:lineRule="auto"/>
            </w:pPr>
            <w:r>
              <w:rPr>
                <w:b w:val="0"/>
                <w:i w:val="0"/>
                <w:sz w:val="20"/>
              </w:rPr>
              <w:t>ST03 Programme</w:t>
            </w:r>
          </w:p>
        </w:tc>
        <w:tc>
          <w:tcPr>
            <w:tcW w:type="dxa" w:w="4297"/>
            <w:vAlign w:val="center"/>
            <w:shd w:fill="FFFFFF"/>
          </w:tcPr>
          <w:p>
            <w:pPr>
              <w:spacing w:after="20" w:before="20" w:line="247" w:lineRule="auto"/>
            </w:pPr>
            <w:r>
              <w:rPr>
                <w:b w:val="0"/>
                <w:i w:val="0"/>
                <w:sz w:val="20"/>
              </w:rPr>
              <w:t>Draft to Ready to Active to Closing to Archived; Archived to Active through approved reopen</w:t>
            </w:r>
          </w:p>
        </w:tc>
        <w:tc>
          <w:tcPr>
            <w:tcW w:type="dxa" w:w="3498"/>
            <w:vAlign w:val="center"/>
            <w:shd w:fill="FFFFFF"/>
          </w:tcPr>
          <w:p>
            <w:pPr>
              <w:spacing w:after="20" w:before="20" w:line="247" w:lineRule="auto"/>
            </w:pPr>
            <w:r>
              <w:rPr>
                <w:b w:val="0"/>
                <w:i w:val="0"/>
                <w:sz w:val="20"/>
              </w:rPr>
              <w:t>Ready has measurement and policy completeness; closing checks outstanding work; reopening does not unlock old periods automatically</w:t>
            </w:r>
          </w:p>
        </w:tc>
      </w:tr>
      <w:tr>
        <w:trPr>
          <w:cantSplit/>
        </w:trPr>
        <w:tc>
          <w:tcPr>
            <w:tcW w:type="dxa" w:w="2199"/>
            <w:vAlign w:val="center"/>
            <w:shd w:fill="F4F6F8"/>
          </w:tcPr>
          <w:p>
            <w:pPr>
              <w:spacing w:after="20" w:before="20" w:line="247" w:lineRule="auto"/>
            </w:pPr>
            <w:r>
              <w:rPr>
                <w:b w:val="0"/>
                <w:i w:val="0"/>
                <w:sz w:val="20"/>
              </w:rPr>
              <w:t>ST04 Governed definition</w:t>
            </w:r>
          </w:p>
        </w:tc>
        <w:tc>
          <w:tcPr>
            <w:tcW w:type="dxa" w:w="4297"/>
            <w:vAlign w:val="center"/>
            <w:shd w:fill="F4F6F8"/>
          </w:tcPr>
          <w:p>
            <w:pPr>
              <w:spacing w:after="20" w:before="20" w:line="247" w:lineRule="auto"/>
            </w:pPr>
            <w:r>
              <w:rPr>
                <w:b w:val="0"/>
                <w:i w:val="0"/>
                <w:sz w:val="20"/>
              </w:rPr>
              <w:t>Draft to InReview; InReview to Approved Returned or Rejected; Returned to new Draft revision; Approved to Superseded or Retired</w:t>
            </w:r>
          </w:p>
        </w:tc>
        <w:tc>
          <w:tcPr>
            <w:tcW w:type="dxa" w:w="3498"/>
            <w:vAlign w:val="center"/>
            <w:shd w:fill="F4F6F8"/>
          </w:tcPr>
          <w:p>
            <w:pPr>
              <w:spacing w:after="20" w:before="20" w:line="247" w:lineRule="auto"/>
            </w:pPr>
            <w:r>
              <w:rPr>
                <w:b w:val="0"/>
                <w:i w:val="0"/>
                <w:sz w:val="20"/>
              </w:rPr>
              <w:t>Review binds candidate; material edits create draft child; approved version immutable</w:t>
            </w:r>
          </w:p>
        </w:tc>
      </w:tr>
      <w:tr>
        <w:trPr>
          <w:cantSplit/>
        </w:trPr>
        <w:tc>
          <w:tcPr>
            <w:tcW w:type="dxa" w:w="2199"/>
            <w:vAlign w:val="center"/>
            <w:shd w:fill="FFFFFF"/>
          </w:tcPr>
          <w:p>
            <w:pPr>
              <w:spacing w:after="20" w:before="20" w:line="247" w:lineRule="auto"/>
            </w:pPr>
            <w:r>
              <w:rPr>
                <w:b w:val="0"/>
                <w:i w:val="0"/>
                <w:sz w:val="20"/>
              </w:rPr>
              <w:t>ST05 Form</w:t>
            </w:r>
          </w:p>
        </w:tc>
        <w:tc>
          <w:tcPr>
            <w:tcW w:type="dxa" w:w="4297"/>
            <w:vAlign w:val="center"/>
            <w:shd w:fill="FFFFFF"/>
          </w:tcPr>
          <w:p>
            <w:pPr>
              <w:spacing w:after="20" w:before="20" w:line="247" w:lineRule="auto"/>
            </w:pPr>
            <w:r>
              <w:rPr>
                <w:b w:val="0"/>
                <w:i w:val="0"/>
                <w:sz w:val="20"/>
              </w:rPr>
              <w:t>Draft to Test to InReview to Published; Published to Superseded or Retired</w:t>
            </w:r>
          </w:p>
        </w:tc>
        <w:tc>
          <w:tcPr>
            <w:tcW w:type="dxa" w:w="3498"/>
            <w:vAlign w:val="center"/>
            <w:shd w:fill="FFFFFF"/>
          </w:tcPr>
          <w:p>
            <w:pPr>
              <w:spacing w:after="20" w:before="20" w:line="247" w:lineRule="auto"/>
            </w:pPr>
            <w:r>
              <w:rPr>
                <w:b w:val="0"/>
                <w:i w:val="0"/>
                <w:sz w:val="20"/>
              </w:rPr>
              <w:t>No test data in production; version compatibility policy required; retired version cannot create new assignments</w:t>
            </w:r>
          </w:p>
        </w:tc>
      </w:tr>
      <w:tr>
        <w:trPr>
          <w:cantSplit/>
        </w:trPr>
        <w:tc>
          <w:tcPr>
            <w:tcW w:type="dxa" w:w="2199"/>
            <w:vAlign w:val="center"/>
            <w:shd w:fill="F4F6F8"/>
          </w:tcPr>
          <w:p>
            <w:pPr>
              <w:spacing w:after="20" w:before="20" w:line="247" w:lineRule="auto"/>
            </w:pPr>
            <w:r>
              <w:rPr>
                <w:b w:val="0"/>
                <w:i w:val="0"/>
                <w:sz w:val="20"/>
              </w:rPr>
              <w:t>ST06 Submission</w:t>
            </w:r>
          </w:p>
        </w:tc>
        <w:tc>
          <w:tcPr>
            <w:tcW w:type="dxa" w:w="4297"/>
            <w:vAlign w:val="center"/>
            <w:shd w:fill="F4F6F8"/>
          </w:tcPr>
          <w:p>
            <w:pPr>
              <w:spacing w:after="20" w:before="20" w:line="247" w:lineRule="auto"/>
            </w:pPr>
            <w:r>
              <w:rPr>
                <w:b w:val="0"/>
                <w:i w:val="0"/>
                <w:sz w:val="20"/>
              </w:rPr>
              <w:t>LocalDraft to UploadPending to Received; Received to Validating; Validating to Valid Quarantined or Invalid; Valid to InReview; InReview to Approved Returned or Rejected</w:t>
            </w:r>
          </w:p>
        </w:tc>
        <w:tc>
          <w:tcPr>
            <w:tcW w:type="dxa" w:w="3498"/>
            <w:vAlign w:val="center"/>
            <w:shd w:fill="F4F6F8"/>
          </w:tcPr>
          <w:p>
            <w:pPr>
              <w:spacing w:after="20" w:before="20" w:line="247" w:lineRule="auto"/>
            </w:pPr>
            <w:r>
              <w:rPr>
                <w:b w:val="0"/>
                <w:i w:val="0"/>
                <w:sz w:val="20"/>
              </w:rPr>
              <w:t>Required media and authoritative checks complete; approved correction is a new revision; old approval never transfers</w:t>
            </w:r>
          </w:p>
        </w:tc>
      </w:tr>
      <w:tr>
        <w:trPr>
          <w:cantSplit/>
        </w:trPr>
        <w:tc>
          <w:tcPr>
            <w:tcW w:type="dxa" w:w="2199"/>
            <w:vAlign w:val="center"/>
            <w:shd w:fill="FFFFFF"/>
          </w:tcPr>
          <w:p>
            <w:pPr>
              <w:spacing w:after="20" w:before="20" w:line="247" w:lineRule="auto"/>
            </w:pPr>
            <w:r>
              <w:rPr>
                <w:b w:val="0"/>
                <w:i w:val="0"/>
                <w:sz w:val="20"/>
              </w:rPr>
              <w:t>ST07 Import</w:t>
            </w:r>
          </w:p>
        </w:tc>
        <w:tc>
          <w:tcPr>
            <w:tcW w:type="dxa" w:w="4297"/>
            <w:vAlign w:val="center"/>
            <w:shd w:fill="FFFFFF"/>
          </w:tcPr>
          <w:p>
            <w:pPr>
              <w:spacing w:after="20" w:before="20" w:line="247" w:lineRule="auto"/>
            </w:pPr>
            <w:r>
              <w:rPr>
                <w:b w:val="0"/>
                <w:i w:val="0"/>
                <w:sz w:val="20"/>
              </w:rPr>
              <w:t>Draft to Previewed to Queued to Running to Completed CompletedWithIssues Failed or Cancelled</w:t>
            </w:r>
          </w:p>
        </w:tc>
        <w:tc>
          <w:tcPr>
            <w:tcW w:type="dxa" w:w="3498"/>
            <w:vAlign w:val="center"/>
            <w:shd w:fill="FFFFFF"/>
          </w:tcPr>
          <w:p>
            <w:pPr>
              <w:spacing w:after="20" w:before="20" w:line="247" w:lineRule="auto"/>
            </w:pPr>
            <w:r>
              <w:rPr>
                <w:b w:val="0"/>
                <w:i w:val="0"/>
                <w:sz w:val="20"/>
              </w:rPr>
              <w:t>Confirmation binds source and mapping; every row has outcome; completed import does not imply data approval</w:t>
            </w:r>
          </w:p>
        </w:tc>
      </w:tr>
      <w:tr>
        <w:trPr>
          <w:cantSplit/>
        </w:trPr>
        <w:tc>
          <w:tcPr>
            <w:tcW w:type="dxa" w:w="2199"/>
            <w:vAlign w:val="center"/>
            <w:shd w:fill="F4F6F8"/>
          </w:tcPr>
          <w:p>
            <w:pPr>
              <w:spacing w:after="20" w:before="20" w:line="247" w:lineRule="auto"/>
            </w:pPr>
            <w:r>
              <w:rPr>
                <w:b w:val="0"/>
                <w:i w:val="0"/>
                <w:sz w:val="20"/>
              </w:rPr>
              <w:t>ST08 Quality issue</w:t>
            </w:r>
          </w:p>
        </w:tc>
        <w:tc>
          <w:tcPr>
            <w:tcW w:type="dxa" w:w="4297"/>
            <w:vAlign w:val="center"/>
            <w:shd w:fill="F4F6F8"/>
          </w:tcPr>
          <w:p>
            <w:pPr>
              <w:spacing w:after="20" w:before="20" w:line="247" w:lineRule="auto"/>
            </w:pPr>
            <w:r>
              <w:rPr>
                <w:b w:val="0"/>
                <w:i w:val="0"/>
                <w:sz w:val="20"/>
              </w:rPr>
              <w:t>Open to Assigned to InResolution to Revalidation to Resolved; eligible warning to Excepted</w:t>
            </w:r>
          </w:p>
        </w:tc>
        <w:tc>
          <w:tcPr>
            <w:tcW w:type="dxa" w:w="3498"/>
            <w:vAlign w:val="center"/>
            <w:shd w:fill="F4F6F8"/>
          </w:tcPr>
          <w:p>
            <w:pPr>
              <w:spacing w:after="20" w:before="20" w:line="247" w:lineRule="auto"/>
            </w:pPr>
            <w:r>
              <w:rPr>
                <w:b w:val="0"/>
                <w:i w:val="0"/>
                <w:sz w:val="20"/>
              </w:rPr>
              <w:t>Revalidation proves fix; exception has authority and expiry; recurrence reopens or creates linked issue</w:t>
            </w:r>
          </w:p>
        </w:tc>
      </w:tr>
      <w:tr>
        <w:trPr>
          <w:cantSplit/>
        </w:trPr>
        <w:tc>
          <w:tcPr>
            <w:tcW w:type="dxa" w:w="2199"/>
            <w:vAlign w:val="center"/>
            <w:shd w:fill="FFFFFF"/>
          </w:tcPr>
          <w:p>
            <w:pPr>
              <w:spacing w:after="20" w:before="20" w:line="247" w:lineRule="auto"/>
            </w:pPr>
            <w:r>
              <w:rPr>
                <w:b w:val="0"/>
                <w:i w:val="0"/>
                <w:sz w:val="20"/>
              </w:rPr>
              <w:t>ST09 Workflow</w:t>
            </w:r>
          </w:p>
        </w:tc>
        <w:tc>
          <w:tcPr>
            <w:tcW w:type="dxa" w:w="4297"/>
            <w:vAlign w:val="center"/>
            <w:shd w:fill="FFFFFF"/>
          </w:tcPr>
          <w:p>
            <w:pPr>
              <w:spacing w:after="20" w:before="20" w:line="247" w:lineRule="auto"/>
            </w:pPr>
            <w:r>
              <w:rPr>
                <w:b w:val="0"/>
                <w:i w:val="0"/>
                <w:sz w:val="20"/>
              </w:rPr>
              <w:t>Pending to Active; Active to Approved Returned Rejected Cancelled or Blocked</w:t>
            </w:r>
          </w:p>
        </w:tc>
        <w:tc>
          <w:tcPr>
            <w:tcW w:type="dxa" w:w="3498"/>
            <w:vAlign w:val="center"/>
            <w:shd w:fill="FFFFFF"/>
          </w:tcPr>
          <w:p>
            <w:pPr>
              <w:spacing w:after="20" w:before="20" w:line="247" w:lineRule="auto"/>
            </w:pPr>
            <w:r>
              <w:rPr>
                <w:b w:val="0"/>
                <w:i w:val="0"/>
                <w:sz w:val="20"/>
              </w:rPr>
              <w:t>All required stages/quorum complete; no stale decisions; absent reviewers cause blocked reassignment, not auto approval</w:t>
            </w:r>
          </w:p>
        </w:tc>
      </w:tr>
      <w:tr>
        <w:trPr>
          <w:cantSplit/>
        </w:trPr>
        <w:tc>
          <w:tcPr>
            <w:tcW w:type="dxa" w:w="2199"/>
            <w:vAlign w:val="center"/>
            <w:shd w:fill="F4F6F8"/>
          </w:tcPr>
          <w:p>
            <w:pPr>
              <w:spacing w:after="20" w:before="20" w:line="247" w:lineRule="auto"/>
            </w:pPr>
            <w:r>
              <w:rPr>
                <w:b w:val="0"/>
                <w:i w:val="0"/>
                <w:sz w:val="20"/>
              </w:rPr>
              <w:t>ST10 Reporting period</w:t>
            </w:r>
          </w:p>
        </w:tc>
        <w:tc>
          <w:tcPr>
            <w:tcW w:type="dxa" w:w="4297"/>
            <w:vAlign w:val="center"/>
            <w:shd w:fill="F4F6F8"/>
          </w:tcPr>
          <w:p>
            <w:pPr>
              <w:spacing w:after="20" w:before="20" w:line="247" w:lineRule="auto"/>
            </w:pPr>
            <w:r>
              <w:rPr>
                <w:b w:val="0"/>
                <w:i w:val="0"/>
                <w:sz w:val="20"/>
              </w:rPr>
              <w:t>Open to Closing to Locked; Closing to Open on failure; Locked to RestatementPending to new Locked version</w:t>
            </w:r>
          </w:p>
        </w:tc>
        <w:tc>
          <w:tcPr>
            <w:tcW w:type="dxa" w:w="3498"/>
            <w:vAlign w:val="center"/>
            <w:shd w:fill="F4F6F8"/>
          </w:tcPr>
          <w:p>
            <w:pPr>
              <w:spacing w:after="20" w:before="20" w:line="247" w:lineRule="auto"/>
            </w:pPr>
            <w:r>
              <w:rPr>
                <w:b w:val="0"/>
                <w:i w:val="0"/>
                <w:sz w:val="20"/>
              </w:rPr>
              <w:t>Preview reconciliation; new lock has new snapshot; original remains identifiable</w:t>
            </w:r>
          </w:p>
        </w:tc>
      </w:tr>
      <w:tr>
        <w:trPr>
          <w:cantSplit/>
        </w:trPr>
        <w:tc>
          <w:tcPr>
            <w:tcW w:type="dxa" w:w="2199"/>
            <w:vAlign w:val="center"/>
            <w:shd w:fill="FFFFFF"/>
          </w:tcPr>
          <w:p>
            <w:pPr>
              <w:spacing w:after="20" w:before="20" w:line="247" w:lineRule="auto"/>
            </w:pPr>
            <w:r>
              <w:rPr>
                <w:b w:val="0"/>
                <w:i w:val="0"/>
                <w:sz w:val="20"/>
              </w:rPr>
              <w:t>ST11 Report</w:t>
            </w:r>
          </w:p>
        </w:tc>
        <w:tc>
          <w:tcPr>
            <w:tcW w:type="dxa" w:w="4297"/>
            <w:vAlign w:val="center"/>
            <w:shd w:fill="FFFFFF"/>
          </w:tcPr>
          <w:p>
            <w:pPr>
              <w:spacing w:after="20" w:before="20" w:line="247" w:lineRule="auto"/>
            </w:pPr>
            <w:r>
              <w:rPr>
                <w:b w:val="0"/>
                <w:i w:val="0"/>
                <w:sz w:val="20"/>
              </w:rPr>
              <w:t>Draft to InReview to Approved to Published; Published to Withdrawn or Superseded</w:t>
            </w:r>
          </w:p>
        </w:tc>
        <w:tc>
          <w:tcPr>
            <w:tcW w:type="dxa" w:w="3498"/>
            <w:vAlign w:val="center"/>
            <w:shd w:fill="FFFFFF"/>
          </w:tcPr>
          <w:p>
            <w:pPr>
              <w:spacing w:after="20" w:before="20" w:line="247" w:lineRule="auto"/>
            </w:pPr>
            <w:r>
              <w:rPr>
                <w:b w:val="0"/>
                <w:i w:val="0"/>
                <w:sz w:val="20"/>
              </w:rPr>
              <w:t>Approval and publication separate; audience and snapshot fixed; corrections create a new draft version</w:t>
            </w:r>
          </w:p>
        </w:tc>
      </w:tr>
      <w:tr>
        <w:trPr>
          <w:cantSplit/>
        </w:trPr>
        <w:tc>
          <w:tcPr>
            <w:tcW w:type="dxa" w:w="2199"/>
            <w:vAlign w:val="center"/>
            <w:shd w:fill="F4F6F8"/>
          </w:tcPr>
          <w:p>
            <w:pPr>
              <w:spacing w:after="20" w:before="20" w:line="247" w:lineRule="auto"/>
            </w:pPr>
            <w:r>
              <w:rPr>
                <w:b w:val="0"/>
                <w:i w:val="0"/>
                <w:sz w:val="20"/>
              </w:rPr>
              <w:t>ST12 Connection</w:t>
            </w:r>
          </w:p>
        </w:tc>
        <w:tc>
          <w:tcPr>
            <w:tcW w:type="dxa" w:w="4297"/>
            <w:vAlign w:val="center"/>
            <w:shd w:fill="F4F6F8"/>
          </w:tcPr>
          <w:p>
            <w:pPr>
              <w:spacing w:after="20" w:before="20" w:line="247" w:lineRule="auto"/>
            </w:pPr>
            <w:r>
              <w:rPr>
                <w:b w:val="0"/>
                <w:i w:val="0"/>
                <w:sz w:val="20"/>
              </w:rPr>
              <w:t>Draft to Testing to Active; Active to Paused Failed Expired or Revoked; Failed or Paused to Testing</w:t>
            </w:r>
          </w:p>
        </w:tc>
        <w:tc>
          <w:tcPr>
            <w:tcW w:type="dxa" w:w="3498"/>
            <w:vAlign w:val="center"/>
            <w:shd w:fill="F4F6F8"/>
          </w:tcPr>
          <w:p>
            <w:pPr>
              <w:spacing w:after="20" w:before="20" w:line="247" w:lineRule="auto"/>
            </w:pPr>
            <w:r>
              <w:rPr>
                <w:b w:val="0"/>
                <w:i w:val="0"/>
                <w:sz w:val="20"/>
              </w:rPr>
              <w:t>Secrets tested against bounded scope; revoked credentials never silently restored; resume uses checkpoint and current mapping</w:t>
            </w:r>
          </w:p>
        </w:tc>
      </w:tr>
      <w:tr>
        <w:trPr>
          <w:cantSplit/>
        </w:trPr>
        <w:tc>
          <w:tcPr>
            <w:tcW w:type="dxa" w:w="2199"/>
            <w:vAlign w:val="center"/>
            <w:shd w:fill="FFFFFF"/>
          </w:tcPr>
          <w:p>
            <w:pPr>
              <w:spacing w:after="20" w:before="20" w:line="247" w:lineRule="auto"/>
            </w:pPr>
            <w:r>
              <w:rPr>
                <w:b w:val="0"/>
                <w:i w:val="0"/>
                <w:sz w:val="20"/>
              </w:rPr>
              <w:t>ST13 AI task</w:t>
            </w:r>
          </w:p>
        </w:tc>
        <w:tc>
          <w:tcPr>
            <w:tcW w:type="dxa" w:w="4297"/>
            <w:vAlign w:val="center"/>
            <w:shd w:fill="FFFFFF"/>
          </w:tcPr>
          <w:p>
            <w:pPr>
              <w:spacing w:after="20" w:before="20" w:line="247" w:lineRule="auto"/>
            </w:pPr>
            <w:r>
              <w:rPr>
                <w:b w:val="0"/>
                <w:i w:val="0"/>
                <w:sz w:val="20"/>
              </w:rPr>
              <w:t>Queued to Running to DraftReady or Failed; DraftReady to Reviewed or Discarded; proposal Reviewed to Applied Rejected Stale or Expired</w:t>
            </w:r>
          </w:p>
        </w:tc>
        <w:tc>
          <w:tcPr>
            <w:tcW w:type="dxa" w:w="3498"/>
            <w:vAlign w:val="center"/>
            <w:shd w:fill="FFFFFF"/>
          </w:tcPr>
          <w:p>
            <w:pPr>
              <w:spacing w:after="20" w:before="20" w:line="247" w:lineRule="auto"/>
            </w:pPr>
            <w:r>
              <w:rPr>
                <w:b w:val="0"/>
                <w:i w:val="0"/>
                <w:sz w:val="20"/>
              </w:rPr>
              <w:t>Write confirmation separate from generation; no domain approval generated; source or policy change makes proposal stale</w:t>
            </w:r>
          </w:p>
        </w:tc>
      </w:tr>
      <w:tr>
        <w:trPr>
          <w:cantSplit/>
        </w:trPr>
        <w:tc>
          <w:tcPr>
            <w:tcW w:type="dxa" w:w="2199"/>
            <w:vAlign w:val="center"/>
            <w:shd w:fill="F4F6F8"/>
          </w:tcPr>
          <w:p>
            <w:pPr>
              <w:spacing w:after="20" w:before="20" w:line="247" w:lineRule="auto"/>
            </w:pPr>
            <w:r>
              <w:rPr>
                <w:b w:val="0"/>
                <w:i w:val="0"/>
                <w:sz w:val="20"/>
              </w:rPr>
              <w:t>ST14 Privacy case</w:t>
            </w:r>
          </w:p>
        </w:tc>
        <w:tc>
          <w:tcPr>
            <w:tcW w:type="dxa" w:w="4297"/>
            <w:vAlign w:val="center"/>
            <w:shd w:fill="F4F6F8"/>
          </w:tcPr>
          <w:p>
            <w:pPr>
              <w:spacing w:after="20" w:before="20" w:line="247" w:lineRule="auto"/>
            </w:pPr>
            <w:r>
              <w:rPr>
                <w:b w:val="0"/>
                <w:i w:val="0"/>
                <w:sz w:val="20"/>
              </w:rPr>
              <w:t>Received to Verification to Assessment to Approved Rejected or OnHold; Approved to Executing to Completed or PartiallyCompleted</w:t>
            </w:r>
          </w:p>
        </w:tc>
        <w:tc>
          <w:tcPr>
            <w:tcW w:type="dxa" w:w="3498"/>
            <w:vAlign w:val="center"/>
            <w:shd w:fill="F4F6F8"/>
          </w:tcPr>
          <w:p>
            <w:pPr>
              <w:spacing w:after="20" w:before="20" w:line="247" w:lineRule="auto"/>
            </w:pPr>
            <w:r>
              <w:rPr>
                <w:b w:val="0"/>
                <w:i w:val="0"/>
                <w:sz w:val="20"/>
              </w:rPr>
              <w:t>Verification minimal; stores individually accounted; partial cannot imply full deletion; hold release resumes remaining actions</w:t>
            </w:r>
          </w:p>
        </w:tc>
      </w:tr>
      <w:tr>
        <w:trPr>
          <w:cantSplit/>
        </w:trPr>
        <w:tc>
          <w:tcPr>
            <w:tcW w:type="dxa" w:w="2199"/>
            <w:vAlign w:val="center"/>
            <w:shd w:fill="FFFFFF"/>
          </w:tcPr>
          <w:p>
            <w:pPr>
              <w:spacing w:after="20" w:before="20" w:line="247" w:lineRule="auto"/>
            </w:pPr>
            <w:r>
              <w:rPr>
                <w:b w:val="0"/>
                <w:i w:val="0"/>
                <w:sz w:val="20"/>
              </w:rPr>
              <w:t>ST15 Evidence</w:t>
            </w:r>
          </w:p>
        </w:tc>
        <w:tc>
          <w:tcPr>
            <w:tcW w:type="dxa" w:w="4297"/>
            <w:vAlign w:val="center"/>
            <w:shd w:fill="FFFFFF"/>
          </w:tcPr>
          <w:p>
            <w:pPr>
              <w:spacing w:after="20" w:before="20" w:line="247" w:lineRule="auto"/>
            </w:pPr>
            <w:r>
              <w:rPr>
                <w:b w:val="0"/>
                <w:i w:val="0"/>
                <w:sz w:val="20"/>
              </w:rPr>
              <w:t>Received to Quarantined or Safe; Safe to Unverified Verified or Disputed; eligible version to Restricted Archived or Deleted</w:t>
            </w:r>
          </w:p>
        </w:tc>
        <w:tc>
          <w:tcPr>
            <w:tcW w:type="dxa" w:w="3498"/>
            <w:vAlign w:val="center"/>
            <w:shd w:fill="FFFFFF"/>
          </w:tcPr>
          <w:p>
            <w:pPr>
              <w:spacing w:after="20" w:before="20" w:line="247" w:lineRule="auto"/>
            </w:pPr>
            <w:r>
              <w:rPr>
                <w:b w:val="0"/>
                <w:i w:val="0"/>
                <w:sz w:val="20"/>
              </w:rPr>
              <w:t>Safety scan differs from authenticity; disputed mandatory evidence blocks qualified publication</w:t>
            </w:r>
          </w:p>
        </w:tc>
      </w:tr>
      <w:tr>
        <w:trPr>
          <w:cantSplit/>
        </w:trPr>
        <w:tc>
          <w:tcPr>
            <w:tcW w:type="dxa" w:w="2199"/>
            <w:vAlign w:val="center"/>
            <w:shd w:fill="F4F6F8"/>
          </w:tcPr>
          <w:p>
            <w:pPr>
              <w:spacing w:after="20" w:before="20" w:line="247" w:lineRule="auto"/>
            </w:pPr>
            <w:r>
              <w:rPr>
                <w:b w:val="0"/>
                <w:i w:val="0"/>
                <w:sz w:val="20"/>
              </w:rPr>
              <w:t>ST16 Subscription</w:t>
            </w:r>
          </w:p>
        </w:tc>
        <w:tc>
          <w:tcPr>
            <w:tcW w:type="dxa" w:w="4297"/>
            <w:vAlign w:val="center"/>
            <w:shd w:fill="F4F6F8"/>
          </w:tcPr>
          <w:p>
            <w:pPr>
              <w:spacing w:after="20" w:before="20" w:line="247" w:lineRule="auto"/>
            </w:pPr>
            <w:r>
              <w:rPr>
                <w:b w:val="0"/>
                <w:i w:val="0"/>
                <w:sz w:val="20"/>
              </w:rPr>
              <w:t>Trial to Active or Expired; Active to Overdue Suspended or Closing; Overdue to Active or Suspended</w:t>
            </w:r>
          </w:p>
        </w:tc>
        <w:tc>
          <w:tcPr>
            <w:tcW w:type="dxa" w:w="3498"/>
            <w:vAlign w:val="center"/>
            <w:shd w:fill="F4F6F8"/>
          </w:tcPr>
          <w:p>
            <w:pPr>
              <w:spacing w:after="20" w:before="20" w:line="247" w:lineRule="auto"/>
            </w:pPr>
            <w:r>
              <w:rPr>
                <w:b w:val="0"/>
                <w:i w:val="0"/>
                <w:sz w:val="20"/>
              </w:rPr>
              <w:t>Commercial changes never directly erase records or remove security; tenant lifecycle separately authorised</w:t>
            </w:r>
          </w:p>
        </w:tc>
      </w:tr>
      <w:tr>
        <w:trPr>
          <w:cantSplit/>
        </w:trPr>
        <w:tc>
          <w:tcPr>
            <w:tcW w:type="dxa" w:w="2199"/>
            <w:vAlign w:val="center"/>
            <w:shd w:fill="FFFFFF"/>
          </w:tcPr>
          <w:p>
            <w:pPr>
              <w:spacing w:after="20" w:before="20" w:line="247" w:lineRule="auto"/>
            </w:pPr>
            <w:r>
              <w:rPr>
                <w:b w:val="0"/>
                <w:i w:val="0"/>
                <w:sz w:val="20"/>
              </w:rPr>
              <w:t>ST17 Support elevation</w:t>
            </w:r>
          </w:p>
        </w:tc>
        <w:tc>
          <w:tcPr>
            <w:tcW w:type="dxa" w:w="4297"/>
            <w:vAlign w:val="center"/>
            <w:shd w:fill="FFFFFF"/>
          </w:tcPr>
          <w:p>
            <w:pPr>
              <w:spacing w:after="20" w:before="20" w:line="247" w:lineRule="auto"/>
            </w:pPr>
            <w:r>
              <w:rPr>
                <w:b w:val="0"/>
                <w:i w:val="0"/>
                <w:sz w:val="20"/>
              </w:rPr>
              <w:t>Requested to Approved or Rejected; Approved to Active to Ended Expired or Revoked</w:t>
            </w:r>
          </w:p>
        </w:tc>
        <w:tc>
          <w:tcPr>
            <w:tcW w:type="dxa" w:w="3498"/>
            <w:vAlign w:val="center"/>
            <w:shd w:fill="FFFFFF"/>
          </w:tcPr>
          <w:p>
            <w:pPr>
              <w:spacing w:after="20" w:before="20" w:line="247" w:lineRule="auto"/>
            </w:pPr>
            <w:r>
              <w:rPr>
                <w:b w:val="0"/>
                <w:i w:val="0"/>
                <w:sz w:val="20"/>
              </w:rPr>
              <w:t>Distinct approver, scope and duration; denied operations remain denied during support</w:t>
            </w:r>
          </w:p>
        </w:tc>
      </w:tr>
      <w:tr>
        <w:trPr>
          <w:cantSplit/>
        </w:trPr>
        <w:tc>
          <w:tcPr>
            <w:tcW w:type="dxa" w:w="2199"/>
            <w:vAlign w:val="center"/>
            <w:shd w:fill="F4F6F8"/>
          </w:tcPr>
          <w:p>
            <w:pPr>
              <w:spacing w:after="20" w:before="20" w:line="247" w:lineRule="auto"/>
            </w:pPr>
            <w:r>
              <w:rPr>
                <w:b w:val="0"/>
                <w:i w:val="0"/>
                <w:sz w:val="20"/>
              </w:rPr>
              <w:t>ST18 Participant</w:t>
            </w:r>
          </w:p>
        </w:tc>
        <w:tc>
          <w:tcPr>
            <w:tcW w:type="dxa" w:w="4297"/>
            <w:vAlign w:val="center"/>
            <w:shd w:fill="F4F6F8"/>
          </w:tcPr>
          <w:p>
            <w:pPr>
              <w:spacing w:after="20" w:before="20" w:line="247" w:lineRule="auto"/>
            </w:pPr>
            <w:r>
              <w:rPr>
                <w:b w:val="0"/>
                <w:i w:val="0"/>
                <w:sz w:val="20"/>
              </w:rPr>
              <w:t>Active to Restricted Withdrawn Inactive or Archived; permitted corrected state by reviewed change</w:t>
            </w:r>
          </w:p>
        </w:tc>
        <w:tc>
          <w:tcPr>
            <w:tcW w:type="dxa" w:w="3498"/>
            <w:vAlign w:val="center"/>
            <w:shd w:fill="F4F6F8"/>
          </w:tcPr>
          <w:p>
            <w:pPr>
              <w:spacing w:after="20" w:before="20" w:line="247" w:lineRule="auto"/>
            </w:pPr>
            <w:r>
              <w:rPr>
                <w:b w:val="0"/>
                <w:i w:val="0"/>
                <w:sz w:val="20"/>
              </w:rPr>
              <w:t>Withdrawal scope explicit; death or loss to follow up is an observation code, not automatic deletion</w:t>
            </w:r>
          </w:p>
        </w:tc>
      </w:tr>
    </w:tbl>
    <w:p>
      <w:pPr>
        <w:keepNext w:val="0"/>
        <w:spacing w:after="60" w:line="240" w:lineRule="auto" w:before="0"/>
      </w:pPr>
      <w:r>
        <w:rPr>
          <w:b w:val="0"/>
          <w:i w:val="0"/>
          <w:sz w:val="2"/>
        </w:rPr>
      </w:r>
    </w:p>
    <w:p>
      <w:pPr>
        <w:pStyle w:val="Heading2"/>
      </w:pPr>
      <w:r>
        <w:rPr>
          <w:b w:val="0"/>
          <w:i w:val="0"/>
        </w:rPr>
        <w:t>5 2 Approval version races</w:t>
      </w:r>
    </w:p>
    <w:p>
      <w:r>
        <w:rPr>
          <w:b w:val="0"/>
          <w:i w:val="0"/>
        </w:rPr>
        <w:t>If a candidate changes before approval commits, the approval fails with CONFLICT_VERSION and the reviewer receives a comparison. If approval commits first, a later edit creates a new draft requiring review. Parallel reviewers all act on the same candidate hash or equivalent immutable revision identity. A returned decision stops further approval of that candidate and preserves prior decisions as historical, not sufficient for the next revision. Reassigning reviewers never changes the approved object silently.</w:t>
      </w:r>
    </w:p>
    <w:p>
      <w:bookmarkStart w:id="6" w:name="sec_6"/>
      <w:pPr>
        <w:pStyle w:val="Heading1"/>
      </w:pPr>
      <w:r>
        <w:rPr>
          <w:b w:val="0"/>
          <w:i w:val="0"/>
        </w:rPr>
        <w:t>6 Screen and interaction inventory</w:t>
      </w:r>
      <w:bookmarkEnd w:id="6"/>
    </w:p>
    <w:p>
      <w:pPr>
        <w:pStyle w:val="Heading2"/>
      </w:pPr>
      <w:r>
        <w:rPr>
          <w:b w:val="0"/>
          <w:i w:val="0"/>
        </w:rPr>
        <w:t>6 1 Navigation and visible states</w:t>
      </w:r>
    </w:p>
    <w:p>
      <w:r>
        <w:rPr>
          <w:b w:val="0"/>
          <w:i w:val="0"/>
        </w:rPr>
        <w:t>Navigation is organised around Work, Programmes, Data, Evidence, Analytics, Reports and Administration. Visibility follows effective capabilities. A global tenant selector and project context remain visible on every protected screen. The field workspace prioritises assignments, drafts and sync. The reviewer workspace prioritises decision queues, evidence and changes. The external viewer receives only assigned disclosure artifacts. Dense configuration uses a declared desktop workspace while mobile retains collection, task, review and viewing actions.</w:t>
      </w:r>
    </w:p>
    <w:p>
      <w:r>
        <w:rPr>
          <w:b w:val="0"/>
          <w:i w:val="0"/>
        </w:rPr>
        <w:t>All screens implement the empty, loading, stale, partial, denied, validation, conflict and failure states where applicable. Keyboard focus moves to the page heading on navigation, to the error summary after an invalid submit and to the resulting record after success. Modal closure returns focus to its invoker. Status changes have a nonvisual announcement. Colour is never the only indication of approval, risk or completeness.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Screen</w:t>
            </w:r>
          </w:p>
        </w:tc>
        <w:tc>
          <w:tcPr>
            <w:tcW w:type="dxa" w:w="4297"/>
            <w:vAlign w:val="center"/>
            <w:shd w:fill="233B53"/>
          </w:tcPr>
          <w:p>
            <w:pPr>
              <w:spacing w:after="20" w:before="20" w:line="247" w:lineRule="auto"/>
            </w:pPr>
            <w:r>
              <w:rPr>
                <w:b/>
                <w:i w:val="0"/>
                <w:color w:val="FFFFFF"/>
                <w:sz w:val="20"/>
              </w:rPr>
              <w:t>Primary user and action</w:t>
            </w:r>
          </w:p>
        </w:tc>
        <w:tc>
          <w:tcPr>
            <w:tcW w:type="dxa" w:w="3498"/>
            <w:vAlign w:val="center"/>
            <w:shd w:fill="233B53"/>
          </w:tcPr>
          <w:p>
            <w:pPr>
              <w:spacing w:after="20" w:before="20" w:line="247" w:lineRule="auto"/>
            </w:pPr>
            <w:r>
              <w:rPr>
                <w:b/>
                <w:i w:val="0"/>
                <w:color w:val="FFFFFF"/>
                <w:sz w:val="20"/>
              </w:rPr>
              <w:t>Required contents and controls</w:t>
            </w:r>
          </w:p>
        </w:tc>
      </w:tr>
      <w:tr>
        <w:trPr>
          <w:cantSplit/>
        </w:trPr>
        <w:tc>
          <w:tcPr>
            <w:tcW w:type="dxa" w:w="2199"/>
            <w:vAlign w:val="center"/>
            <w:shd w:fill="FFFFFF"/>
          </w:tcPr>
          <w:p>
            <w:pPr>
              <w:spacing w:after="20" w:before="20" w:line="247" w:lineRule="auto"/>
            </w:pPr>
            <w:r>
              <w:rPr>
                <w:b w:val="0"/>
                <w:i w:val="0"/>
                <w:sz w:val="20"/>
              </w:rPr>
              <w:t>UI01 Sign in and recovery</w:t>
            </w:r>
          </w:p>
        </w:tc>
        <w:tc>
          <w:tcPr>
            <w:tcW w:type="dxa" w:w="4297"/>
            <w:vAlign w:val="center"/>
            <w:shd w:fill="FFFFFF"/>
          </w:tcPr>
          <w:p>
            <w:pPr>
              <w:spacing w:after="20" w:before="20" w:line="247" w:lineRule="auto"/>
            </w:pPr>
            <w:r>
              <w:rPr>
                <w:b w:val="0"/>
                <w:i w:val="0"/>
                <w:sz w:val="20"/>
              </w:rPr>
              <w:t>Member establishes identity</w:t>
            </w:r>
          </w:p>
        </w:tc>
        <w:tc>
          <w:tcPr>
            <w:tcW w:type="dxa" w:w="3498"/>
            <w:vAlign w:val="center"/>
            <w:shd w:fill="FFFFFF"/>
          </w:tcPr>
          <w:p>
            <w:pPr>
              <w:spacing w:after="20" w:before="20" w:line="247" w:lineRule="auto"/>
            </w:pPr>
            <w:r>
              <w:rPr>
                <w:b w:val="0"/>
                <w:i w:val="0"/>
                <w:sz w:val="20"/>
              </w:rPr>
              <w:t>Tenant route, federation status, allowed local login, recovery; enumeration safe feedback</w:t>
            </w:r>
          </w:p>
        </w:tc>
      </w:tr>
      <w:tr>
        <w:trPr>
          <w:cantSplit/>
        </w:trPr>
        <w:tc>
          <w:tcPr>
            <w:tcW w:type="dxa" w:w="2199"/>
            <w:vAlign w:val="center"/>
            <w:shd w:fill="F4F6F8"/>
          </w:tcPr>
          <w:p>
            <w:pPr>
              <w:spacing w:after="20" w:before="20" w:line="247" w:lineRule="auto"/>
            </w:pPr>
            <w:r>
              <w:rPr>
                <w:b w:val="0"/>
                <w:i w:val="0"/>
                <w:sz w:val="20"/>
              </w:rPr>
              <w:t>UI02 Tenant switch and profile</w:t>
            </w:r>
          </w:p>
        </w:tc>
        <w:tc>
          <w:tcPr>
            <w:tcW w:type="dxa" w:w="4297"/>
            <w:vAlign w:val="center"/>
            <w:shd w:fill="F4F6F8"/>
          </w:tcPr>
          <w:p>
            <w:pPr>
              <w:spacing w:after="20" w:before="20" w:line="247" w:lineRule="auto"/>
            </w:pPr>
            <w:r>
              <w:rPr>
                <w:b w:val="0"/>
                <w:i w:val="0"/>
                <w:sz w:val="20"/>
              </w:rPr>
              <w:t>Multi tenant member changes context</w:t>
            </w:r>
          </w:p>
        </w:tc>
        <w:tc>
          <w:tcPr>
            <w:tcW w:type="dxa" w:w="3498"/>
            <w:vAlign w:val="center"/>
            <w:shd w:fill="F4F6F8"/>
          </w:tcPr>
          <w:p>
            <w:pPr>
              <w:spacing w:after="20" w:before="20" w:line="247" w:lineRule="auto"/>
            </w:pPr>
            <w:r>
              <w:rPr>
                <w:b w:val="0"/>
                <w:i w:val="0"/>
                <w:sz w:val="20"/>
              </w:rPr>
              <w:t>Tenant identity, role summary, preferences; no mixed notifications or recent records</w:t>
            </w:r>
          </w:p>
        </w:tc>
      </w:tr>
      <w:tr>
        <w:trPr>
          <w:cantSplit/>
        </w:trPr>
        <w:tc>
          <w:tcPr>
            <w:tcW w:type="dxa" w:w="2199"/>
            <w:vAlign w:val="center"/>
            <w:shd w:fill="FFFFFF"/>
          </w:tcPr>
          <w:p>
            <w:pPr>
              <w:spacing w:after="20" w:before="20" w:line="247" w:lineRule="auto"/>
            </w:pPr>
            <w:r>
              <w:rPr>
                <w:b w:val="0"/>
                <w:i w:val="0"/>
                <w:sz w:val="20"/>
              </w:rPr>
              <w:t>UI03 My work</w:t>
            </w:r>
          </w:p>
        </w:tc>
        <w:tc>
          <w:tcPr>
            <w:tcW w:type="dxa" w:w="4297"/>
            <w:vAlign w:val="center"/>
            <w:shd w:fill="FFFFFF"/>
          </w:tcPr>
          <w:p>
            <w:pPr>
              <w:spacing w:after="20" w:before="20" w:line="247" w:lineRule="auto"/>
            </w:pPr>
            <w:r>
              <w:rPr>
                <w:b w:val="0"/>
                <w:i w:val="0"/>
                <w:sz w:val="20"/>
              </w:rPr>
              <w:t>Collector reviewer manager</w:t>
            </w:r>
          </w:p>
        </w:tc>
        <w:tc>
          <w:tcPr>
            <w:tcW w:type="dxa" w:w="3498"/>
            <w:vAlign w:val="center"/>
            <w:shd w:fill="FFFFFF"/>
          </w:tcPr>
          <w:p>
            <w:pPr>
              <w:spacing w:after="20" w:before="20" w:line="247" w:lineRule="auto"/>
            </w:pPr>
            <w:r>
              <w:rPr>
                <w:b w:val="0"/>
                <w:i w:val="0"/>
                <w:sz w:val="20"/>
              </w:rPr>
              <w:t>Assigned tasks, deadlines, returned work, stale sync, safe notification centre</w:t>
            </w:r>
          </w:p>
        </w:tc>
      </w:tr>
      <w:tr>
        <w:trPr>
          <w:cantSplit/>
        </w:trPr>
        <w:tc>
          <w:tcPr>
            <w:tcW w:type="dxa" w:w="2199"/>
            <w:vAlign w:val="center"/>
            <w:shd w:fill="F4F6F8"/>
          </w:tcPr>
          <w:p>
            <w:pPr>
              <w:spacing w:after="20" w:before="20" w:line="247" w:lineRule="auto"/>
            </w:pPr>
            <w:r>
              <w:rPr>
                <w:b w:val="0"/>
                <w:i w:val="0"/>
                <w:sz w:val="20"/>
              </w:rPr>
              <w:t>UI04 Tenant settings</w:t>
            </w:r>
          </w:p>
        </w:tc>
        <w:tc>
          <w:tcPr>
            <w:tcW w:type="dxa" w:w="4297"/>
            <w:vAlign w:val="center"/>
            <w:shd w:fill="F4F6F8"/>
          </w:tcPr>
          <w:p>
            <w:pPr>
              <w:spacing w:after="20" w:before="20" w:line="247" w:lineRule="auto"/>
            </w:pPr>
            <w:r>
              <w:rPr>
                <w:b w:val="0"/>
                <w:i w:val="0"/>
                <w:sz w:val="20"/>
              </w:rPr>
              <w:t>Owner identity or policy admin</w:t>
            </w:r>
          </w:p>
        </w:tc>
        <w:tc>
          <w:tcPr>
            <w:tcW w:type="dxa" w:w="3498"/>
            <w:vAlign w:val="center"/>
            <w:shd w:fill="F4F6F8"/>
          </w:tcPr>
          <w:p>
            <w:pPr>
              <w:spacing w:after="20" w:before="20" w:line="247" w:lineRule="auto"/>
            </w:pPr>
            <w:r>
              <w:rPr>
                <w:b w:val="0"/>
                <w:i w:val="0"/>
                <w:sz w:val="20"/>
              </w:rPr>
              <w:t>Lifecycle, recovery owners, calendars, retention, region, AI policy, limits; scoped tabs</w:t>
            </w:r>
          </w:p>
        </w:tc>
      </w:tr>
      <w:tr>
        <w:trPr>
          <w:cantSplit/>
        </w:trPr>
        <w:tc>
          <w:tcPr>
            <w:tcW w:type="dxa" w:w="2199"/>
            <w:vAlign w:val="center"/>
            <w:shd w:fill="FFFFFF"/>
          </w:tcPr>
          <w:p>
            <w:pPr>
              <w:spacing w:after="20" w:before="20" w:line="247" w:lineRule="auto"/>
            </w:pPr>
            <w:r>
              <w:rPr>
                <w:b w:val="0"/>
                <w:i w:val="0"/>
                <w:sz w:val="20"/>
              </w:rPr>
              <w:t>UI05 Members and grants</w:t>
            </w:r>
          </w:p>
        </w:tc>
        <w:tc>
          <w:tcPr>
            <w:tcW w:type="dxa" w:w="4297"/>
            <w:vAlign w:val="center"/>
            <w:shd w:fill="FFFFFF"/>
          </w:tcPr>
          <w:p>
            <w:pPr>
              <w:spacing w:after="20" w:before="20" w:line="247" w:lineRule="auto"/>
            </w:pPr>
            <w:r>
              <w:rPr>
                <w:b w:val="0"/>
                <w:i w:val="0"/>
                <w:sz w:val="20"/>
              </w:rPr>
              <w:t>Delegated identity admin</w:t>
            </w:r>
          </w:p>
        </w:tc>
        <w:tc>
          <w:tcPr>
            <w:tcW w:type="dxa" w:w="3498"/>
            <w:vAlign w:val="center"/>
            <w:shd w:fill="FFFFFF"/>
          </w:tcPr>
          <w:p>
            <w:pPr>
              <w:spacing w:after="20" w:before="20" w:line="247" w:lineRule="auto"/>
            </w:pPr>
            <w:r>
              <w:rPr>
                <w:b w:val="0"/>
                <w:i w:val="0"/>
                <w:sz w:val="20"/>
              </w:rPr>
              <w:t>Invites, status, source authority, effective permissions, expiry, departure impact</w:t>
            </w:r>
          </w:p>
        </w:tc>
      </w:tr>
      <w:tr>
        <w:trPr>
          <w:cantSplit/>
        </w:trPr>
        <w:tc>
          <w:tcPr>
            <w:tcW w:type="dxa" w:w="2199"/>
            <w:vAlign w:val="center"/>
            <w:shd w:fill="F4F6F8"/>
          </w:tcPr>
          <w:p>
            <w:pPr>
              <w:spacing w:after="20" w:before="20" w:line="247" w:lineRule="auto"/>
            </w:pPr>
            <w:r>
              <w:rPr>
                <w:b w:val="0"/>
                <w:i w:val="0"/>
                <w:sz w:val="20"/>
              </w:rPr>
              <w:t>UI06 Programme registry</w:t>
            </w:r>
          </w:p>
        </w:tc>
        <w:tc>
          <w:tcPr>
            <w:tcW w:type="dxa" w:w="4297"/>
            <w:vAlign w:val="center"/>
            <w:shd w:fill="F4F6F8"/>
          </w:tcPr>
          <w:p>
            <w:pPr>
              <w:spacing w:after="20" w:before="20" w:line="247" w:lineRule="auto"/>
            </w:pPr>
            <w:r>
              <w:rPr>
                <w:b w:val="0"/>
                <w:i w:val="0"/>
                <w:sz w:val="20"/>
              </w:rPr>
              <w:t>Manager</w:t>
            </w:r>
          </w:p>
        </w:tc>
        <w:tc>
          <w:tcPr>
            <w:tcW w:type="dxa" w:w="3498"/>
            <w:vAlign w:val="center"/>
            <w:shd w:fill="F4F6F8"/>
          </w:tcPr>
          <w:p>
            <w:pPr>
              <w:spacing w:after="20" w:before="20" w:line="247" w:lineRule="auto"/>
            </w:pPr>
            <w:r>
              <w:rPr>
                <w:b w:val="0"/>
                <w:i w:val="0"/>
                <w:sz w:val="20"/>
              </w:rPr>
              <w:t>Search, filters, controlled creation, status, owner and closure actions</w:t>
            </w:r>
          </w:p>
        </w:tc>
      </w:tr>
      <w:tr>
        <w:trPr>
          <w:cantSplit/>
        </w:trPr>
        <w:tc>
          <w:tcPr>
            <w:tcW w:type="dxa" w:w="2199"/>
            <w:vAlign w:val="center"/>
            <w:shd w:fill="FFFFFF"/>
          </w:tcPr>
          <w:p>
            <w:pPr>
              <w:spacing w:after="20" w:before="20" w:line="247" w:lineRule="auto"/>
            </w:pPr>
            <w:r>
              <w:rPr>
                <w:b w:val="0"/>
                <w:i w:val="0"/>
                <w:sz w:val="20"/>
              </w:rPr>
              <w:t>UI07 Programme workspace</w:t>
            </w:r>
          </w:p>
        </w:tc>
        <w:tc>
          <w:tcPr>
            <w:tcW w:type="dxa" w:w="4297"/>
            <w:vAlign w:val="center"/>
            <w:shd w:fill="FFFFFF"/>
          </w:tcPr>
          <w:p>
            <w:pPr>
              <w:spacing w:after="20" w:before="20" w:line="247" w:lineRule="auto"/>
            </w:pPr>
            <w:r>
              <w:rPr>
                <w:b w:val="0"/>
                <w:i w:val="0"/>
                <w:sz w:val="20"/>
              </w:rPr>
              <w:t>Manager and partner</w:t>
            </w:r>
          </w:p>
        </w:tc>
        <w:tc>
          <w:tcPr>
            <w:tcW w:type="dxa" w:w="3498"/>
            <w:vAlign w:val="center"/>
            <w:shd w:fill="FFFFFF"/>
          </w:tcPr>
          <w:p>
            <w:pPr>
              <w:spacing w:after="20" w:before="20" w:line="247" w:lineRule="auto"/>
            </w:pPr>
            <w:r>
              <w:rPr>
                <w:b w:val="0"/>
                <w:i w:val="0"/>
                <w:sz w:val="20"/>
              </w:rPr>
              <w:t>Overview, framework, workplan, risks, obligations and authorised results</w:t>
            </w:r>
          </w:p>
        </w:tc>
      </w:tr>
      <w:tr>
        <w:trPr>
          <w:cantSplit/>
        </w:trPr>
        <w:tc>
          <w:tcPr>
            <w:tcW w:type="dxa" w:w="2199"/>
            <w:vAlign w:val="center"/>
            <w:shd w:fill="F4F6F8"/>
          </w:tcPr>
          <w:p>
            <w:pPr>
              <w:spacing w:after="20" w:before="20" w:line="247" w:lineRule="auto"/>
            </w:pPr>
            <w:r>
              <w:rPr>
                <w:b w:val="0"/>
                <w:i w:val="0"/>
                <w:sz w:val="20"/>
              </w:rPr>
              <w:t>UI08 Framework editor</w:t>
            </w:r>
          </w:p>
        </w:tc>
        <w:tc>
          <w:tcPr>
            <w:tcW w:type="dxa" w:w="4297"/>
            <w:vAlign w:val="center"/>
            <w:shd w:fill="F4F6F8"/>
          </w:tcPr>
          <w:p>
            <w:pPr>
              <w:spacing w:after="20" w:before="20" w:line="247" w:lineRule="auto"/>
            </w:pPr>
            <w:r>
              <w:rPr>
                <w:b w:val="0"/>
                <w:i w:val="0"/>
                <w:sz w:val="20"/>
              </w:rPr>
              <w:t>MEL administrator</w:t>
            </w:r>
          </w:p>
        </w:tc>
        <w:tc>
          <w:tcPr>
            <w:tcW w:type="dxa" w:w="3498"/>
            <w:vAlign w:val="center"/>
            <w:shd w:fill="F4F6F8"/>
          </w:tcPr>
          <w:p>
            <w:pPr>
              <w:spacing w:after="20" w:before="20" w:line="247" w:lineRule="auto"/>
            </w:pPr>
            <w:r>
              <w:rPr>
                <w:b w:val="0"/>
                <w:i w:val="0"/>
                <w:sz w:val="20"/>
              </w:rPr>
              <w:t>Tabular nodes, relationship view, completeness issues, version comparison and review</w:t>
            </w:r>
          </w:p>
        </w:tc>
      </w:tr>
      <w:tr>
        <w:trPr>
          <w:cantSplit/>
        </w:trPr>
        <w:tc>
          <w:tcPr>
            <w:tcW w:type="dxa" w:w="2199"/>
            <w:vAlign w:val="center"/>
            <w:shd w:fill="FFFFFF"/>
          </w:tcPr>
          <w:p>
            <w:pPr>
              <w:spacing w:after="20" w:before="20" w:line="247" w:lineRule="auto"/>
            </w:pPr>
            <w:r>
              <w:rPr>
                <w:b w:val="0"/>
                <w:i w:val="0"/>
                <w:sz w:val="20"/>
              </w:rPr>
              <w:t>UI09 Indicator designer</w:t>
            </w:r>
          </w:p>
        </w:tc>
        <w:tc>
          <w:tcPr>
            <w:tcW w:type="dxa" w:w="4297"/>
            <w:vAlign w:val="center"/>
            <w:shd w:fill="FFFFFF"/>
          </w:tcPr>
          <w:p>
            <w:pPr>
              <w:spacing w:after="20" w:before="20" w:line="247" w:lineRule="auto"/>
            </w:pPr>
            <w:r>
              <w:rPr>
                <w:b w:val="0"/>
                <w:i w:val="0"/>
                <w:sz w:val="20"/>
              </w:rPr>
              <w:t>MEL administrator</w:t>
            </w:r>
          </w:p>
        </w:tc>
        <w:tc>
          <w:tcPr>
            <w:tcW w:type="dxa" w:w="3498"/>
            <w:vAlign w:val="center"/>
            <w:shd w:fill="FFFFFF"/>
          </w:tcPr>
          <w:p>
            <w:pPr>
              <w:spacing w:after="20" w:before="20" w:line="247" w:lineRule="auto"/>
            </w:pPr>
            <w:r>
              <w:rPr>
                <w:b w:val="0"/>
                <w:i w:val="0"/>
                <w:sz w:val="20"/>
              </w:rPr>
              <w:t>Definition, unit, denominator, dimensions, method, source, targets, schedule and sample calculation</w:t>
            </w:r>
          </w:p>
        </w:tc>
      </w:tr>
      <w:tr>
        <w:trPr>
          <w:cantSplit/>
        </w:trPr>
        <w:tc>
          <w:tcPr>
            <w:tcW w:type="dxa" w:w="2199"/>
            <w:vAlign w:val="center"/>
            <w:shd w:fill="F4F6F8"/>
          </w:tcPr>
          <w:p>
            <w:pPr>
              <w:spacing w:after="20" w:before="20" w:line="247" w:lineRule="auto"/>
            </w:pPr>
            <w:r>
              <w:rPr>
                <w:b w:val="0"/>
                <w:i w:val="0"/>
                <w:sz w:val="20"/>
              </w:rPr>
              <w:t>UI10 Indicator results</w:t>
            </w:r>
          </w:p>
        </w:tc>
        <w:tc>
          <w:tcPr>
            <w:tcW w:type="dxa" w:w="4297"/>
            <w:vAlign w:val="center"/>
            <w:shd w:fill="F4F6F8"/>
          </w:tcPr>
          <w:p>
            <w:pPr>
              <w:spacing w:after="20" w:before="20" w:line="247" w:lineRule="auto"/>
            </w:pPr>
            <w:r>
              <w:rPr>
                <w:b w:val="0"/>
                <w:i w:val="0"/>
                <w:sz w:val="20"/>
              </w:rPr>
              <w:t>Reviewer or analyst</w:t>
            </w:r>
          </w:p>
        </w:tc>
        <w:tc>
          <w:tcPr>
            <w:tcW w:type="dxa" w:w="3498"/>
            <w:vAlign w:val="center"/>
            <w:shd w:fill="F4F6F8"/>
          </w:tcPr>
          <w:p>
            <w:pPr>
              <w:spacing w:after="20" w:before="20" w:line="247" w:lineRule="auto"/>
            </w:pPr>
            <w:r>
              <w:rPr>
                <w:b w:val="0"/>
                <w:i w:val="0"/>
                <w:sz w:val="20"/>
              </w:rPr>
              <w:t>Periods, approval and missingness, evidence, calculation explanation, correction history</w:t>
            </w:r>
          </w:p>
        </w:tc>
      </w:tr>
      <w:tr>
        <w:trPr>
          <w:cantSplit/>
        </w:trPr>
        <w:tc>
          <w:tcPr>
            <w:tcW w:type="dxa" w:w="2199"/>
            <w:vAlign w:val="center"/>
            <w:shd w:fill="FFFFFF"/>
          </w:tcPr>
          <w:p>
            <w:pPr>
              <w:spacing w:after="20" w:before="20" w:line="247" w:lineRule="auto"/>
            </w:pPr>
            <w:r>
              <w:rPr>
                <w:b w:val="0"/>
                <w:i w:val="0"/>
                <w:sz w:val="20"/>
              </w:rPr>
              <w:t>UI11 Form designer</w:t>
            </w:r>
          </w:p>
        </w:tc>
        <w:tc>
          <w:tcPr>
            <w:tcW w:type="dxa" w:w="4297"/>
            <w:vAlign w:val="center"/>
            <w:shd w:fill="FFFFFF"/>
          </w:tcPr>
          <w:p>
            <w:pPr>
              <w:spacing w:after="20" w:before="20" w:line="247" w:lineRule="auto"/>
            </w:pPr>
            <w:r>
              <w:rPr>
                <w:b w:val="0"/>
                <w:i w:val="0"/>
                <w:sz w:val="20"/>
              </w:rPr>
              <w:t>Instrument owner</w:t>
            </w:r>
          </w:p>
        </w:tc>
        <w:tc>
          <w:tcPr>
            <w:tcW w:type="dxa" w:w="3498"/>
            <w:vAlign w:val="center"/>
            <w:shd w:fill="FFFFFF"/>
          </w:tcPr>
          <w:p>
            <w:pPr>
              <w:spacing w:after="20" w:before="20" w:line="247" w:lineRule="auto"/>
            </w:pPr>
            <w:r>
              <w:rPr>
                <w:b w:val="0"/>
                <w:i w:val="0"/>
                <w:sz w:val="20"/>
              </w:rPr>
              <w:t>Typed fields, logic, language, preview, test paths, compatibility and publication</w:t>
            </w:r>
          </w:p>
        </w:tc>
      </w:tr>
      <w:tr>
        <w:trPr>
          <w:cantSplit/>
        </w:trPr>
        <w:tc>
          <w:tcPr>
            <w:tcW w:type="dxa" w:w="2199"/>
            <w:vAlign w:val="center"/>
            <w:shd w:fill="F4F6F8"/>
          </w:tcPr>
          <w:p>
            <w:pPr>
              <w:spacing w:after="20" w:before="20" w:line="247" w:lineRule="auto"/>
            </w:pPr>
            <w:r>
              <w:rPr>
                <w:b w:val="0"/>
                <w:i w:val="0"/>
                <w:sz w:val="20"/>
              </w:rPr>
              <w:t>UI12 Field assignments</w:t>
            </w:r>
          </w:p>
        </w:tc>
        <w:tc>
          <w:tcPr>
            <w:tcW w:type="dxa" w:w="4297"/>
            <w:vAlign w:val="center"/>
            <w:shd w:fill="F4F6F8"/>
          </w:tcPr>
          <w:p>
            <w:pPr>
              <w:spacing w:after="20" w:before="20" w:line="247" w:lineRule="auto"/>
            </w:pPr>
            <w:r>
              <w:rPr>
                <w:b w:val="0"/>
                <w:i w:val="0"/>
                <w:sz w:val="20"/>
              </w:rPr>
              <w:t>Enumerator</w:t>
            </w:r>
          </w:p>
        </w:tc>
        <w:tc>
          <w:tcPr>
            <w:tcW w:type="dxa" w:w="3498"/>
            <w:vAlign w:val="center"/>
            <w:shd w:fill="F4F6F8"/>
          </w:tcPr>
          <w:p>
            <w:pPr>
              <w:spacing w:after="20" w:before="20" w:line="247" w:lineRule="auto"/>
            </w:pPr>
            <w:r>
              <w:rPr>
                <w:b w:val="0"/>
                <w:i w:val="0"/>
                <w:sz w:val="20"/>
              </w:rPr>
              <w:t>Minimal task list, form version, package expiry, downloads and stale contact status</w:t>
            </w:r>
          </w:p>
        </w:tc>
      </w:tr>
      <w:tr>
        <w:trPr>
          <w:cantSplit/>
        </w:trPr>
        <w:tc>
          <w:tcPr>
            <w:tcW w:type="dxa" w:w="2199"/>
            <w:vAlign w:val="center"/>
            <w:shd w:fill="FFFFFF"/>
          </w:tcPr>
          <w:p>
            <w:pPr>
              <w:spacing w:after="20" w:before="20" w:line="247" w:lineRule="auto"/>
            </w:pPr>
            <w:r>
              <w:rPr>
                <w:b w:val="0"/>
                <w:i w:val="0"/>
                <w:sz w:val="20"/>
              </w:rPr>
              <w:t>UI13 Collection form</w:t>
            </w:r>
          </w:p>
        </w:tc>
        <w:tc>
          <w:tcPr>
            <w:tcW w:type="dxa" w:w="4297"/>
            <w:vAlign w:val="center"/>
            <w:shd w:fill="FFFFFF"/>
          </w:tcPr>
          <w:p>
            <w:pPr>
              <w:spacing w:after="20" w:before="20" w:line="247" w:lineRule="auto"/>
            </w:pPr>
            <w:r>
              <w:rPr>
                <w:b w:val="0"/>
                <w:i w:val="0"/>
                <w:sz w:val="20"/>
              </w:rPr>
              <w:t>Enumerator or respondent</w:t>
            </w:r>
          </w:p>
        </w:tc>
        <w:tc>
          <w:tcPr>
            <w:tcW w:type="dxa" w:w="3498"/>
            <w:vAlign w:val="center"/>
            <w:shd w:fill="FFFFFF"/>
          </w:tcPr>
          <w:p>
            <w:pPr>
              <w:spacing w:after="20" w:before="20" w:line="247" w:lineRule="auto"/>
            </w:pPr>
            <w:r>
              <w:rPr>
                <w:b w:val="0"/>
                <w:i w:val="0"/>
                <w:sz w:val="20"/>
              </w:rPr>
              <w:t>Accessible questions, conditional validation, save status, required media and submission receipt</w:t>
            </w:r>
          </w:p>
        </w:tc>
      </w:tr>
      <w:tr>
        <w:trPr>
          <w:cantSplit/>
        </w:trPr>
        <w:tc>
          <w:tcPr>
            <w:tcW w:type="dxa" w:w="2199"/>
            <w:vAlign w:val="center"/>
            <w:shd w:fill="F4F6F8"/>
          </w:tcPr>
          <w:p>
            <w:pPr>
              <w:spacing w:after="20" w:before="20" w:line="247" w:lineRule="auto"/>
            </w:pPr>
            <w:r>
              <w:rPr>
                <w:b w:val="0"/>
                <w:i w:val="0"/>
                <w:sz w:val="20"/>
              </w:rPr>
              <w:t>UI14 Sync and conflicts</w:t>
            </w:r>
          </w:p>
        </w:tc>
        <w:tc>
          <w:tcPr>
            <w:tcW w:type="dxa" w:w="4297"/>
            <w:vAlign w:val="center"/>
            <w:shd w:fill="F4F6F8"/>
          </w:tcPr>
          <w:p>
            <w:pPr>
              <w:spacing w:after="20" w:before="20" w:line="247" w:lineRule="auto"/>
            </w:pPr>
            <w:r>
              <w:rPr>
                <w:b w:val="0"/>
                <w:i w:val="0"/>
                <w:sz w:val="20"/>
              </w:rPr>
              <w:t>Collector supervisor</w:t>
            </w:r>
          </w:p>
        </w:tc>
        <w:tc>
          <w:tcPr>
            <w:tcW w:type="dxa" w:w="3498"/>
            <w:vAlign w:val="center"/>
            <w:shd w:fill="F4F6F8"/>
          </w:tcPr>
          <w:p>
            <w:pPr>
              <w:spacing w:after="20" w:before="20" w:line="247" w:lineRule="auto"/>
            </w:pPr>
            <w:r>
              <w:rPr>
                <w:b w:val="0"/>
                <w:i w:val="0"/>
                <w:sz w:val="20"/>
              </w:rPr>
              <w:t>Local versus server state, per record outcome, competing revisions and resolution route</w:t>
            </w:r>
          </w:p>
        </w:tc>
      </w:tr>
      <w:tr>
        <w:trPr>
          <w:cantSplit/>
        </w:trPr>
        <w:tc>
          <w:tcPr>
            <w:tcW w:type="dxa" w:w="2199"/>
            <w:vAlign w:val="center"/>
            <w:shd w:fill="FFFFFF"/>
          </w:tcPr>
          <w:p>
            <w:pPr>
              <w:spacing w:after="20" w:before="20" w:line="247" w:lineRule="auto"/>
            </w:pPr>
            <w:r>
              <w:rPr>
                <w:b w:val="0"/>
                <w:i w:val="0"/>
                <w:sz w:val="20"/>
              </w:rPr>
              <w:t>UI15 Import workspace</w:t>
            </w:r>
          </w:p>
        </w:tc>
        <w:tc>
          <w:tcPr>
            <w:tcW w:type="dxa" w:w="4297"/>
            <w:vAlign w:val="center"/>
            <w:shd w:fill="FFFFFF"/>
          </w:tcPr>
          <w:p>
            <w:pPr>
              <w:spacing w:after="20" w:before="20" w:line="247" w:lineRule="auto"/>
            </w:pPr>
            <w:r>
              <w:rPr>
                <w:b w:val="0"/>
                <w:i w:val="0"/>
                <w:sz w:val="20"/>
              </w:rPr>
              <w:t>Data steward</w:t>
            </w:r>
          </w:p>
        </w:tc>
        <w:tc>
          <w:tcPr>
            <w:tcW w:type="dxa" w:w="3498"/>
            <w:vAlign w:val="center"/>
            <w:shd w:fill="FFFFFF"/>
          </w:tcPr>
          <w:p>
            <w:pPr>
              <w:spacing w:after="20" w:before="20" w:line="247" w:lineRule="auto"/>
            </w:pPr>
            <w:r>
              <w:rPr>
                <w:b w:val="0"/>
                <w:i w:val="0"/>
                <w:sz w:val="20"/>
              </w:rPr>
              <w:t>File options, raw preview, mapping, modes, row checks, impact confirmation and outcomes</w:t>
            </w:r>
          </w:p>
        </w:tc>
      </w:tr>
      <w:tr>
        <w:trPr>
          <w:cantSplit/>
        </w:trPr>
        <w:tc>
          <w:tcPr>
            <w:tcW w:type="dxa" w:w="2199"/>
            <w:vAlign w:val="center"/>
            <w:shd w:fill="F4F6F8"/>
          </w:tcPr>
          <w:p>
            <w:pPr>
              <w:spacing w:after="20" w:before="20" w:line="247" w:lineRule="auto"/>
            </w:pPr>
            <w:r>
              <w:rPr>
                <w:b w:val="0"/>
                <w:i w:val="0"/>
                <w:sz w:val="20"/>
              </w:rPr>
              <w:t>UI16 Dataset catalogue</w:t>
            </w:r>
          </w:p>
        </w:tc>
        <w:tc>
          <w:tcPr>
            <w:tcW w:type="dxa" w:w="4297"/>
            <w:vAlign w:val="center"/>
            <w:shd w:fill="F4F6F8"/>
          </w:tcPr>
          <w:p>
            <w:pPr>
              <w:spacing w:after="20" w:before="20" w:line="247" w:lineRule="auto"/>
            </w:pPr>
            <w:r>
              <w:rPr>
                <w:b w:val="0"/>
                <w:i w:val="0"/>
                <w:sz w:val="20"/>
              </w:rPr>
              <w:t>Steward analyst</w:t>
            </w:r>
          </w:p>
        </w:tc>
        <w:tc>
          <w:tcPr>
            <w:tcW w:type="dxa" w:w="3498"/>
            <w:vAlign w:val="center"/>
            <w:shd w:fill="F4F6F8"/>
          </w:tcPr>
          <w:p>
            <w:pPr>
              <w:spacing w:after="20" w:before="20" w:line="247" w:lineRule="auto"/>
            </w:pPr>
            <w:r>
              <w:rPr>
                <w:b w:val="0"/>
                <w:i w:val="0"/>
                <w:sz w:val="20"/>
              </w:rPr>
              <w:t>Permitted schemas, owner, sensitivity, refresh, lineage, transformations and exports</w:t>
            </w:r>
          </w:p>
        </w:tc>
      </w:tr>
      <w:tr>
        <w:trPr>
          <w:cantSplit/>
        </w:trPr>
        <w:tc>
          <w:tcPr>
            <w:tcW w:type="dxa" w:w="2199"/>
            <w:vAlign w:val="center"/>
            <w:shd w:fill="FFFFFF"/>
          </w:tcPr>
          <w:p>
            <w:pPr>
              <w:spacing w:after="20" w:before="20" w:line="247" w:lineRule="auto"/>
            </w:pPr>
            <w:r>
              <w:rPr>
                <w:b w:val="0"/>
                <w:i w:val="0"/>
                <w:sz w:val="20"/>
              </w:rPr>
              <w:t>UI17 Quality queue</w:t>
            </w:r>
          </w:p>
        </w:tc>
        <w:tc>
          <w:tcPr>
            <w:tcW w:type="dxa" w:w="4297"/>
            <w:vAlign w:val="center"/>
            <w:shd w:fill="FFFFFF"/>
          </w:tcPr>
          <w:p>
            <w:pPr>
              <w:spacing w:after="20" w:before="20" w:line="247" w:lineRule="auto"/>
            </w:pPr>
            <w:r>
              <w:rPr>
                <w:b w:val="0"/>
                <w:i w:val="0"/>
                <w:sz w:val="20"/>
              </w:rPr>
              <w:t>Steward reviewer</w:t>
            </w:r>
          </w:p>
        </w:tc>
        <w:tc>
          <w:tcPr>
            <w:tcW w:type="dxa" w:w="3498"/>
            <w:vAlign w:val="center"/>
            <w:shd w:fill="FFFFFF"/>
          </w:tcPr>
          <w:p>
            <w:pPr>
              <w:spacing w:after="20" w:before="20" w:line="247" w:lineRule="auto"/>
            </w:pPr>
            <w:r>
              <w:rPr>
                <w:b w:val="0"/>
                <w:i w:val="0"/>
                <w:sz w:val="20"/>
              </w:rPr>
              <w:t>Severity, affected revision, rule, owner, due time, correction and revalidation</w:t>
            </w:r>
          </w:p>
        </w:tc>
      </w:tr>
      <w:tr>
        <w:trPr>
          <w:cantSplit/>
        </w:trPr>
        <w:tc>
          <w:tcPr>
            <w:tcW w:type="dxa" w:w="2199"/>
            <w:vAlign w:val="center"/>
            <w:shd w:fill="F4F6F8"/>
          </w:tcPr>
          <w:p>
            <w:pPr>
              <w:spacing w:after="20" w:before="20" w:line="247" w:lineRule="auto"/>
            </w:pPr>
            <w:r>
              <w:rPr>
                <w:b w:val="0"/>
                <w:i w:val="0"/>
                <w:sz w:val="20"/>
              </w:rPr>
              <w:t>UI18 Participant workspace</w:t>
            </w:r>
          </w:p>
        </w:tc>
        <w:tc>
          <w:tcPr>
            <w:tcW w:type="dxa" w:w="4297"/>
            <w:vAlign w:val="center"/>
            <w:shd w:fill="F4F6F8"/>
          </w:tcPr>
          <w:p>
            <w:pPr>
              <w:spacing w:after="20" w:before="20" w:line="247" w:lineRule="auto"/>
            </w:pPr>
            <w:r>
              <w:rPr>
                <w:b w:val="0"/>
                <w:i w:val="0"/>
                <w:sz w:val="20"/>
              </w:rPr>
              <w:t>Assigned programme staff</w:t>
            </w:r>
          </w:p>
        </w:tc>
        <w:tc>
          <w:tcPr>
            <w:tcW w:type="dxa" w:w="3498"/>
            <w:vAlign w:val="center"/>
            <w:shd w:fill="F4F6F8"/>
          </w:tcPr>
          <w:p>
            <w:pPr>
              <w:spacing w:after="20" w:before="20" w:line="247" w:lineRule="auto"/>
            </w:pPr>
            <w:r>
              <w:rPr>
                <w:b w:val="0"/>
                <w:i w:val="0"/>
                <w:sz w:val="20"/>
              </w:rPr>
              <w:t>Pseudonymous record, permitted identity fields, events, relationships and handling scope</w:t>
            </w:r>
          </w:p>
        </w:tc>
      </w:tr>
      <w:tr>
        <w:trPr>
          <w:cantSplit/>
        </w:trPr>
        <w:tc>
          <w:tcPr>
            <w:tcW w:type="dxa" w:w="2199"/>
            <w:vAlign w:val="center"/>
            <w:shd w:fill="FFFFFF"/>
          </w:tcPr>
          <w:p>
            <w:pPr>
              <w:spacing w:after="20" w:before="20" w:line="247" w:lineRule="auto"/>
            </w:pPr>
            <w:r>
              <w:rPr>
                <w:b w:val="0"/>
                <w:i w:val="0"/>
                <w:sz w:val="20"/>
              </w:rPr>
              <w:t>UI19 Evidence repository</w:t>
            </w:r>
          </w:p>
        </w:tc>
        <w:tc>
          <w:tcPr>
            <w:tcW w:type="dxa" w:w="4297"/>
            <w:vAlign w:val="center"/>
            <w:shd w:fill="FFFFFF"/>
          </w:tcPr>
          <w:p>
            <w:pPr>
              <w:spacing w:after="20" w:before="20" w:line="247" w:lineRule="auto"/>
            </w:pPr>
            <w:r>
              <w:rPr>
                <w:b w:val="0"/>
                <w:i w:val="0"/>
                <w:sz w:val="20"/>
              </w:rPr>
              <w:t>Author analyst reviewer</w:t>
            </w:r>
          </w:p>
        </w:tc>
        <w:tc>
          <w:tcPr>
            <w:tcW w:type="dxa" w:w="3498"/>
            <w:vAlign w:val="center"/>
            <w:shd w:fill="FFFFFF"/>
          </w:tcPr>
          <w:p>
            <w:pPr>
              <w:spacing w:after="20" w:before="20" w:line="247" w:lineRule="auto"/>
            </w:pPr>
            <w:r>
              <w:rPr>
                <w:b w:val="0"/>
                <w:i w:val="0"/>
                <w:sz w:val="20"/>
              </w:rPr>
              <w:t>Versions, scan and verification states, metadata, quotations and permitted citations</w:t>
            </w:r>
          </w:p>
        </w:tc>
      </w:tr>
      <w:tr>
        <w:trPr>
          <w:cantSplit/>
        </w:trPr>
        <w:tc>
          <w:tcPr>
            <w:tcW w:type="dxa" w:w="2199"/>
            <w:vAlign w:val="center"/>
            <w:shd w:fill="F4F6F8"/>
          </w:tcPr>
          <w:p>
            <w:pPr>
              <w:spacing w:after="20" w:before="20" w:line="247" w:lineRule="auto"/>
            </w:pPr>
            <w:r>
              <w:rPr>
                <w:b w:val="0"/>
                <w:i w:val="0"/>
                <w:sz w:val="20"/>
              </w:rPr>
              <w:t>UI20 Evaluation workspace</w:t>
            </w:r>
          </w:p>
        </w:tc>
        <w:tc>
          <w:tcPr>
            <w:tcW w:type="dxa" w:w="4297"/>
            <w:vAlign w:val="center"/>
            <w:shd w:fill="F4F6F8"/>
          </w:tcPr>
          <w:p>
            <w:pPr>
              <w:spacing w:after="20" w:before="20" w:line="247" w:lineRule="auto"/>
            </w:pPr>
            <w:r>
              <w:rPr>
                <w:b w:val="0"/>
                <w:i w:val="0"/>
                <w:sz w:val="20"/>
              </w:rPr>
              <w:t>Evaluator</w:t>
            </w:r>
          </w:p>
        </w:tc>
        <w:tc>
          <w:tcPr>
            <w:tcW w:type="dxa" w:w="3498"/>
            <w:vAlign w:val="center"/>
            <w:shd w:fill="F4F6F8"/>
          </w:tcPr>
          <w:p>
            <w:pPr>
              <w:spacing w:after="20" w:before="20" w:line="247" w:lineRule="auto"/>
            </w:pPr>
            <w:r>
              <w:rPr>
                <w:b w:val="0"/>
                <w:i w:val="0"/>
                <w:sz w:val="20"/>
              </w:rPr>
              <w:t>Questions, method, extracts, findings, uncertainty, recommendations and management responses</w:t>
            </w:r>
          </w:p>
        </w:tc>
      </w:tr>
      <w:tr>
        <w:trPr>
          <w:cantSplit/>
        </w:trPr>
        <w:tc>
          <w:tcPr>
            <w:tcW w:type="dxa" w:w="2199"/>
            <w:vAlign w:val="center"/>
            <w:shd w:fill="FFFFFF"/>
          </w:tcPr>
          <w:p>
            <w:pPr>
              <w:spacing w:after="20" w:before="20" w:line="247" w:lineRule="auto"/>
            </w:pPr>
            <w:r>
              <w:rPr>
                <w:b w:val="0"/>
                <w:i w:val="0"/>
                <w:sz w:val="20"/>
              </w:rPr>
              <w:t>UI21 Review queue</w:t>
            </w:r>
          </w:p>
        </w:tc>
        <w:tc>
          <w:tcPr>
            <w:tcW w:type="dxa" w:w="4297"/>
            <w:vAlign w:val="center"/>
            <w:shd w:fill="FFFFFF"/>
          </w:tcPr>
          <w:p>
            <w:pPr>
              <w:spacing w:after="20" w:before="20" w:line="247" w:lineRule="auto"/>
            </w:pPr>
            <w:r>
              <w:rPr>
                <w:b w:val="0"/>
                <w:i w:val="0"/>
                <w:sz w:val="20"/>
              </w:rPr>
              <w:t>Independent reviewer</w:t>
            </w:r>
          </w:p>
        </w:tc>
        <w:tc>
          <w:tcPr>
            <w:tcW w:type="dxa" w:w="3498"/>
            <w:vAlign w:val="center"/>
            <w:shd w:fill="FFFFFF"/>
          </w:tcPr>
          <w:p>
            <w:pPr>
              <w:spacing w:after="20" w:before="20" w:line="247" w:lineRule="auto"/>
            </w:pPr>
            <w:r>
              <w:rPr>
                <w:b w:val="0"/>
                <w:i w:val="0"/>
                <w:sz w:val="20"/>
              </w:rPr>
              <w:t>Candidate version, changes, evidence, conflicts, approve return reject and delegation</w:t>
            </w:r>
          </w:p>
        </w:tc>
      </w:tr>
      <w:tr>
        <w:trPr>
          <w:cantSplit/>
        </w:trPr>
        <w:tc>
          <w:tcPr>
            <w:tcW w:type="dxa" w:w="2199"/>
            <w:vAlign w:val="center"/>
            <w:shd w:fill="F4F6F8"/>
          </w:tcPr>
          <w:p>
            <w:pPr>
              <w:spacing w:after="20" w:before="20" w:line="247" w:lineRule="auto"/>
            </w:pPr>
            <w:r>
              <w:rPr>
                <w:b w:val="0"/>
                <w:i w:val="0"/>
                <w:sz w:val="20"/>
              </w:rPr>
              <w:t>UI22 Dashboard editor and viewer</w:t>
            </w:r>
          </w:p>
        </w:tc>
        <w:tc>
          <w:tcPr>
            <w:tcW w:type="dxa" w:w="4297"/>
            <w:vAlign w:val="center"/>
            <w:shd w:fill="F4F6F8"/>
          </w:tcPr>
          <w:p>
            <w:pPr>
              <w:spacing w:after="20" w:before="20" w:line="247" w:lineRule="auto"/>
            </w:pPr>
            <w:r>
              <w:rPr>
                <w:b w:val="0"/>
                <w:i w:val="0"/>
                <w:sz w:val="20"/>
              </w:rPr>
              <w:t>Analyst manager viewer</w:t>
            </w:r>
          </w:p>
        </w:tc>
        <w:tc>
          <w:tcPr>
            <w:tcW w:type="dxa" w:w="3498"/>
            <w:vAlign w:val="center"/>
            <w:shd w:fill="F4F6F8"/>
          </w:tcPr>
          <w:p>
            <w:pPr>
              <w:spacing w:after="20" w:before="20" w:line="247" w:lineRule="auto"/>
            </w:pPr>
            <w:r>
              <w:rPr>
                <w:b w:val="0"/>
                <w:i w:val="0"/>
                <w:sz w:val="20"/>
              </w:rPr>
              <w:t>Metric bindings, visible filters, target version, quality caveats and safe drill down</w:t>
            </w:r>
          </w:p>
        </w:tc>
      </w:tr>
      <w:tr>
        <w:trPr>
          <w:cantSplit/>
        </w:trPr>
        <w:tc>
          <w:tcPr>
            <w:tcW w:type="dxa" w:w="2199"/>
            <w:vAlign w:val="center"/>
            <w:shd w:fill="FFFFFF"/>
          </w:tcPr>
          <w:p>
            <w:pPr>
              <w:spacing w:after="20" w:before="20" w:line="247" w:lineRule="auto"/>
            </w:pPr>
            <w:r>
              <w:rPr>
                <w:b w:val="0"/>
                <w:i w:val="0"/>
                <w:sz w:val="20"/>
              </w:rPr>
              <w:t>UI23 Report workspace</w:t>
            </w:r>
          </w:p>
        </w:tc>
        <w:tc>
          <w:tcPr>
            <w:tcW w:type="dxa" w:w="4297"/>
            <w:vAlign w:val="center"/>
            <w:shd w:fill="FFFFFF"/>
          </w:tcPr>
          <w:p>
            <w:pPr>
              <w:spacing w:after="20" w:before="20" w:line="247" w:lineRule="auto"/>
            </w:pPr>
            <w:r>
              <w:rPr>
                <w:b w:val="0"/>
                <w:i w:val="0"/>
                <w:sz w:val="20"/>
              </w:rPr>
              <w:t>Report author and approver</w:t>
            </w:r>
          </w:p>
        </w:tc>
        <w:tc>
          <w:tcPr>
            <w:tcW w:type="dxa" w:w="3498"/>
            <w:vAlign w:val="center"/>
            <w:shd w:fill="FFFFFF"/>
          </w:tcPr>
          <w:p>
            <w:pPr>
              <w:spacing w:after="20" w:before="20" w:line="247" w:lineRule="auto"/>
            </w:pPr>
            <w:r>
              <w:rPr>
                <w:b w:val="0"/>
                <w:i w:val="0"/>
                <w:sz w:val="20"/>
              </w:rPr>
              <w:t>Template, snapshot, sections, citations, numeric reconciliation, export and publication preview</w:t>
            </w:r>
          </w:p>
        </w:tc>
      </w:tr>
      <w:tr>
        <w:trPr>
          <w:cantSplit/>
        </w:trPr>
        <w:tc>
          <w:tcPr>
            <w:tcW w:type="dxa" w:w="2199"/>
            <w:vAlign w:val="center"/>
            <w:shd w:fill="F4F6F8"/>
          </w:tcPr>
          <w:p>
            <w:pPr>
              <w:spacing w:after="20" w:before="20" w:line="247" w:lineRule="auto"/>
            </w:pPr>
            <w:r>
              <w:rPr>
                <w:b w:val="0"/>
                <w:i w:val="0"/>
                <w:sz w:val="20"/>
              </w:rPr>
              <w:t>UI24 Period close</w:t>
            </w:r>
          </w:p>
        </w:tc>
        <w:tc>
          <w:tcPr>
            <w:tcW w:type="dxa" w:w="4297"/>
            <w:vAlign w:val="center"/>
            <w:shd w:fill="F4F6F8"/>
          </w:tcPr>
          <w:p>
            <w:pPr>
              <w:spacing w:after="20" w:before="20" w:line="247" w:lineRule="auto"/>
            </w:pPr>
            <w:r>
              <w:rPr>
                <w:b w:val="0"/>
                <w:i w:val="0"/>
                <w:sz w:val="20"/>
              </w:rPr>
              <w:t>MEL manager and reviewer</w:t>
            </w:r>
          </w:p>
        </w:tc>
        <w:tc>
          <w:tcPr>
            <w:tcW w:type="dxa" w:w="3498"/>
            <w:vAlign w:val="center"/>
            <w:shd w:fill="F4F6F8"/>
          </w:tcPr>
          <w:p>
            <w:pPr>
              <w:spacing w:after="20" w:before="20" w:line="247" w:lineRule="auto"/>
            </w:pPr>
            <w:r>
              <w:rPr>
                <w:b w:val="0"/>
                <w:i w:val="0"/>
                <w:sz w:val="20"/>
              </w:rPr>
              <w:t>Expected obligations, blocking issues, exclusions, snapshot preview and lock decision</w:t>
            </w:r>
          </w:p>
        </w:tc>
      </w:tr>
      <w:tr>
        <w:trPr>
          <w:cantSplit/>
        </w:trPr>
        <w:tc>
          <w:tcPr>
            <w:tcW w:type="dxa" w:w="2199"/>
            <w:vAlign w:val="center"/>
            <w:shd w:fill="FFFFFF"/>
          </w:tcPr>
          <w:p>
            <w:pPr>
              <w:spacing w:after="20" w:before="20" w:line="247" w:lineRule="auto"/>
            </w:pPr>
            <w:r>
              <w:rPr>
                <w:b w:val="0"/>
                <w:i w:val="0"/>
                <w:sz w:val="20"/>
              </w:rPr>
              <w:t>UI25 Integration administration</w:t>
            </w:r>
          </w:p>
        </w:tc>
        <w:tc>
          <w:tcPr>
            <w:tcW w:type="dxa" w:w="4297"/>
            <w:vAlign w:val="center"/>
            <w:shd w:fill="FFFFFF"/>
          </w:tcPr>
          <w:p>
            <w:pPr>
              <w:spacing w:after="20" w:before="20" w:line="247" w:lineRule="auto"/>
            </w:pPr>
            <w:r>
              <w:rPr>
                <w:b w:val="0"/>
                <w:i w:val="0"/>
                <w:sz w:val="20"/>
              </w:rPr>
              <w:t>Connection owner</w:t>
            </w:r>
          </w:p>
        </w:tc>
        <w:tc>
          <w:tcPr>
            <w:tcW w:type="dxa" w:w="3498"/>
            <w:vAlign w:val="center"/>
            <w:shd w:fill="FFFFFF"/>
          </w:tcPr>
          <w:p>
            <w:pPr>
              <w:spacing w:after="20" w:before="20" w:line="247" w:lineRule="auto"/>
            </w:pPr>
            <w:r>
              <w:rPr>
                <w:b w:val="0"/>
                <w:i w:val="0"/>
                <w:sz w:val="20"/>
              </w:rPr>
              <w:t>Scope, secret reference, testing, mapping, cadence, checkpoints, retry and revocation</w:t>
            </w:r>
          </w:p>
        </w:tc>
      </w:tr>
      <w:tr>
        <w:trPr>
          <w:cantSplit/>
        </w:trPr>
        <w:tc>
          <w:tcPr>
            <w:tcW w:type="dxa" w:w="2199"/>
            <w:vAlign w:val="center"/>
            <w:shd w:fill="F4F6F8"/>
          </w:tcPr>
          <w:p>
            <w:pPr>
              <w:spacing w:after="20" w:before="20" w:line="247" w:lineRule="auto"/>
            </w:pPr>
            <w:r>
              <w:rPr>
                <w:b w:val="0"/>
                <w:i w:val="0"/>
                <w:sz w:val="20"/>
              </w:rPr>
              <w:t>UI26 AI workspace</w:t>
            </w:r>
          </w:p>
        </w:tc>
        <w:tc>
          <w:tcPr>
            <w:tcW w:type="dxa" w:w="4297"/>
            <w:vAlign w:val="center"/>
            <w:shd w:fill="F4F6F8"/>
          </w:tcPr>
          <w:p>
            <w:pPr>
              <w:spacing w:after="20" w:before="20" w:line="247" w:lineRule="auto"/>
            </w:pPr>
            <w:r>
              <w:rPr>
                <w:b w:val="0"/>
                <w:i w:val="0"/>
                <w:sz w:val="20"/>
              </w:rPr>
              <w:t>Author analyst reviewer</w:t>
            </w:r>
          </w:p>
        </w:tc>
        <w:tc>
          <w:tcPr>
            <w:tcW w:type="dxa" w:w="3498"/>
            <w:vAlign w:val="center"/>
            <w:shd w:fill="F4F6F8"/>
          </w:tcPr>
          <w:p>
            <w:pPr>
              <w:spacing w:after="20" w:before="20" w:line="247" w:lineRule="auto"/>
            </w:pPr>
            <w:r>
              <w:rPr>
                <w:b w:val="0"/>
                <w:i w:val="0"/>
                <w:sz w:val="20"/>
              </w:rPr>
              <w:t>Scope selector, evidence, task status, citations, exact proposed changes and confirmation</w:t>
            </w:r>
          </w:p>
        </w:tc>
      </w:tr>
      <w:tr>
        <w:trPr>
          <w:cantSplit/>
        </w:trPr>
        <w:tc>
          <w:tcPr>
            <w:tcW w:type="dxa" w:w="2199"/>
            <w:vAlign w:val="center"/>
            <w:shd w:fill="FFFFFF"/>
          </w:tcPr>
          <w:p>
            <w:pPr>
              <w:spacing w:after="20" w:before="20" w:line="247" w:lineRule="auto"/>
            </w:pPr>
            <w:r>
              <w:rPr>
                <w:b w:val="0"/>
                <w:i w:val="0"/>
                <w:sz w:val="20"/>
              </w:rPr>
              <w:t>UI27 Privacy and disclosure</w:t>
            </w:r>
          </w:p>
        </w:tc>
        <w:tc>
          <w:tcPr>
            <w:tcW w:type="dxa" w:w="4297"/>
            <w:vAlign w:val="center"/>
            <w:shd w:fill="FFFFFF"/>
          </w:tcPr>
          <w:p>
            <w:pPr>
              <w:spacing w:after="20" w:before="20" w:line="247" w:lineRule="auto"/>
            </w:pPr>
            <w:r>
              <w:rPr>
                <w:b w:val="0"/>
                <w:i w:val="0"/>
                <w:sz w:val="20"/>
              </w:rPr>
              <w:t>Privacy officer</w:t>
            </w:r>
          </w:p>
        </w:tc>
        <w:tc>
          <w:tcPr>
            <w:tcW w:type="dxa" w:w="3498"/>
            <w:vAlign w:val="center"/>
            <w:shd w:fill="FFFFFF"/>
          </w:tcPr>
          <w:p>
            <w:pPr>
              <w:spacing w:after="20" w:before="20" w:line="247" w:lineRule="auto"/>
            </w:pPr>
            <w:r>
              <w:rPr>
                <w:b w:val="0"/>
                <w:i w:val="0"/>
                <w:sz w:val="20"/>
              </w:rPr>
              <w:t>Verified cases, holds, sharing register, deletion manifests and disclosure review</w:t>
            </w:r>
          </w:p>
        </w:tc>
      </w:tr>
      <w:tr>
        <w:trPr>
          <w:cantSplit/>
        </w:trPr>
        <w:tc>
          <w:tcPr>
            <w:tcW w:type="dxa" w:w="2199"/>
            <w:vAlign w:val="center"/>
            <w:shd w:fill="F4F6F8"/>
          </w:tcPr>
          <w:p>
            <w:pPr>
              <w:spacing w:after="20" w:before="20" w:line="247" w:lineRule="auto"/>
            </w:pPr>
            <w:r>
              <w:rPr>
                <w:b w:val="0"/>
                <w:i w:val="0"/>
                <w:sz w:val="20"/>
              </w:rPr>
              <w:t>UI28 Service operations</w:t>
            </w:r>
          </w:p>
        </w:tc>
        <w:tc>
          <w:tcPr>
            <w:tcW w:type="dxa" w:w="4297"/>
            <w:vAlign w:val="center"/>
            <w:shd w:fill="F4F6F8"/>
          </w:tcPr>
          <w:p>
            <w:pPr>
              <w:spacing w:after="20" w:before="20" w:line="247" w:lineRule="auto"/>
            </w:pPr>
            <w:r>
              <w:rPr>
                <w:b w:val="0"/>
                <w:i w:val="0"/>
                <w:sz w:val="20"/>
              </w:rPr>
              <w:t>Platform operator</w:t>
            </w:r>
          </w:p>
        </w:tc>
        <w:tc>
          <w:tcPr>
            <w:tcW w:type="dxa" w:w="3498"/>
            <w:vAlign w:val="center"/>
            <w:shd w:fill="F4F6F8"/>
          </w:tcPr>
          <w:p>
            <w:pPr>
              <w:spacing w:after="20" w:before="20" w:line="247" w:lineRule="auto"/>
            </w:pPr>
            <w:r>
              <w:rPr>
                <w:b w:val="0"/>
                <w:i w:val="0"/>
                <w:sz w:val="20"/>
              </w:rPr>
              <w:t>Metadata only health, quotas, incidents, release controls and approved support sessions</w:t>
            </w:r>
          </w:p>
        </w:tc>
      </w:tr>
      <w:tr>
        <w:trPr>
          <w:cantSplit/>
        </w:trPr>
        <w:tc>
          <w:tcPr>
            <w:tcW w:type="dxa" w:w="2199"/>
            <w:vAlign w:val="center"/>
            <w:shd w:fill="FFFFFF"/>
          </w:tcPr>
          <w:p>
            <w:pPr>
              <w:spacing w:after="20" w:before="20" w:line="247" w:lineRule="auto"/>
            </w:pPr>
            <w:r>
              <w:rPr>
                <w:b w:val="0"/>
                <w:i w:val="0"/>
                <w:sz w:val="20"/>
              </w:rPr>
              <w:t>UI29 Migration and exit</w:t>
            </w:r>
          </w:p>
        </w:tc>
        <w:tc>
          <w:tcPr>
            <w:tcW w:type="dxa" w:w="4297"/>
            <w:vAlign w:val="center"/>
            <w:shd w:fill="FFFFFF"/>
          </w:tcPr>
          <w:p>
            <w:pPr>
              <w:spacing w:after="20" w:before="20" w:line="247" w:lineRule="auto"/>
            </w:pPr>
            <w:r>
              <w:rPr>
                <w:b w:val="0"/>
                <w:i w:val="0"/>
                <w:sz w:val="20"/>
              </w:rPr>
              <w:t>Implementation lead owner</w:t>
            </w:r>
          </w:p>
        </w:tc>
        <w:tc>
          <w:tcPr>
            <w:tcW w:type="dxa" w:w="3498"/>
            <w:vAlign w:val="center"/>
            <w:shd w:fill="FFFFFF"/>
          </w:tcPr>
          <w:p>
            <w:pPr>
              <w:spacing w:after="20" w:before="20" w:line="247" w:lineRule="auto"/>
            </w:pPr>
            <w:r>
              <w:rPr>
                <w:b w:val="0"/>
                <w:i w:val="0"/>
                <w:sz w:val="20"/>
              </w:rPr>
              <w:t>Mapping, trial results, semantic reconciliation, cutover, export manifest and closure</w:t>
            </w:r>
          </w:p>
        </w:tc>
      </w:tr>
      <w:tr>
        <w:trPr>
          <w:cantSplit/>
        </w:trPr>
        <w:tc>
          <w:tcPr>
            <w:tcW w:type="dxa" w:w="2199"/>
            <w:vAlign w:val="center"/>
            <w:shd w:fill="F4F6F8"/>
          </w:tcPr>
          <w:p>
            <w:pPr>
              <w:spacing w:after="20" w:before="20" w:line="247" w:lineRule="auto"/>
            </w:pPr>
            <w:r>
              <w:rPr>
                <w:b w:val="0"/>
                <w:i w:val="0"/>
                <w:sz w:val="20"/>
              </w:rPr>
              <w:t>UI30 Budget workspace</w:t>
            </w:r>
          </w:p>
        </w:tc>
        <w:tc>
          <w:tcPr>
            <w:tcW w:type="dxa" w:w="4297"/>
            <w:vAlign w:val="center"/>
            <w:shd w:fill="F4F6F8"/>
          </w:tcPr>
          <w:p>
            <w:pPr>
              <w:spacing w:after="20" w:before="20" w:line="247" w:lineRule="auto"/>
            </w:pPr>
            <w:r>
              <w:rPr>
                <w:b w:val="0"/>
                <w:i w:val="0"/>
                <w:sz w:val="20"/>
              </w:rPr>
              <w:t>Finance authorised user</w:t>
            </w:r>
          </w:p>
        </w:tc>
        <w:tc>
          <w:tcPr>
            <w:tcW w:type="dxa" w:w="3498"/>
            <w:vAlign w:val="center"/>
            <w:shd w:fill="F4F6F8"/>
          </w:tcPr>
          <w:p>
            <w:pPr>
              <w:spacing w:after="20" w:before="20" w:line="247" w:lineRule="auto"/>
            </w:pPr>
            <w:r>
              <w:rPr>
                <w:b w:val="0"/>
                <w:i w:val="0"/>
                <w:sz w:val="20"/>
              </w:rPr>
              <w:t>Versions, source transactions, rates, allocations, variance and separate approvals</w:t>
            </w:r>
          </w:p>
        </w:tc>
      </w:tr>
    </w:tbl>
    <w:p>
      <w:pPr>
        <w:keepNext w:val="0"/>
        <w:spacing w:after="60" w:line="240" w:lineRule="auto" w:before="0"/>
      </w:pPr>
      <w:r>
        <w:rPr>
          <w:b w:val="0"/>
          <w:i w:val="0"/>
          <w:sz w:val="2"/>
        </w:rPr>
      </w:r>
    </w:p>
    <w:p>
      <w:pPr>
        <w:pStyle w:val="Heading2"/>
      </w:pPr>
      <w:r>
        <w:rPr>
          <w:b w:val="0"/>
          <w:i w:val="0"/>
        </w:rPr>
        <w:t>6 2 Screen level action requirements</w:t>
      </w:r>
    </w:p>
    <w:p>
      <w:r>
        <w:rPr>
          <w:b w:val="0"/>
          <w:i w:val="0"/>
        </w:rPr>
        <w:t>Primary actions use domain terms such as Submit for review, Approve this version, Publish to selected audience and Save on device. A generic Save shall not imply submission or approval. Confirmation views show scope, affected object count, source and target versions and irreversible effects. A disabled action includes a permitted reason and remediation route. A protected absent action does not disclose a hidden resource. Cross screen changes preserve the originating filter and selected record where access remains valid.</w:t>
      </w:r>
    </w:p>
    <w:p>
      <w:bookmarkStart w:id="7" w:name="sec_7"/>
      <w:pPr>
        <w:pStyle w:val="Heading1"/>
      </w:pPr>
      <w:r>
        <w:rPr>
          <w:b w:val="0"/>
          <w:i w:val="0"/>
        </w:rPr>
        <w:t>7 Organisation and tenant administration</w:t>
      </w:r>
      <w:bookmarkEnd w:id="7"/>
    </w:p>
    <w:p>
      <w:pPr>
        <w:spacing w:after="140"/>
      </w:pPr>
      <w:r>
        <w:rPr>
          <w:b w:val="0"/>
          <w:i/>
          <w:sz w:val="21"/>
        </w:rPr>
        <w:t>Primary actors: Tenant owner and delegated administrator. Interfaces: UI04 UI05 UI28. Logical entities: D01 D02 D03 D04.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8" w:name="req_FR_TEN_001"/>
      <w:pPr>
        <w:keepNext/>
        <w:spacing w:before="180" w:after="40"/>
      </w:pPr>
      <w:r>
        <w:rPr>
          <w:b/>
          <w:i w:val="0"/>
        </w:rPr>
        <w:t>FR-TEN-001   Tenant lifecycle</w:t>
      </w:r>
      <w:bookmarkEnd w:id="8"/>
    </w:p>
    <w:p>
      <w:pPr>
        <w:keepNext/>
        <w:spacing w:after="60"/>
      </w:pPr>
      <w:r>
        <w:rPr>
          <w:b w:val="0"/>
          <w:i w:val="0"/>
          <w:sz w:val="19"/>
        </w:rPr>
        <w:t>Parent BR-TEN-001   |   P0   |   R1</w:t>
      </w:r>
    </w:p>
    <w:p>
      <w:pPr>
        <w:spacing w:after="60"/>
      </w:pPr>
      <w:r>
        <w:rPr>
          <w:b/>
          <w:i w:val="0"/>
        </w:rPr>
        <w:t xml:space="preserve">Behaviour: </w:t>
      </w:r>
      <w:r>
        <w:rPr>
          <w:b w:val="0"/>
          <w:i w:val="0"/>
        </w:rPr>
        <w:t>An operator creates a requested tenant with an owner invitation and selected policy profile. Activation checks verified owner, recovery contact, region, retention and identity settings. Suspension previews scheduled writes, then pauses them while preserving policy permitted support and exit access.</w:t>
      </w:r>
    </w:p>
    <w:p>
      <w:pPr>
        <w:spacing w:after="60"/>
      </w:pPr>
      <w:r>
        <w:rPr>
          <w:b/>
          <w:i w:val="0"/>
        </w:rPr>
        <w:t xml:space="preserve">Validation and recovery: </w:t>
      </w:r>
      <w:r>
        <w:rPr>
          <w:b w:val="0"/>
          <w:i w:val="0"/>
        </w:rPr>
        <w:t>Reactivation rechecks expired grants and source credentials; it does not replay queued writes automatically. Closure follows the exit workflow and cannot skip holds.</w:t>
      </w:r>
    </w:p>
    <w:p>
      <w:pPr>
        <w:spacing w:after="60"/>
      </w:pPr>
      <w:r>
        <w:rPr>
          <w:b/>
          <w:i w:val="0"/>
        </w:rPr>
        <w:t xml:space="preserve">Acceptance FT-TEN-001: </w:t>
      </w:r>
      <w:r>
        <w:rPr>
          <w:b w:val="0"/>
          <w:i w:val="0"/>
        </w:rPr>
        <w:t>Suspend tenant A with a running import and a report schedule; accepted rows remain recorded, future writes stop at the cancellation boundary and tenant B continues normally.</w:t>
      </w:r>
    </w:p>
    <w:p>
      <w:bookmarkStart w:id="9" w:name="req_FR_TEN_002"/>
      <w:pPr>
        <w:keepNext/>
        <w:spacing w:before="180" w:after="40"/>
      </w:pPr>
      <w:r>
        <w:rPr>
          <w:b/>
          <w:i w:val="0"/>
        </w:rPr>
        <w:t>FR-TEN-002   Organisation structures</w:t>
      </w:r>
      <w:bookmarkEnd w:id="9"/>
    </w:p>
    <w:p>
      <w:pPr>
        <w:keepNext/>
        <w:spacing w:after="60"/>
      </w:pPr>
      <w:r>
        <w:rPr>
          <w:b w:val="0"/>
          <w:i w:val="0"/>
          <w:sz w:val="19"/>
        </w:rPr>
        <w:t>Parent BR-TEN-002   |   P0   |   R1</w:t>
      </w:r>
    </w:p>
    <w:p>
      <w:pPr>
        <w:spacing w:after="60"/>
      </w:pPr>
      <w:r>
        <w:rPr>
          <w:b/>
          <w:i w:val="0"/>
        </w:rPr>
        <w:t xml:space="preserve">Behaviour: </w:t>
      </w:r>
      <w:r>
        <w:rPr>
          <w:b w:val="0"/>
          <w:i w:val="0"/>
        </w:rPr>
        <w:t>An organisation administrator creates a unit with a stable code and optional parent. Moving a unit or project produces a preview of reporting membership, explicit grants and future obligations. Confirming applies the effective dated change and records the old parent.</w:t>
      </w:r>
    </w:p>
    <w:p>
      <w:pPr>
        <w:spacing w:after="60"/>
      </w:pPr>
      <w:r>
        <w:rPr>
          <w:b/>
          <w:i w:val="0"/>
        </w:rPr>
        <w:t xml:space="preserve">Validation and recovery: </w:t>
      </w:r>
      <w:r>
        <w:rPr>
          <w:b w:val="0"/>
          <w:i w:val="0"/>
        </w:rPr>
        <w:t>Reject self parenting and descendant cycles. Existing grants change only through an explicit reviewed access change; historical reports retain their original organisational context.</w:t>
      </w:r>
    </w:p>
    <w:p>
      <w:pPr>
        <w:spacing w:after="60"/>
      </w:pPr>
      <w:r>
        <w:rPr>
          <w:b/>
          <w:i w:val="0"/>
        </w:rPr>
        <w:t xml:space="preserve">Acceptance FT-TEN-002: </w:t>
      </w:r>
      <w:r>
        <w:rPr>
          <w:b w:val="0"/>
          <w:i w:val="0"/>
        </w:rPr>
        <w:t>Move project P from office East to West on 1 July; June retains East and the preview identifies every access grant that would change.</w:t>
      </w:r>
    </w:p>
    <w:p>
      <w:bookmarkStart w:id="10" w:name="req_FR_TEN_003"/>
      <w:pPr>
        <w:keepNext/>
        <w:spacing w:before="180" w:after="40"/>
      </w:pPr>
      <w:r>
        <w:rPr>
          <w:b/>
          <w:i w:val="0"/>
        </w:rPr>
        <w:t>FR-TEN-003   Multiple memberships</w:t>
      </w:r>
      <w:bookmarkEnd w:id="10"/>
    </w:p>
    <w:p>
      <w:pPr>
        <w:keepNext/>
        <w:spacing w:after="60"/>
      </w:pPr>
      <w:r>
        <w:rPr>
          <w:b w:val="0"/>
          <w:i w:val="0"/>
          <w:sz w:val="19"/>
        </w:rPr>
        <w:t>Parent BR-TEN-003   |   P0   |   R1</w:t>
      </w:r>
    </w:p>
    <w:p>
      <w:pPr>
        <w:spacing w:after="60"/>
      </w:pPr>
      <w:r>
        <w:rPr>
          <w:b/>
          <w:i w:val="0"/>
        </w:rPr>
        <w:t xml:space="preserve">Behaviour: </w:t>
      </w:r>
      <w:r>
        <w:rPr>
          <w:b w:val="0"/>
          <w:i w:val="0"/>
        </w:rPr>
        <w:t>The tenant selector lists active memberships and their display identities. Opening a second tenant leaves existing tabs bound to their original tenant. Each command carries the originating tenant context and is rejected if the selected resource belongs elsewhere.</w:t>
      </w:r>
    </w:p>
    <w:p>
      <w:pPr>
        <w:spacing w:after="60"/>
      </w:pPr>
      <w:r>
        <w:rPr>
          <w:b/>
          <w:i w:val="0"/>
        </w:rPr>
        <w:t xml:space="preserve">Validation and recovery: </w:t>
      </w:r>
      <w:r>
        <w:rPr>
          <w:b w:val="0"/>
          <w:i w:val="0"/>
        </w:rPr>
        <w:t>Clear tenant scoped recent items and unsent AI context when switching the same tab. Browser back navigation reauthorises the historic page rather than restoring protected cached content.</w:t>
      </w:r>
    </w:p>
    <w:p>
      <w:pPr>
        <w:spacing w:after="60"/>
      </w:pPr>
      <w:r>
        <w:rPr>
          <w:b/>
          <w:i w:val="0"/>
        </w:rPr>
        <w:t xml:space="preserve">Acceptance FT-TEN-003: </w:t>
      </w:r>
      <w:r>
        <w:rPr>
          <w:b w:val="0"/>
          <w:i w:val="0"/>
        </w:rPr>
        <w:t>Hold reviewer rights in A and collector rights in B; approve from an A tab and verify the B tab cannot reuse that permission or source reference.</w:t>
      </w:r>
    </w:p>
    <w:p>
      <w:bookmarkStart w:id="11" w:name="req_FR_TEN_004"/>
      <w:pPr>
        <w:keepNext/>
        <w:spacing w:before="180" w:after="40"/>
      </w:pPr>
      <w:r>
        <w:rPr>
          <w:b/>
          <w:i w:val="0"/>
        </w:rPr>
        <w:t>FR-TEN-004   Configuration and terminology</w:t>
      </w:r>
      <w:bookmarkEnd w:id="11"/>
    </w:p>
    <w:p>
      <w:pPr>
        <w:keepNext/>
        <w:spacing w:after="60"/>
      </w:pPr>
      <w:r>
        <w:rPr>
          <w:b w:val="0"/>
          <w:i w:val="0"/>
          <w:sz w:val="19"/>
        </w:rPr>
        <w:t>Parent BR-TEN-004   |   P1   |   R1</w:t>
      </w:r>
    </w:p>
    <w:p>
      <w:pPr>
        <w:spacing w:after="60"/>
      </w:pPr>
      <w:r>
        <w:rPr>
          <w:b/>
          <w:i w:val="0"/>
        </w:rPr>
        <w:t xml:space="preserve">Behaviour: </w:t>
      </w:r>
      <w:r>
        <w:rPr>
          <w:b w:val="0"/>
          <w:i w:val="0"/>
        </w:rPr>
        <w:t>A configuration editor proposes labels, code lists, reporting calendar, time zone or unit changes and chooses an effective date. Preview lists dependent schedules and drafts. Approved versions apply prospectively; historical objects retain the version they used.</w:t>
      </w:r>
    </w:p>
    <w:p>
      <w:pPr>
        <w:spacing w:after="60"/>
      </w:pPr>
      <w:r>
        <w:rPr>
          <w:b/>
          <w:i w:val="0"/>
        </w:rPr>
        <w:t xml:space="preserve">Validation and recovery: </w:t>
      </w:r>
      <w:r>
        <w:rPr>
          <w:b w:val="0"/>
          <w:i w:val="0"/>
        </w:rPr>
        <w:t>Display label edits do not change stable codes. A fiscal boundary change requires a new calendar and explicit future obligation regeneration; overlapping official periods are rejected.</w:t>
      </w:r>
    </w:p>
    <w:p>
      <w:pPr>
        <w:spacing w:after="60"/>
      </w:pPr>
      <w:r>
        <w:rPr>
          <w:b/>
          <w:i w:val="0"/>
        </w:rPr>
        <w:t xml:space="preserve">Acceptance FT-TEN-004: </w:t>
      </w:r>
      <w:r>
        <w:rPr>
          <w:b w:val="0"/>
          <w:i w:val="0"/>
        </w:rPr>
        <w:t>Rename an output label and change the next fiscal year start; prior snapshot labels and period membership remain reconstructable.</w:t>
      </w:r>
    </w:p>
    <w:p>
      <w:bookmarkStart w:id="12" w:name="req_FR_TEN_005"/>
      <w:pPr>
        <w:keepNext/>
        <w:spacing w:before="180" w:after="40"/>
      </w:pPr>
      <w:r>
        <w:rPr>
          <w:b/>
          <w:i w:val="0"/>
        </w:rPr>
        <w:t>FR-TEN-005   Custom fields and templates</w:t>
      </w:r>
      <w:bookmarkEnd w:id="12"/>
    </w:p>
    <w:p>
      <w:pPr>
        <w:keepNext/>
        <w:spacing w:after="60"/>
      </w:pPr>
      <w:r>
        <w:rPr>
          <w:b w:val="0"/>
          <w:i w:val="0"/>
          <w:sz w:val="19"/>
        </w:rPr>
        <w:t>Parent BR-TEN-005   |   P1   |   R1</w:t>
      </w:r>
    </w:p>
    <w:p>
      <w:pPr>
        <w:spacing w:after="60"/>
      </w:pPr>
      <w:r>
        <w:rPr>
          <w:b/>
          <w:i w:val="0"/>
        </w:rPr>
        <w:t xml:space="preserve">Behaviour: </w:t>
      </w:r>
      <w:r>
        <w:rPr>
          <w:b w:val="0"/>
          <w:i w:val="0"/>
        </w:rPr>
        <w:t>An administrator selects field type, stable code, permitted object types, required condition, validation and classification. Preview shows form, import, search and report availability. Publishing creates a field definition version; templates reference that version.</w:t>
      </w:r>
    </w:p>
    <w:p>
      <w:pPr>
        <w:spacing w:after="60"/>
      </w:pPr>
      <w:r>
        <w:rPr>
          <w:b/>
          <w:i w:val="0"/>
        </w:rPr>
        <w:t xml:space="preserve">Validation and recovery: </w:t>
      </w:r>
      <w:r>
        <w:rPr>
          <w:b w:val="0"/>
          <w:i w:val="0"/>
        </w:rPr>
        <w:t>A type change with existing values requires an explicit migration mapping or a new field. Retiring removes new entry but preserves historical values and restricted visibility.</w:t>
      </w:r>
    </w:p>
    <w:p>
      <w:pPr>
        <w:spacing w:after="60"/>
      </w:pPr>
      <w:r>
        <w:rPr>
          <w:b/>
          <w:i w:val="0"/>
        </w:rPr>
        <w:t xml:space="preserve">Acceptance FT-TEN-005: </w:t>
      </w:r>
      <w:r>
        <w:rPr>
          <w:b w:val="0"/>
          <w:i w:val="0"/>
        </w:rPr>
        <w:t>Create a restricted decimal field required only for active grants; an authorised import succeeds and an external viewer sees neither value nor search facet.</w:t>
      </w:r>
    </w:p>
    <w:p>
      <w:bookmarkStart w:id="13" w:name="req_FR_TEN_006"/>
      <w:pPr>
        <w:keepNext/>
        <w:spacing w:before="180" w:after="40"/>
      </w:pPr>
      <w:r>
        <w:rPr>
          <w:b/>
          <w:i w:val="0"/>
        </w:rPr>
        <w:t>FR-TEN-006   Partner and consortium boundaries</w:t>
      </w:r>
      <w:bookmarkEnd w:id="13"/>
    </w:p>
    <w:p>
      <w:pPr>
        <w:keepNext/>
        <w:spacing w:after="60"/>
      </w:pPr>
      <w:r>
        <w:rPr>
          <w:b w:val="0"/>
          <w:i w:val="0"/>
          <w:sz w:val="19"/>
        </w:rPr>
        <w:t>Parent BR-TEN-006   |   P0   |   R1</w:t>
      </w:r>
    </w:p>
    <w:p>
      <w:pPr>
        <w:spacing w:after="60"/>
      </w:pPr>
      <w:r>
        <w:rPr>
          <w:b/>
          <w:i w:val="0"/>
        </w:rPr>
        <w:t xml:space="preserve">Behaviour: </w:t>
      </w:r>
      <w:r>
        <w:rPr>
          <w:b w:val="0"/>
          <w:i w:val="0"/>
        </w:rPr>
        <w:t>The programme manager creates a partner agreement naming projects, shared artifacts, allowed actions, purpose, dates and owner. A cross tenant exchange creates an explicit destination copy with source version and agreement reference. Each transfer is recorded in the sharing register.</w:t>
      </w:r>
    </w:p>
    <w:p>
      <w:pPr>
        <w:spacing w:after="60"/>
      </w:pPr>
      <w:r>
        <w:rPr>
          <w:b/>
          <w:i w:val="0"/>
        </w:rPr>
        <w:t xml:space="preserve">Validation and recovery: </w:t>
      </w:r>
      <w:r>
        <w:rPr>
          <w:b w:val="0"/>
          <w:i w:val="0"/>
        </w:rPr>
        <w:t>An agreement grants no tenant membership by itself. Expiry stops new transfer, revokes live access and starts the agreed retained copy restriction or deletion process; external completion is tracked separately.</w:t>
      </w:r>
    </w:p>
    <w:p>
      <w:pPr>
        <w:spacing w:after="60"/>
      </w:pPr>
      <w:r>
        <w:rPr>
          <w:b/>
          <w:i w:val="0"/>
        </w:rPr>
        <w:t xml:space="preserve">Acceptance FT-TEN-006: </w:t>
      </w:r>
      <w:r>
        <w:rPr>
          <w:b w:val="0"/>
          <w:i w:val="0"/>
        </w:rPr>
        <w:t>Share one approved indicator definition with partners X and Y; each sees its own submissions and neither receives the other's completion statistics unless explicitly disclosed.</w:t>
      </w:r>
    </w:p>
    <w:p>
      <w:bookmarkStart w:id="14" w:name="req_FR_TEN_007"/>
      <w:pPr>
        <w:keepNext/>
        <w:spacing w:before="180" w:after="40"/>
      </w:pPr>
      <w:r>
        <w:rPr>
          <w:b/>
          <w:i w:val="0"/>
        </w:rPr>
        <w:t>FR-TEN-007   Policy inheritance and exceptions</w:t>
      </w:r>
      <w:bookmarkEnd w:id="14"/>
    </w:p>
    <w:p>
      <w:pPr>
        <w:keepNext/>
        <w:spacing w:after="60"/>
      </w:pPr>
      <w:r>
        <w:rPr>
          <w:b w:val="0"/>
          <w:i w:val="0"/>
          <w:sz w:val="19"/>
        </w:rPr>
        <w:t>Parent BR-TEN-007   |   P0   |   R1</w:t>
      </w:r>
    </w:p>
    <w:p>
      <w:pPr>
        <w:spacing w:after="60"/>
      </w:pPr>
      <w:r>
        <w:rPr>
          <w:b/>
          <w:i w:val="0"/>
        </w:rPr>
        <w:t xml:space="preserve">Behaviour: </w:t>
      </w:r>
      <w:r>
        <w:rPr>
          <w:b w:val="0"/>
          <w:i w:val="0"/>
        </w:rPr>
        <w:t>A policy editor shows effective tenant and project rules with the source of each restriction. Tightening is applied after impact confirmation. A permitted relaxation opens an exception request specifying scope, reason, compensating control, independent approver and expiry.</w:t>
      </w:r>
    </w:p>
    <w:p>
      <w:pPr>
        <w:spacing w:after="60"/>
      </w:pPr>
      <w:r>
        <w:rPr>
          <w:b/>
          <w:i w:val="0"/>
        </w:rPr>
        <w:t xml:space="preserve">Validation and recovery: </w:t>
      </w:r>
      <w:r>
        <w:rPr>
          <w:b w:val="0"/>
          <w:i w:val="0"/>
        </w:rPr>
        <w:t>Unknown policy or expired exception denies sensitive work. An exception cannot permit cross tenant access, self approval or unsupported arithmetic. Expiry restores the stricter rule and rechecks dependent jobs.</w:t>
      </w:r>
    </w:p>
    <w:p>
      <w:pPr>
        <w:spacing w:after="60"/>
      </w:pPr>
      <w:r>
        <w:rPr>
          <w:b/>
          <w:i w:val="0"/>
        </w:rPr>
        <w:t xml:space="preserve">Acceptance FT-TEN-007: </w:t>
      </w:r>
      <w:r>
        <w:rPr>
          <w:b w:val="0"/>
          <w:i w:val="0"/>
        </w:rPr>
        <w:t>Attempt to enable public raw participant exports under a tenant prohibition; the platform rejects it even if a project administrator owns the dataset.</w:t>
      </w:r>
    </w:p>
    <w:p>
      <w:bookmarkStart w:id="15" w:name="req_FR_TEN_008"/>
      <w:pPr>
        <w:keepNext/>
        <w:spacing w:before="180" w:after="40"/>
      </w:pPr>
      <w:r>
        <w:rPr>
          <w:b/>
          <w:i w:val="0"/>
        </w:rPr>
        <w:t>FR-TEN-008   Configuration promotion</w:t>
      </w:r>
      <w:bookmarkEnd w:id="15"/>
    </w:p>
    <w:p>
      <w:pPr>
        <w:keepNext/>
        <w:spacing w:after="60"/>
      </w:pPr>
      <w:r>
        <w:rPr>
          <w:b w:val="0"/>
          <w:i w:val="0"/>
          <w:sz w:val="19"/>
        </w:rPr>
        <w:t>Parent BR-TEN-008   |   P1   |   R2</w:t>
      </w:r>
    </w:p>
    <w:p>
      <w:pPr>
        <w:spacing w:after="60"/>
      </w:pPr>
      <w:r>
        <w:rPr>
          <w:b/>
          <w:i w:val="0"/>
        </w:rPr>
        <w:t xml:space="preserve">Behaviour: </w:t>
      </w:r>
      <w:r>
        <w:rPr>
          <w:b w:val="0"/>
          <w:i w:val="0"/>
        </w:rPr>
        <w:t>An administrator copies configuration and synthetic fixtures into an isolated test workspace. Promotion compares versions, dependencies and validation results; an eligible reviewer approves the complete package. Production application records the exact promoted versions and affected future objects.</w:t>
      </w:r>
    </w:p>
    <w:p>
      <w:pPr>
        <w:spacing w:after="60"/>
      </w:pPr>
      <w:r>
        <w:rPr>
          <w:b/>
          <w:i w:val="0"/>
        </w:rPr>
        <w:t xml:space="preserve">Validation and recovery: </w:t>
      </w:r>
      <w:r>
        <w:rPr>
          <w:b w:val="0"/>
          <w:i w:val="0"/>
        </w:rPr>
        <w:t>Never copy production credentials or personal records by default. Rollback restores compatible configuration references only; it cannot erase writes made under an intervening version without an explicit migration.</w:t>
      </w:r>
    </w:p>
    <w:p>
      <w:pPr>
        <w:spacing w:after="60"/>
      </w:pPr>
      <w:r>
        <w:rPr>
          <w:b/>
          <w:i w:val="0"/>
        </w:rPr>
        <w:t xml:space="preserve">Acceptance FT-TEN-008: </w:t>
      </w:r>
      <w:r>
        <w:rPr>
          <w:b w:val="0"/>
          <w:i w:val="0"/>
        </w:rPr>
        <w:t>Promote a new collection rule, then roll it back; sample records never appear in production and accepted production submissions keep their original rule references.</w:t>
      </w:r>
    </w:p>
    <w:p>
      <w:bookmarkStart w:id="16" w:name="req_FR_TEN_009"/>
      <w:pPr>
        <w:keepNext/>
        <w:spacing w:before="180" w:after="40"/>
      </w:pPr>
      <w:r>
        <w:rPr>
          <w:b/>
          <w:i w:val="0"/>
        </w:rPr>
        <w:t>FR-TEN-009   Branding and external identity</w:t>
      </w:r>
      <w:bookmarkEnd w:id="16"/>
    </w:p>
    <w:p>
      <w:pPr>
        <w:keepNext/>
        <w:spacing w:after="60"/>
      </w:pPr>
      <w:r>
        <w:rPr>
          <w:b w:val="0"/>
          <w:i w:val="0"/>
          <w:sz w:val="19"/>
        </w:rPr>
        <w:t>Parent BR-TEN-009   |   P1   |   R2</w:t>
      </w:r>
    </w:p>
    <w:p>
      <w:pPr>
        <w:spacing w:after="60"/>
      </w:pPr>
      <w:r>
        <w:rPr>
          <w:b/>
          <w:i w:val="0"/>
        </w:rPr>
        <w:t xml:space="preserve">Behaviour: </w:t>
      </w:r>
      <w:r>
        <w:rPr>
          <w:b w:val="0"/>
          <w:i w:val="0"/>
        </w:rPr>
        <w:t>The branding editor previews approved logos, accessible colours, tenant name and report styles. An external domain remains pending until verified control and an active renewal or revocation owner are recorded. Publishing the theme changes presentation only.</w:t>
      </w:r>
    </w:p>
    <w:p>
      <w:pPr>
        <w:spacing w:after="60"/>
      </w:pPr>
      <w:r>
        <w:rPr>
          <w:b/>
          <w:i w:val="0"/>
        </w:rPr>
        <w:t xml:space="preserve">Validation and recovery: </w:t>
      </w:r>
      <w:r>
        <w:rPr>
          <w:b w:val="0"/>
          <w:i w:val="0"/>
        </w:rPr>
        <w:t>Uploaded assets pass file safety checks. Branding cannot hide mandatory caveats, approval status or the actual organisation; expired domain verification disables the domain without opening a fallback tenant.</w:t>
      </w:r>
    </w:p>
    <w:p>
      <w:pPr>
        <w:spacing w:after="60"/>
      </w:pPr>
      <w:r>
        <w:rPr>
          <w:b/>
          <w:i w:val="0"/>
        </w:rPr>
        <w:t xml:space="preserve">Acceptance FT-TEN-009: </w:t>
      </w:r>
      <w:r>
        <w:rPr>
          <w:b w:val="0"/>
          <w:i w:val="0"/>
        </w:rPr>
        <w:t>Apply a low contrast colour palette; publication blocks the failing theme while the prior accessible theme continues to serve reports.</w:t>
      </w:r>
    </w:p>
    <w:p>
      <w:bookmarkStart w:id="17" w:name="req_FR_TEN_010"/>
      <w:pPr>
        <w:keepNext/>
        <w:spacing w:before="180" w:after="40"/>
      </w:pPr>
      <w:r>
        <w:rPr>
          <w:b/>
          <w:i w:val="0"/>
        </w:rPr>
        <w:t>FR-TEN-010   Ownership continuity</w:t>
      </w:r>
      <w:bookmarkEnd w:id="17"/>
    </w:p>
    <w:p>
      <w:pPr>
        <w:keepNext/>
        <w:spacing w:after="60"/>
      </w:pPr>
      <w:r>
        <w:rPr>
          <w:b w:val="0"/>
          <w:i w:val="0"/>
          <w:sz w:val="19"/>
        </w:rPr>
        <w:t>Parent BR-TEN-010   |   P0   |   R1</w:t>
      </w:r>
    </w:p>
    <w:p>
      <w:pPr>
        <w:spacing w:after="60"/>
      </w:pPr>
      <w:r>
        <w:rPr>
          <w:b/>
          <w:i w:val="0"/>
        </w:rPr>
        <w:t xml:space="preserve">Behaviour: </w:t>
      </w:r>
      <w:r>
        <w:rPr>
          <w:b w:val="0"/>
          <w:i w:val="0"/>
        </w:rPr>
        <w:t>The current owner nominates an active eligible successor, who verifies identity and accepts custody after step up. The system previews commercial and administrative responsibilities and records both actors. Recovery of an unavailable last owner follows a verified case with distinct approval.</w:t>
      </w:r>
    </w:p>
    <w:p>
      <w:pPr>
        <w:spacing w:after="60"/>
      </w:pPr>
      <w:r>
        <w:rPr>
          <w:b/>
          <w:i w:val="0"/>
        </w:rPr>
        <w:t xml:space="preserve">Validation and recovery: </w:t>
      </w:r>
      <w:r>
        <w:rPr>
          <w:b w:val="0"/>
          <w:i w:val="0"/>
        </w:rPr>
        <w:t>Do not remove or suspend the final eligible owner through ordinary member administration without a successor or approved closure path. Transfer does not automatically grant participant identity access.</w:t>
      </w:r>
    </w:p>
    <w:p>
      <w:pPr>
        <w:spacing w:after="60"/>
      </w:pPr>
      <w:r>
        <w:rPr>
          <w:b/>
          <w:i w:val="0"/>
        </w:rPr>
        <w:t xml:space="preserve">Acceptance FT-TEN-010: </w:t>
      </w:r>
      <w:r>
        <w:rPr>
          <w:b w:val="0"/>
          <w:i w:val="0"/>
        </w:rPr>
        <w:t>Attempt to revoke the sole owner, then complete a two actor transfer; the first action fails and the second preserves a complete custody history.</w:t>
      </w:r>
    </w:p>
    <w:p>
      <w:bookmarkStart w:id="18" w:name="sec_8"/>
      <w:pPr>
        <w:pStyle w:val="Heading1"/>
      </w:pPr>
      <w:r>
        <w:rPr>
          <w:b w:val="0"/>
          <w:i w:val="0"/>
        </w:rPr>
        <w:t>8 Identity and membership lifecycle</w:t>
      </w:r>
      <w:bookmarkEnd w:id="18"/>
    </w:p>
    <w:p>
      <w:pPr>
        <w:spacing w:after="140"/>
      </w:pPr>
      <w:r>
        <w:rPr>
          <w:b w:val="0"/>
          <w:i/>
          <w:sz w:val="21"/>
        </w:rPr>
        <w:t>Primary actors: Identity administrator and individual member. Interfaces: UI01 UI02 UI05. Logical entities: D02 D03 D31.</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9" w:name="req_FR_IAM_001"/>
      <w:pPr>
        <w:keepNext/>
        <w:spacing w:before="180" w:after="40"/>
      </w:pPr>
      <w:r>
        <w:rPr>
          <w:b/>
          <w:i w:val="0"/>
        </w:rPr>
        <w:t>FR-IAM-001   Invitations and onboarding</w:t>
      </w:r>
      <w:bookmarkEnd w:id="19"/>
    </w:p>
    <w:p>
      <w:pPr>
        <w:keepNext/>
        <w:spacing w:after="60"/>
      </w:pPr>
      <w:r>
        <w:rPr>
          <w:b w:val="0"/>
          <w:i w:val="0"/>
          <w:sz w:val="19"/>
        </w:rPr>
        <w:t>Parent BR-IAM-001   |   P0   |   R1</w:t>
      </w:r>
    </w:p>
    <w:p>
      <w:pPr>
        <w:spacing w:after="60"/>
      </w:pPr>
      <w:r>
        <w:rPr>
          <w:b/>
          <w:i w:val="0"/>
        </w:rPr>
        <w:t xml:space="preserve">Behaviour: </w:t>
      </w:r>
      <w:r>
        <w:rPr>
          <w:b w:val="0"/>
          <w:i w:val="0"/>
        </w:rPr>
        <w:t>The inviter selects tenant, role template, explicit scopes, expiry and intended verified identity. The preview shows effective capabilities before sending. Acceptance requires control of the nominated identity, token validity and current inviter authority; it creates one membership.</w:t>
      </w:r>
    </w:p>
    <w:p>
      <w:pPr>
        <w:spacing w:after="60"/>
      </w:pPr>
      <w:r>
        <w:rPr>
          <w:b/>
          <w:i w:val="0"/>
        </w:rPr>
        <w:t xml:space="preserve">Validation and recovery: </w:t>
      </w:r>
      <w:r>
        <w:rPr>
          <w:b w:val="0"/>
          <w:i w:val="0"/>
        </w:rPr>
        <w:t>Invites expire in seven days by default. Resend invalidates the old token. Bulk outcomes separate created, duplicate, invalid and delivery failed; receiving email alone does not prove membership activation.</w:t>
      </w:r>
    </w:p>
    <w:p>
      <w:pPr>
        <w:spacing w:after="60"/>
      </w:pPr>
      <w:r>
        <w:rPr>
          <w:b/>
          <w:i w:val="0"/>
        </w:rPr>
        <w:t xml:space="preserve">Acceptance FT-IAM-001: </w:t>
      </w:r>
      <w:r>
        <w:rPr>
          <w:b w:val="0"/>
          <w:i w:val="0"/>
        </w:rPr>
        <w:t>Forward an invitation to a different signed in account and replay a consumed token; both fail without revealing protected tenant content.</w:t>
      </w:r>
    </w:p>
    <w:p>
      <w:bookmarkStart w:id="20" w:name="req_FR_IAM_002"/>
      <w:pPr>
        <w:keepNext/>
        <w:spacing w:before="180" w:after="40"/>
      </w:pPr>
      <w:r>
        <w:rPr>
          <w:b/>
          <w:i w:val="0"/>
        </w:rPr>
        <w:t>FR-IAM-002   Enterprise federation</w:t>
      </w:r>
      <w:bookmarkEnd w:id="20"/>
    </w:p>
    <w:p>
      <w:pPr>
        <w:keepNext/>
        <w:spacing w:after="60"/>
      </w:pPr>
      <w:r>
        <w:rPr>
          <w:b w:val="0"/>
          <w:i w:val="0"/>
          <w:sz w:val="19"/>
        </w:rPr>
        <w:t>Parent BR-IAM-002   |   P0   |   R1</w:t>
      </w:r>
    </w:p>
    <w:p>
      <w:pPr>
        <w:spacing w:after="60"/>
      </w:pPr>
      <w:r>
        <w:rPr>
          <w:b/>
          <w:i w:val="0"/>
        </w:rPr>
        <w:t xml:space="preserve">Behaviour: </w:t>
      </w:r>
      <w:r>
        <w:rPr>
          <w:b w:val="0"/>
          <w:i w:val="0"/>
        </w:rPr>
        <w:t>An identity administrator configures provider metadata, tenant binding and subject mapping, then tests with designated accounts before enforcing federation. The product shows certificate expiry and supports a tested overlapping rotation. Login binds issuer and stable subject to the intended tenant membership.</w:t>
      </w:r>
    </w:p>
    <w:p>
      <w:pPr>
        <w:spacing w:after="60"/>
      </w:pPr>
      <w:r>
        <w:rPr>
          <w:b/>
          <w:i w:val="0"/>
        </w:rPr>
        <w:t xml:space="preserve">Validation and recovery: </w:t>
      </w:r>
      <w:r>
        <w:rPr>
          <w:b w:val="0"/>
          <w:i w:val="0"/>
        </w:rPr>
        <w:t>A matching email alone never joins different federation identities. Invalid assertion, wrong audience or missing assurance fails safely. Emergency local recovery remains separately enrolled, restricted and audited.</w:t>
      </w:r>
    </w:p>
    <w:p>
      <w:pPr>
        <w:spacing w:after="60"/>
      </w:pPr>
      <w:r>
        <w:rPr>
          <w:b/>
          <w:i w:val="0"/>
        </w:rPr>
        <w:t xml:space="preserve">Acceptance FT-IAM-002: </w:t>
      </w:r>
      <w:r>
        <w:rPr>
          <w:b w:val="0"/>
          <w:i w:val="0"/>
        </w:rPr>
        <w:t>Enforce federation, expire the old certificate and interrupt the provider; ordinary local passwords cannot become an unreviewed bypass.</w:t>
      </w:r>
    </w:p>
    <w:p>
      <w:bookmarkStart w:id="21" w:name="req_FR_IAM_003"/>
      <w:pPr>
        <w:keepNext/>
        <w:spacing w:before="180" w:after="40"/>
      </w:pPr>
      <w:r>
        <w:rPr>
          <w:b/>
          <w:i w:val="0"/>
        </w:rPr>
        <w:t>FR-IAM-003   Multifactor and passkeys</w:t>
      </w:r>
      <w:bookmarkEnd w:id="21"/>
    </w:p>
    <w:p>
      <w:pPr>
        <w:keepNext/>
        <w:spacing w:after="60"/>
      </w:pPr>
      <w:r>
        <w:rPr>
          <w:b w:val="0"/>
          <w:i w:val="0"/>
          <w:sz w:val="19"/>
        </w:rPr>
        <w:t>Parent BR-IAM-003   |   P0   |   R1</w:t>
      </w:r>
    </w:p>
    <w:p>
      <w:pPr>
        <w:spacing w:after="60"/>
      </w:pPr>
      <w:r>
        <w:rPr>
          <w:b/>
          <w:i w:val="0"/>
        </w:rPr>
        <w:t xml:space="preserve">Behaviour: </w:t>
      </w:r>
      <w:r>
        <w:rPr>
          <w:b w:val="0"/>
          <w:i w:val="0"/>
        </w:rPr>
        <w:t>Members enrol a passkey or approved additional factor after verifying the existing identity. Privileged role activation and sensitive actions check enrolled assurance. A step up challenge is bound to the user and intended action and expires after the proposed five minute freshness window.</w:t>
      </w:r>
    </w:p>
    <w:p>
      <w:pPr>
        <w:spacing w:after="60"/>
      </w:pPr>
      <w:r>
        <w:rPr>
          <w:b/>
          <w:i w:val="0"/>
        </w:rPr>
        <w:t xml:space="preserve">Validation and recovery: </w:t>
      </w:r>
      <w:r>
        <w:rPr>
          <w:b w:val="0"/>
          <w:i w:val="0"/>
        </w:rPr>
        <w:t>Removing the last qualifying factor from a privileged account is blocked unless verified recovery replaces it. SMS alone cannot satisfy privileged MFA. Device synchronisation behaviour must be disclosed by the chosen authenticator implementation.</w:t>
      </w:r>
    </w:p>
    <w:p>
      <w:pPr>
        <w:spacing w:after="60"/>
      </w:pPr>
      <w:r>
        <w:rPr>
          <w:b/>
          <w:i w:val="0"/>
        </w:rPr>
        <w:t xml:space="preserve">Acceptance FT-IAM-003: </w:t>
      </w:r>
      <w:r>
        <w:rPr>
          <w:b w:val="0"/>
          <w:i w:val="0"/>
        </w:rPr>
        <w:t>Attempt public publication after session login but before step up, then complete a valid challenge; only the reviewed pending action becomes eligible.</w:t>
      </w:r>
    </w:p>
    <w:p>
      <w:bookmarkStart w:id="22" w:name="req_FR_IAM_004"/>
      <w:pPr>
        <w:keepNext/>
        <w:spacing w:before="180" w:after="40"/>
      </w:pPr>
      <w:r>
        <w:rPr>
          <w:b/>
          <w:i w:val="0"/>
        </w:rPr>
        <w:t>FR-IAM-004   Local account security</w:t>
      </w:r>
      <w:bookmarkEnd w:id="22"/>
    </w:p>
    <w:p>
      <w:pPr>
        <w:keepNext/>
        <w:spacing w:after="60"/>
      </w:pPr>
      <w:r>
        <w:rPr>
          <w:b w:val="0"/>
          <w:i w:val="0"/>
          <w:sz w:val="19"/>
        </w:rPr>
        <w:t>Parent BR-IAM-004   |   P0   |   R1</w:t>
      </w:r>
    </w:p>
    <w:p>
      <w:pPr>
        <w:spacing w:after="60"/>
      </w:pPr>
      <w:r>
        <w:rPr>
          <w:b/>
          <w:i w:val="0"/>
        </w:rPr>
        <w:t xml:space="preserve">Behaviour: </w:t>
      </w:r>
      <w:r>
        <w:rPr>
          <w:b w:val="0"/>
          <w:i w:val="0"/>
        </w:rPr>
        <w:t>Local account setup displays the effective password policy, permits paste and password managers and checks known compromised values. Reset returns a neutral acknowledgement and a short lived single use recovery link. Successful reset revokes prior recovery tokens and sessions according to policy.</w:t>
      </w:r>
    </w:p>
    <w:p>
      <w:pPr>
        <w:spacing w:after="60"/>
      </w:pPr>
      <w:r>
        <w:rPr>
          <w:b/>
          <w:i w:val="0"/>
        </w:rPr>
        <w:t xml:space="preserve">Validation and recovery: </w:t>
      </w:r>
      <w:r>
        <w:rPr>
          <w:b w:val="0"/>
          <w:i w:val="0"/>
        </w:rPr>
        <w:t>Proposed reset expiry is 30 minutes. Never reveal whether a supplied address is registered. Apply bounded retry and abuse controls without exposing password text to telemetry or normal administrators.</w:t>
      </w:r>
    </w:p>
    <w:p>
      <w:pPr>
        <w:spacing w:after="60"/>
      </w:pPr>
      <w:r>
        <w:rPr>
          <w:b/>
          <w:i w:val="0"/>
        </w:rPr>
        <w:t xml:space="preserve">Acceptance FT-IAM-004: </w:t>
      </w:r>
      <w:r>
        <w:rPr>
          <w:b w:val="0"/>
          <w:i w:val="0"/>
        </w:rPr>
        <w:t>Submit the same reset token twice and inspect logs after a failed password attempt; the replay fails and neither password nor token is recoverable from diagnostics.</w:t>
      </w:r>
    </w:p>
    <w:p>
      <w:bookmarkStart w:id="23" w:name="req_FR_IAM_005"/>
      <w:pPr>
        <w:keepNext/>
        <w:spacing w:before="180" w:after="40"/>
      </w:pPr>
      <w:r>
        <w:rPr>
          <w:b/>
          <w:i w:val="0"/>
        </w:rPr>
        <w:t>FR-IAM-005   Provisioning and deprovisioning</w:t>
      </w:r>
      <w:bookmarkEnd w:id="23"/>
    </w:p>
    <w:p>
      <w:pPr>
        <w:keepNext/>
        <w:spacing w:after="60"/>
      </w:pPr>
      <w:r>
        <w:rPr>
          <w:b w:val="0"/>
          <w:i w:val="0"/>
          <w:sz w:val="19"/>
        </w:rPr>
        <w:t>Parent BR-IAM-005   |   P1   |   R2</w:t>
      </w:r>
    </w:p>
    <w:p>
      <w:pPr>
        <w:spacing w:after="60"/>
      </w:pPr>
      <w:r>
        <w:rPr>
          <w:b/>
          <w:i w:val="0"/>
        </w:rPr>
        <w:t xml:space="preserve">Behaviour: </w:t>
      </w:r>
      <w:r>
        <w:rPr>
          <w:b w:val="0"/>
          <w:i w:val="0"/>
        </w:rPr>
        <w:t>A directory connection declares authoritative attributes and groups. Provisioning creates a pending or active membership only within its configured scope. Deactivation removes derived access, revokes sessions and opens ownership reassignment tasks. Reconciliation shows directory and platform differences.</w:t>
      </w:r>
    </w:p>
    <w:p>
      <w:pPr>
        <w:spacing w:after="60"/>
      </w:pPr>
      <w:r>
        <w:rPr>
          <w:b/>
          <w:i w:val="0"/>
        </w:rPr>
        <w:t xml:space="preserve">Validation and recovery: </w:t>
      </w:r>
      <w:r>
        <w:rPr>
          <w:b w:val="0"/>
          <w:i w:val="0"/>
        </w:rPr>
        <w:t>Directory controlled attributes cannot be manually overridden except through a recorded bounded exception. A manual grant can add only separately authorised scope and is removed if policy forbids local supplements.</w:t>
      </w:r>
    </w:p>
    <w:p>
      <w:pPr>
        <w:spacing w:after="60"/>
      </w:pPr>
      <w:r>
        <w:rPr>
          <w:b/>
          <w:i w:val="0"/>
        </w:rPr>
        <w:t xml:space="preserve">Acceptance FT-IAM-005: </w:t>
      </w:r>
      <w:r>
        <w:rPr>
          <w:b w:val="0"/>
          <w:i w:val="0"/>
        </w:rPr>
        <w:t>Deactivate a directory user while they own a job; within the BRD revocation bound, further access fails and the job is cancelled or explicitly reassigned.</w:t>
      </w:r>
    </w:p>
    <w:p>
      <w:bookmarkStart w:id="24" w:name="req_FR_IAM_006"/>
      <w:pPr>
        <w:keepNext/>
        <w:spacing w:before="180" w:after="40"/>
      </w:pPr>
      <w:r>
        <w:rPr>
          <w:b/>
          <w:i w:val="0"/>
        </w:rPr>
        <w:t>FR-IAM-006   Session control</w:t>
      </w:r>
      <w:bookmarkEnd w:id="24"/>
    </w:p>
    <w:p>
      <w:pPr>
        <w:keepNext/>
        <w:spacing w:after="60"/>
      </w:pPr>
      <w:r>
        <w:rPr>
          <w:b w:val="0"/>
          <w:i w:val="0"/>
          <w:sz w:val="19"/>
        </w:rPr>
        <w:t>Parent BR-IAM-006   |   P0   |   R1</w:t>
      </w:r>
    </w:p>
    <w:p>
      <w:pPr>
        <w:spacing w:after="60"/>
      </w:pPr>
      <w:r>
        <w:rPr>
          <w:b/>
          <w:i w:val="0"/>
        </w:rPr>
        <w:t xml:space="preserve">Behaviour: </w:t>
      </w:r>
      <w:r>
        <w:rPr>
          <w:b w:val="0"/>
          <w:i w:val="0"/>
        </w:rPr>
        <w:t>Members see session device label, approximate activity, creation and last use without unnecessary location detail. Revoke one or all sessions after verification. Idle and absolute expiry follow FD04; a warning preserves permitted drafts before reauthentication.</w:t>
      </w:r>
    </w:p>
    <w:p>
      <w:pPr>
        <w:spacing w:after="60"/>
      </w:pPr>
      <w:r>
        <w:rPr>
          <w:b/>
          <w:i w:val="0"/>
        </w:rPr>
        <w:t xml:space="preserve">Validation and recovery: </w:t>
      </w:r>
      <w:r>
        <w:rPr>
          <w:b w:val="0"/>
          <w:i w:val="0"/>
        </w:rPr>
        <w:t>Logout clears sensitive in memory state and protected cached navigation. Shared device mode disables persistent unrestricted sessions. Revocation invalidates server authority even if a browser retains a stale screen image.</w:t>
      </w:r>
    </w:p>
    <w:p>
      <w:pPr>
        <w:spacing w:after="60"/>
      </w:pPr>
      <w:r>
        <w:rPr>
          <w:b/>
          <w:i w:val="0"/>
        </w:rPr>
        <w:t xml:space="preserve">Acceptance FT-IAM-006: </w:t>
      </w:r>
      <w:r>
        <w:rPr>
          <w:b w:val="0"/>
          <w:i w:val="0"/>
        </w:rPr>
        <w:t>Open two sessions, revoke one, then use browser back and a queued export from that session; neither returns protected data.</w:t>
      </w:r>
    </w:p>
    <w:p>
      <w:bookmarkStart w:id="25" w:name="req_FR_IAM_007"/>
      <w:pPr>
        <w:keepNext/>
        <w:spacing w:before="180" w:after="40"/>
      </w:pPr>
      <w:r>
        <w:rPr>
          <w:b/>
          <w:i w:val="0"/>
        </w:rPr>
        <w:t>FR-IAM-007   Recovery and identity changes</w:t>
      </w:r>
      <w:bookmarkEnd w:id="25"/>
    </w:p>
    <w:p>
      <w:pPr>
        <w:keepNext/>
        <w:spacing w:after="60"/>
      </w:pPr>
      <w:r>
        <w:rPr>
          <w:b w:val="0"/>
          <w:i w:val="0"/>
          <w:sz w:val="19"/>
        </w:rPr>
        <w:t>Parent BR-IAM-007   |   P0   |   R1</w:t>
      </w:r>
    </w:p>
    <w:p>
      <w:pPr>
        <w:spacing w:after="60"/>
      </w:pPr>
      <w:r>
        <w:rPr>
          <w:b/>
          <w:i w:val="0"/>
        </w:rPr>
        <w:t xml:space="preserve">Behaviour: </w:t>
      </w:r>
      <w:r>
        <w:rPr>
          <w:b w:val="0"/>
          <w:i w:val="0"/>
        </w:rPr>
        <w:t>Identity changes require recent step up and verification of the new channel. Notify both permitted old and new contacts without disclosing secrets. Lost factor recovery verifies enrolled recovery evidence, consumes one recovery code and triggers a security notice.</w:t>
      </w:r>
    </w:p>
    <w:p>
      <w:pPr>
        <w:spacing w:after="60"/>
      </w:pPr>
      <w:r>
        <w:rPr>
          <w:b/>
          <w:i w:val="0"/>
        </w:rPr>
        <w:t xml:space="preserve">Validation and recovery: </w:t>
      </w:r>
      <w:r>
        <w:rPr>
          <w:b w:val="0"/>
          <w:i w:val="0"/>
        </w:rPr>
        <w:t>A support agent cannot reset identity based only on a conversation or knowledge questions. Disputed changes enter a restricted recovery case; existing broad privileges are not restored until verification completes.</w:t>
      </w:r>
    </w:p>
    <w:p>
      <w:pPr>
        <w:spacing w:after="60"/>
      </w:pPr>
      <w:r>
        <w:rPr>
          <w:b/>
          <w:i w:val="0"/>
        </w:rPr>
        <w:t xml:space="preserve">Acceptance FT-IAM-007: </w:t>
      </w:r>
      <w:r>
        <w:rPr>
          <w:b w:val="0"/>
          <w:i w:val="0"/>
        </w:rPr>
        <w:t>Use a stolen ordinary session to replace the recovery email; the change is blocked until stronger verification succeeds.</w:t>
      </w:r>
    </w:p>
    <w:p>
      <w:bookmarkStart w:id="26" w:name="req_FR_IAM_008"/>
      <w:pPr>
        <w:keepNext/>
        <w:spacing w:before="180" w:after="40"/>
      </w:pPr>
      <w:r>
        <w:rPr>
          <w:b/>
          <w:i w:val="0"/>
        </w:rPr>
        <w:t>FR-IAM-008   Membership status and expiry</w:t>
      </w:r>
      <w:bookmarkEnd w:id="26"/>
    </w:p>
    <w:p>
      <w:pPr>
        <w:keepNext/>
        <w:spacing w:after="60"/>
      </w:pPr>
      <w:r>
        <w:rPr>
          <w:b w:val="0"/>
          <w:i w:val="0"/>
          <w:sz w:val="19"/>
        </w:rPr>
        <w:t>Parent BR-IAM-008   |   P0   |   R1</w:t>
      </w:r>
    </w:p>
    <w:p>
      <w:pPr>
        <w:spacing w:after="60"/>
      </w:pPr>
      <w:r>
        <w:rPr>
          <w:b/>
          <w:i w:val="0"/>
        </w:rPr>
        <w:t xml:space="preserve">Behaviour: </w:t>
      </w:r>
      <w:r>
        <w:rPr>
          <w:b w:val="0"/>
          <w:i w:val="0"/>
        </w:rPr>
        <w:t>Memberships expose active, suspended, expired and revoked states independently in each tenant. A scheduled expiry uses an absolute instant; the member and owner see upcoming expiry. Suspension immediately starts online revocation and identifies pending work without changing historical attribution.</w:t>
      </w:r>
    </w:p>
    <w:p>
      <w:pPr>
        <w:spacing w:after="60"/>
      </w:pPr>
      <w:r>
        <w:rPr>
          <w:b/>
          <w:i w:val="0"/>
        </w:rPr>
        <w:t xml:space="preserve">Validation and recovery: </w:t>
      </w:r>
      <w:r>
        <w:rPr>
          <w:b w:val="0"/>
          <w:i w:val="0"/>
        </w:rPr>
        <w:t>Reactivation requires current grant review and new expiry where relevant. It cannot revive a revoked link, old service secret or independently expired delegation. Membership expiry is not account deletion.</w:t>
      </w:r>
    </w:p>
    <w:p>
      <w:pPr>
        <w:spacing w:after="60"/>
      </w:pPr>
      <w:r>
        <w:rPr>
          <w:b/>
          <w:i w:val="0"/>
        </w:rPr>
        <w:t xml:space="preserve">Acceptance FT-IAM-008: </w:t>
      </w:r>
      <w:r>
        <w:rPr>
          <w:b w:val="0"/>
          <w:i w:val="0"/>
        </w:rPr>
        <w:t>Expire a reviewer in tenant A while retaining tenant B membership; A approvals fail and B authorised work continues.</w:t>
      </w:r>
    </w:p>
    <w:p>
      <w:bookmarkStart w:id="27" w:name="req_FR_IAM_009"/>
      <w:pPr>
        <w:keepNext/>
        <w:spacing w:before="180" w:after="40"/>
      </w:pPr>
      <w:r>
        <w:rPr>
          <w:b/>
          <w:i w:val="0"/>
        </w:rPr>
        <w:t>FR-IAM-009   Delegated user administration</w:t>
      </w:r>
      <w:bookmarkEnd w:id="27"/>
    </w:p>
    <w:p>
      <w:pPr>
        <w:keepNext/>
        <w:spacing w:after="60"/>
      </w:pPr>
      <w:r>
        <w:rPr>
          <w:b w:val="0"/>
          <w:i w:val="0"/>
          <w:sz w:val="19"/>
        </w:rPr>
        <w:t>Parent BR-IAM-009   |   P0   |   R1</w:t>
      </w:r>
    </w:p>
    <w:p>
      <w:pPr>
        <w:spacing w:after="60"/>
      </w:pPr>
      <w:r>
        <w:rPr>
          <w:b/>
          <w:i w:val="0"/>
        </w:rPr>
        <w:t xml:space="preserve">Behaviour: </w:t>
      </w:r>
      <w:r>
        <w:rPr>
          <w:b w:val="0"/>
          <w:i w:val="0"/>
        </w:rPr>
        <w:t>A delegated administrator can invite or modify members only within their delegation envelope. Grant preview computes the effective capability difference and flags sensitive expansion for independent approval. Approval rechecks the issuer's current delegation authority.</w:t>
      </w:r>
    </w:p>
    <w:p>
      <w:pPr>
        <w:spacing w:after="60"/>
      </w:pPr>
      <w:r>
        <w:rPr>
          <w:b/>
          <w:i w:val="0"/>
        </w:rPr>
        <w:t xml:space="preserve">Validation and recovery: </w:t>
      </w:r>
      <w:r>
        <w:rPr>
          <w:b w:val="0"/>
          <w:i w:val="0"/>
        </w:rPr>
        <w:t>An administrator cannot delegate a right they merely possess if it is not delegable. Self elevation, granting a role through a new group and scope expansion through an import use identical checks.</w:t>
      </w:r>
    </w:p>
    <w:p>
      <w:pPr>
        <w:spacing w:after="60"/>
      </w:pPr>
      <w:r>
        <w:rPr>
          <w:b/>
          <w:i w:val="0"/>
        </w:rPr>
        <w:t xml:space="preserve">Acceptance FT-IAM-009: </w:t>
      </w:r>
      <w:r>
        <w:rPr>
          <w:b w:val="0"/>
          <w:i w:val="0"/>
        </w:rPr>
        <w:t>A project administrator creates a group and attempts to add tenant administration through it; the indirect escalation fails.</w:t>
      </w:r>
    </w:p>
    <w:p>
      <w:bookmarkStart w:id="28" w:name="req_FR_IAM_010"/>
      <w:pPr>
        <w:keepNext/>
        <w:spacing w:before="180" w:after="40"/>
      </w:pPr>
      <w:r>
        <w:rPr>
          <w:b/>
          <w:i w:val="0"/>
        </w:rPr>
        <w:t>FR-IAM-010   Group management</w:t>
      </w:r>
      <w:bookmarkEnd w:id="28"/>
    </w:p>
    <w:p>
      <w:pPr>
        <w:keepNext/>
        <w:spacing w:after="60"/>
      </w:pPr>
      <w:r>
        <w:rPr>
          <w:b w:val="0"/>
          <w:i w:val="0"/>
          <w:sz w:val="19"/>
        </w:rPr>
        <w:t>Parent BR-IAM-010   |   P1   |   R1</w:t>
      </w:r>
    </w:p>
    <w:p>
      <w:pPr>
        <w:spacing w:after="60"/>
      </w:pPr>
      <w:r>
        <w:rPr>
          <w:b/>
          <w:i w:val="0"/>
        </w:rPr>
        <w:t xml:space="preserve">Behaviour: </w:t>
      </w:r>
      <w:r>
        <w:rPr>
          <w:b w:val="0"/>
          <w:i w:val="0"/>
        </w:rPr>
        <w:t>Group editors maintain members and scoped grants with effective dates and ownership. Effective permission inspection expands all valid grant paths. R1 uses flat groups; R2 may enable nested groups only after cycle detection, visible ancestry and identical revocation behaviour are qualified.</w:t>
      </w:r>
    </w:p>
    <w:p>
      <w:pPr>
        <w:spacing w:after="60"/>
      </w:pPr>
      <w:r>
        <w:rPr>
          <w:b/>
          <w:i w:val="0"/>
        </w:rPr>
        <w:t xml:space="preserve">Validation and recovery: </w:t>
      </w:r>
      <w:r>
        <w:rPr>
          <w:b w:val="0"/>
          <w:i w:val="0"/>
        </w:rPr>
        <w:t>Removing membership invalidates each derived permission. Group deletion retires future grants but retains audit history. Explicit restrictive policies still override group permissions.</w:t>
      </w:r>
    </w:p>
    <w:p>
      <w:pPr>
        <w:spacing w:after="60"/>
      </w:pPr>
      <w:r>
        <w:rPr>
          <w:b/>
          <w:i w:val="0"/>
        </w:rPr>
        <w:t xml:space="preserve">Acceptance FT-IAM-010: </w:t>
      </w:r>
      <w:r>
        <w:rPr>
          <w:b w:val="0"/>
          <w:i w:val="0"/>
        </w:rPr>
        <w:t>Remove an analyst from a reporting group; existing report links, AI citations and scheduled exports are denied within the defined bound.</w:t>
      </w:r>
    </w:p>
    <w:p>
      <w:bookmarkStart w:id="29" w:name="req_FR_IAM_011"/>
      <w:pPr>
        <w:keepNext/>
        <w:spacing w:before="180" w:after="40"/>
      </w:pPr>
      <w:r>
        <w:rPr>
          <w:b/>
          <w:i w:val="0"/>
        </w:rPr>
        <w:t>FR-IAM-011   Access certification</w:t>
      </w:r>
      <w:bookmarkEnd w:id="29"/>
    </w:p>
    <w:p>
      <w:pPr>
        <w:keepNext/>
        <w:spacing w:after="60"/>
      </w:pPr>
      <w:r>
        <w:rPr>
          <w:b w:val="0"/>
          <w:i w:val="0"/>
          <w:sz w:val="19"/>
        </w:rPr>
        <w:t>Parent BR-IAM-011   |   P1   |   R2</w:t>
      </w:r>
    </w:p>
    <w:p>
      <w:pPr>
        <w:spacing w:after="60"/>
      </w:pPr>
      <w:r>
        <w:rPr>
          <w:b/>
          <w:i w:val="0"/>
        </w:rPr>
        <w:t xml:space="preserve">Behaviour: </w:t>
      </w:r>
      <w:r>
        <w:rPr>
          <w:b w:val="0"/>
          <w:i w:val="0"/>
        </w:rPr>
        <w:t>An owner starts an access review for selected scopes and a snapshot date. Reviewers see subject, source of grant, sensitive capabilities, expiry, owner and last relevant activity. Each grant is retained, narrowed or revoked with reason; unreviewed grants remain flagged overdue.</w:t>
      </w:r>
    </w:p>
    <w:p>
      <w:pPr>
        <w:spacing w:after="60"/>
      </w:pPr>
      <w:r>
        <w:rPr>
          <w:b/>
          <w:i w:val="0"/>
        </w:rPr>
        <w:t xml:space="preserve">Validation and recovery: </w:t>
      </w:r>
      <w:r>
        <w:rPr>
          <w:b w:val="0"/>
          <w:i w:val="0"/>
        </w:rPr>
        <w:t>Review access reveals entitlement metadata only, not protected record content. Execution rechecks the current grant revision so a stale review cannot revoke an unrelated replacement grant.</w:t>
      </w:r>
    </w:p>
    <w:p>
      <w:pPr>
        <w:spacing w:after="60"/>
      </w:pPr>
      <w:r>
        <w:rPr>
          <w:b/>
          <w:i w:val="0"/>
        </w:rPr>
        <w:t xml:space="preserve">Acceptance FT-IAM-011: </w:t>
      </w:r>
      <w:r>
        <w:rPr>
          <w:b w:val="0"/>
          <w:i w:val="0"/>
        </w:rPr>
        <w:t>Review a service identity whose owner has left; assign a new owner or revoke it and retain the review decision and execution receipt.</w:t>
      </w:r>
    </w:p>
    <w:p>
      <w:bookmarkStart w:id="30" w:name="req_FR_IAM_012"/>
      <w:pPr>
        <w:keepNext/>
        <w:spacing w:before="180" w:after="40"/>
      </w:pPr>
      <w:r>
        <w:rPr>
          <w:b/>
          <w:i w:val="0"/>
        </w:rPr>
        <w:t>FR-IAM-012   Service identities</w:t>
      </w:r>
      <w:bookmarkEnd w:id="30"/>
    </w:p>
    <w:p>
      <w:pPr>
        <w:keepNext/>
        <w:spacing w:after="60"/>
      </w:pPr>
      <w:r>
        <w:rPr>
          <w:b w:val="0"/>
          <w:i w:val="0"/>
          <w:sz w:val="19"/>
        </w:rPr>
        <w:t>Parent BR-IAM-012   |   P0   |   R1</w:t>
      </w:r>
    </w:p>
    <w:p>
      <w:pPr>
        <w:spacing w:after="60"/>
      </w:pPr>
      <w:r>
        <w:rPr>
          <w:b/>
          <w:i w:val="0"/>
        </w:rPr>
        <w:t xml:space="preserve">Behaviour: </w:t>
      </w:r>
      <w:r>
        <w:rPr>
          <w:b w:val="0"/>
          <w:i w:val="0"/>
        </w:rPr>
        <w:t>A service owner creates a machine identity with purpose, allowed resources, operations and expiry. A secret is shown once at issue and later only as a safe reference. Rotation permits a bounded overlap, after which the previous credential is revoked.</w:t>
      </w:r>
    </w:p>
    <w:p>
      <w:pPr>
        <w:spacing w:after="60"/>
      </w:pPr>
      <w:r>
        <w:rPr>
          <w:b/>
          <w:i w:val="0"/>
        </w:rPr>
        <w:t xml:space="preserve">Validation and recovery: </w:t>
      </w:r>
      <w:r>
        <w:rPr>
          <w:b w:val="0"/>
          <w:i w:val="0"/>
        </w:rPr>
        <w:t>No ordinary login or human approval using a service identity. Owner departure flags the credential for reassignment or suspension. Credentials cannot broaden the scope of the owning integration.</w:t>
      </w:r>
    </w:p>
    <w:p>
      <w:pPr>
        <w:spacing w:after="60"/>
      </w:pPr>
      <w:r>
        <w:rPr>
          <w:b/>
          <w:i w:val="0"/>
        </w:rPr>
        <w:t xml:space="preserve">Acceptance FT-IAM-012: </w:t>
      </w:r>
      <w:r>
        <w:rPr>
          <w:b w:val="0"/>
          <w:i w:val="0"/>
        </w:rPr>
        <w:t>Rotate during a retried connector run; one intended row effect is recorded and the expired secret fails on its next request.</w:t>
      </w:r>
    </w:p>
    <w:p>
      <w:bookmarkStart w:id="31" w:name="req_FR_IAM_013"/>
      <w:pPr>
        <w:keepNext/>
        <w:spacing w:before="180" w:after="40"/>
      </w:pPr>
      <w:r>
        <w:rPr>
          <w:b/>
          <w:i w:val="0"/>
        </w:rPr>
        <w:t>FR-IAM-013   User profile and preferences</w:t>
      </w:r>
      <w:bookmarkEnd w:id="31"/>
    </w:p>
    <w:p>
      <w:pPr>
        <w:keepNext/>
        <w:spacing w:after="60"/>
      </w:pPr>
      <w:r>
        <w:rPr>
          <w:b w:val="0"/>
          <w:i w:val="0"/>
          <w:sz w:val="19"/>
        </w:rPr>
        <w:t>Parent BR-IAM-013   |   P1   |   R1</w:t>
      </w:r>
    </w:p>
    <w:p>
      <w:pPr>
        <w:spacing w:after="60"/>
      </w:pPr>
      <w:r>
        <w:rPr>
          <w:b/>
          <w:i w:val="0"/>
        </w:rPr>
        <w:t xml:space="preserve">Behaviour: </w:t>
      </w:r>
      <w:r>
        <w:rPr>
          <w:b w:val="0"/>
          <w:i w:val="0"/>
        </w:rPr>
        <w:t>The profile screen permits display name, interface language, reporting preferences, time zone and accessibility choices. Directory controlled fields are read only with a source label. A change previews date and number display without changing stored values.</w:t>
      </w:r>
    </w:p>
    <w:p>
      <w:pPr>
        <w:spacing w:after="60"/>
      </w:pPr>
      <w:r>
        <w:rPr>
          <w:b/>
          <w:i w:val="0"/>
        </w:rPr>
        <w:t xml:space="preserve">Validation and recovery: </w:t>
      </w:r>
      <w:r>
        <w:rPr>
          <w:b w:val="0"/>
          <w:i w:val="0"/>
        </w:rPr>
        <w:t>Immutable identity and audit attribution never depend on display name. Preferences cannot suppress mandatory security notices or override an organisation reporting calendar.</w:t>
      </w:r>
    </w:p>
    <w:p>
      <w:pPr>
        <w:spacing w:after="60"/>
      </w:pPr>
      <w:r>
        <w:rPr>
          <w:b/>
          <w:i w:val="0"/>
        </w:rPr>
        <w:t xml:space="preserve">Acceptance FT-IAM-013: </w:t>
      </w:r>
      <w:r>
        <w:rPr>
          <w:b w:val="0"/>
          <w:i w:val="0"/>
        </w:rPr>
        <w:t>Change the display name and zone after an approval; the approval still resolves to the same actor and original absolute timestamp.</w:t>
      </w:r>
    </w:p>
    <w:p>
      <w:bookmarkStart w:id="32" w:name="req_FR_IAM_014"/>
      <w:pPr>
        <w:keepNext/>
        <w:spacing w:before="180" w:after="40"/>
      </w:pPr>
      <w:r>
        <w:rPr>
          <w:b/>
          <w:i w:val="0"/>
        </w:rPr>
        <w:t>FR-IAM-014   Departure and work reassignment</w:t>
      </w:r>
      <w:bookmarkEnd w:id="32"/>
    </w:p>
    <w:p>
      <w:pPr>
        <w:keepNext/>
        <w:spacing w:after="60"/>
      </w:pPr>
      <w:r>
        <w:rPr>
          <w:b w:val="0"/>
          <w:i w:val="0"/>
          <w:sz w:val="19"/>
        </w:rPr>
        <w:t>Parent BR-IAM-014   |   P0   |   R1</w:t>
      </w:r>
    </w:p>
    <w:p>
      <w:pPr>
        <w:spacing w:after="60"/>
      </w:pPr>
      <w:r>
        <w:rPr>
          <w:b/>
          <w:i w:val="0"/>
        </w:rPr>
        <w:t xml:space="preserve">Behaviour: </w:t>
      </w:r>
      <w:r>
        <w:rPr>
          <w:b w:val="0"/>
          <w:i w:val="0"/>
        </w:rPr>
        <w:t>The offboarding wizard first revokes access, then lists owned sources, schedules, drafts, credentials and approval tasks for an authorised successor. Each item is reassigned, cancelled or held with an owner; export and delivery jobs reauthorise before any sensitive action.</w:t>
      </w:r>
    </w:p>
    <w:p>
      <w:pPr>
        <w:spacing w:after="60"/>
      </w:pPr>
      <w:r>
        <w:rPr>
          <w:b/>
          <w:i w:val="0"/>
        </w:rPr>
        <w:t xml:space="preserve">Validation and recovery: </w:t>
      </w:r>
      <w:r>
        <w:rPr>
          <w:b w:val="0"/>
          <w:i w:val="0"/>
        </w:rPr>
        <w:t>Reassignment is not impersonation and never transfers the departed person's approval decision. Work cannot continue under an orphaned human session. Content visibility follows the successor's explicit grants.</w:t>
      </w:r>
    </w:p>
    <w:p>
      <w:pPr>
        <w:spacing w:after="60"/>
      </w:pPr>
      <w:r>
        <w:rPr>
          <w:b/>
          <w:i w:val="0"/>
        </w:rPr>
        <w:t xml:space="preserve">Acceptance FT-IAM-014: </w:t>
      </w:r>
      <w:r>
        <w:rPr>
          <w:b w:val="0"/>
          <w:i w:val="0"/>
        </w:rPr>
        <w:t>Remove a report schedule owner with an export in progress; the system preserves receipts but prevents unapproved delivery and records the successor decision.</w:t>
      </w:r>
    </w:p>
    <w:p>
      <w:bookmarkStart w:id="33" w:name="sec_9"/>
      <w:pPr>
        <w:pStyle w:val="Heading1"/>
      </w:pPr>
      <w:r>
        <w:rPr>
          <w:b w:val="0"/>
          <w:i w:val="0"/>
        </w:rPr>
        <w:t>9 Authorisation sharing and support access</w:t>
      </w:r>
      <w:bookmarkEnd w:id="33"/>
    </w:p>
    <w:p>
      <w:pPr>
        <w:spacing w:after="140"/>
      </w:pPr>
      <w:r>
        <w:rPr>
          <w:b w:val="0"/>
          <w:i/>
          <w:sz w:val="21"/>
        </w:rPr>
        <w:t>Primary actors: Scope owner identity administrator privacy officer. Interfaces: UI04 UI05 UI21 UI27 UI28. Logical entities: D03 D25 D29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34" w:name="req_FR_ACC_001"/>
      <w:pPr>
        <w:keepNext/>
        <w:spacing w:before="180" w:after="40"/>
      </w:pPr>
      <w:r>
        <w:rPr>
          <w:b/>
          <w:i w:val="0"/>
        </w:rPr>
        <w:t>FR-ACC-001   Deny by default</w:t>
      </w:r>
      <w:bookmarkEnd w:id="34"/>
    </w:p>
    <w:p>
      <w:pPr>
        <w:keepNext/>
        <w:spacing w:after="60"/>
      </w:pPr>
      <w:r>
        <w:rPr>
          <w:b w:val="0"/>
          <w:i w:val="0"/>
          <w:sz w:val="19"/>
        </w:rPr>
        <w:t>Parent BR-ACC-001   |   P0   |   R1</w:t>
      </w:r>
    </w:p>
    <w:p>
      <w:pPr>
        <w:spacing w:after="60"/>
      </w:pPr>
      <w:r>
        <w:rPr>
          <w:b/>
          <w:i w:val="0"/>
        </w:rPr>
        <w:t xml:space="preserve">Behaviour: </w:t>
      </w:r>
      <w:r>
        <w:rPr>
          <w:b w:val="0"/>
          <w:i w:val="0"/>
        </w:rPr>
        <w:t>The authorisation layer evaluates every resource and related reference before reading or writing. A client supplied tenant or object ID is a selector, never proof of access. Batch requests check each item and expose only permitted item outcomes.</w:t>
      </w:r>
    </w:p>
    <w:p>
      <w:pPr>
        <w:spacing w:after="60"/>
      </w:pPr>
      <w:r>
        <w:rPr>
          <w:b/>
          <w:i w:val="0"/>
        </w:rPr>
        <w:t xml:space="preserve">Validation and recovery: </w:t>
      </w:r>
      <w:r>
        <w:rPr>
          <w:b w:val="0"/>
          <w:i w:val="0"/>
        </w:rPr>
        <w:t>For protected unknown IDs use RESOURCE_UNAVAILABLE without record names or counts. Failure to resolve policy denies the action rather than using a cached broad role.</w:t>
      </w:r>
    </w:p>
    <w:p>
      <w:pPr>
        <w:spacing w:after="60"/>
      </w:pPr>
      <w:r>
        <w:rPr>
          <w:b/>
          <w:i w:val="0"/>
        </w:rPr>
        <w:t xml:space="preserve">Acceptance FT-ACC-001: </w:t>
      </w:r>
      <w:r>
        <w:rPr>
          <w:b w:val="0"/>
          <w:i w:val="0"/>
        </w:rPr>
        <w:t>Replace a participant ID with one from another tenant in a valid form submission; reject the reference and record no cross tenant relationship.</w:t>
      </w:r>
    </w:p>
    <w:p>
      <w:bookmarkStart w:id="35" w:name="req_FR_ACC_002"/>
      <w:pPr>
        <w:keepNext/>
        <w:spacing w:before="180" w:after="40"/>
      </w:pPr>
      <w:r>
        <w:rPr>
          <w:b/>
          <w:i w:val="0"/>
        </w:rPr>
        <w:t>FR-ACC-002   Fine grained scope</w:t>
      </w:r>
      <w:bookmarkEnd w:id="35"/>
    </w:p>
    <w:p>
      <w:pPr>
        <w:keepNext/>
        <w:spacing w:after="60"/>
      </w:pPr>
      <w:r>
        <w:rPr>
          <w:b w:val="0"/>
          <w:i w:val="0"/>
          <w:sz w:val="19"/>
        </w:rPr>
        <w:t>Parent BR-ACC-002   |   P0   |   R1</w:t>
      </w:r>
    </w:p>
    <w:p>
      <w:pPr>
        <w:spacing w:after="60"/>
      </w:pPr>
      <w:r>
        <w:rPr>
          <w:b/>
          <w:i w:val="0"/>
        </w:rPr>
        <w:t xml:space="preserve">Behaviour: </w:t>
      </w:r>
      <w:r>
        <w:rPr>
          <w:b w:val="0"/>
          <w:i w:val="0"/>
        </w:rPr>
        <w:t>A grant editor selects action, project or partner scope, record condition and permitted field categories separately. Record reads apply row and field policy before filters, sorting, aggregation or export. Writing a hidden field is denied even when the row is editable.</w:t>
      </w:r>
    </w:p>
    <w:p>
      <w:pPr>
        <w:spacing w:after="60"/>
      </w:pPr>
      <w:r>
        <w:rPr>
          <w:b/>
          <w:i w:val="0"/>
        </w:rPr>
        <w:t xml:space="preserve">Validation and recovery: </w:t>
      </w:r>
      <w:r>
        <w:rPr>
          <w:b w:val="0"/>
          <w:i w:val="0"/>
        </w:rPr>
        <w:t>A field omitted because of access is not interpreted as a request to clear it. Sensitive view, download, approval and publication are independent from ordinary read.</w:t>
      </w:r>
    </w:p>
    <w:p>
      <w:pPr>
        <w:spacing w:after="60"/>
      </w:pPr>
      <w:r>
        <w:rPr>
          <w:b/>
          <w:i w:val="0"/>
        </w:rPr>
        <w:t xml:space="preserve">Acceptance FT-ACC-002: </w:t>
      </w:r>
      <w:r>
        <w:rPr>
          <w:b w:val="0"/>
          <w:i w:val="0"/>
        </w:rPr>
        <w:t>Grant a reviewer access to one candidate and necessary evidence; attempts to edit the source or export the registry fail.</w:t>
      </w:r>
    </w:p>
    <w:p>
      <w:bookmarkStart w:id="36" w:name="req_FR_ACC_003"/>
      <w:pPr>
        <w:keepNext/>
        <w:spacing w:before="180" w:after="40"/>
      </w:pPr>
      <w:r>
        <w:rPr>
          <w:b/>
          <w:i w:val="0"/>
        </w:rPr>
        <w:t>FR-ACC-003   Effective permissions</w:t>
      </w:r>
      <w:bookmarkEnd w:id="36"/>
    </w:p>
    <w:p>
      <w:pPr>
        <w:keepNext/>
        <w:spacing w:after="60"/>
      </w:pPr>
      <w:r>
        <w:rPr>
          <w:b w:val="0"/>
          <w:i w:val="0"/>
          <w:sz w:val="19"/>
        </w:rPr>
        <w:t>Parent BR-ACC-003   |   P0   |   R1</w:t>
      </w:r>
    </w:p>
    <w:p>
      <w:pPr>
        <w:spacing w:after="60"/>
      </w:pPr>
      <w:r>
        <w:rPr>
          <w:b/>
          <w:i w:val="0"/>
        </w:rPr>
        <w:t xml:space="preserve">Behaviour: </w:t>
      </w:r>
      <w:r>
        <w:rPr>
          <w:b w:val="0"/>
          <w:i w:val="0"/>
        </w:rPr>
        <w:t>Effective access inspection shows each permitted grant path, restrictions and missing assurance for a selected action. A normal user sees only explanations about their own permitted context; an authorised administrator may simulate subjects within their administration scope.</w:t>
      </w:r>
    </w:p>
    <w:p>
      <w:pPr>
        <w:spacing w:after="60"/>
      </w:pPr>
      <w:r>
        <w:rPr>
          <w:b/>
          <w:i w:val="0"/>
        </w:rPr>
        <w:t xml:space="preserve">Validation and recovery: </w:t>
      </w:r>
      <w:r>
        <w:rPr>
          <w:b w:val="0"/>
          <w:i w:val="0"/>
        </w:rPr>
        <w:t>Do not expose names of hidden projects or sensitive field values while explaining denial. Explicit restriction wins across conflicting roles.</w:t>
      </w:r>
    </w:p>
    <w:p>
      <w:pPr>
        <w:spacing w:after="60"/>
      </w:pPr>
      <w:r>
        <w:rPr>
          <w:b/>
          <w:i w:val="0"/>
        </w:rPr>
        <w:t xml:space="preserve">Acceptance FT-ACC-003: </w:t>
      </w:r>
      <w:r>
        <w:rPr>
          <w:b w:val="0"/>
          <w:i w:val="0"/>
        </w:rPr>
        <w:t>Give a person both analyst and partner templates; a restriction on another partner's rows remains effective and the explanation identifies the scope rule safely.</w:t>
      </w:r>
    </w:p>
    <w:p>
      <w:bookmarkStart w:id="37" w:name="req_FR_ACC_004"/>
      <w:pPr>
        <w:keepNext/>
        <w:spacing w:before="180" w:after="40"/>
      </w:pPr>
      <w:r>
        <w:rPr>
          <w:b/>
          <w:i w:val="0"/>
        </w:rPr>
        <w:t>FR-ACC-004   Separation of duties</w:t>
      </w:r>
      <w:bookmarkEnd w:id="37"/>
    </w:p>
    <w:p>
      <w:pPr>
        <w:keepNext/>
        <w:spacing w:after="60"/>
      </w:pPr>
      <w:r>
        <w:rPr>
          <w:b w:val="0"/>
          <w:i w:val="0"/>
          <w:sz w:val="19"/>
        </w:rPr>
        <w:t>Parent BR-ACC-004   |   P0   |   R1</w:t>
      </w:r>
    </w:p>
    <w:p>
      <w:pPr>
        <w:spacing w:after="60"/>
      </w:pPr>
      <w:r>
        <w:rPr>
          <w:b/>
          <w:i w:val="0"/>
        </w:rPr>
        <w:t xml:space="preserve">Behaviour: </w:t>
      </w:r>
      <w:r>
        <w:rPr>
          <w:b w:val="0"/>
          <w:i w:val="0"/>
        </w:rPr>
        <w:t>Before accepting approval, calculate the candidate's author set, verified identity aliases, delegated authorisation and current reviewer assignment. Reject overlap between reviewer and material authors. Emergency exceptions require a separately approved policy and cannot silently count self approval as independent.</w:t>
      </w:r>
    </w:p>
    <w:p>
      <w:pPr>
        <w:spacing w:after="60"/>
      </w:pPr>
      <w:r>
        <w:rPr>
          <w:b/>
          <w:i w:val="0"/>
        </w:rPr>
        <w:t xml:space="preserve">Validation and recovery: </w:t>
      </w:r>
      <w:r>
        <w:rPr>
          <w:b w:val="0"/>
          <w:i w:val="0"/>
        </w:rPr>
        <w:t>A role switch, group change, delegated task or service identity does not create independence. Editing the candidate returns it to draft and invalidates old candidate decisions.</w:t>
      </w:r>
    </w:p>
    <w:p>
      <w:pPr>
        <w:spacing w:after="60"/>
      </w:pPr>
      <w:r>
        <w:rPr>
          <w:b/>
          <w:i w:val="0"/>
        </w:rPr>
        <w:t xml:space="preserve">Acceptance FT-ACC-004: </w:t>
      </w:r>
      <w:r>
        <w:rPr>
          <w:b w:val="0"/>
          <w:i w:val="0"/>
        </w:rPr>
        <w:t>The author becomes a reviewer through a second group and attempts approval; the system still requires a different eligible person.</w:t>
      </w:r>
    </w:p>
    <w:p>
      <w:bookmarkStart w:id="38" w:name="req_FR_ACC_005"/>
      <w:pPr>
        <w:keepNext/>
        <w:spacing w:before="180" w:after="40"/>
      </w:pPr>
      <w:r>
        <w:rPr>
          <w:b/>
          <w:i w:val="0"/>
        </w:rPr>
        <w:t>FR-ACC-005   Permission safe derivation</w:t>
      </w:r>
      <w:bookmarkEnd w:id="38"/>
    </w:p>
    <w:p>
      <w:pPr>
        <w:keepNext/>
        <w:spacing w:after="60"/>
      </w:pPr>
      <w:r>
        <w:rPr>
          <w:b w:val="0"/>
          <w:i w:val="0"/>
          <w:sz w:val="19"/>
        </w:rPr>
        <w:t>Parent BR-ACC-005   |   P0   |   R1</w:t>
      </w:r>
    </w:p>
    <w:p>
      <w:pPr>
        <w:spacing w:after="60"/>
      </w:pPr>
      <w:r>
        <w:rPr>
          <w:b/>
          <w:i w:val="0"/>
        </w:rPr>
        <w:t xml:space="preserve">Behaviour: </w:t>
      </w:r>
      <w:r>
        <w:rPr>
          <w:b w:val="0"/>
          <w:i w:val="0"/>
        </w:rPr>
        <w:t>Private derivatives record source restriction dependencies. Reading a dashboard, search result, saved analysis or AI answer rechecks those dependencies. An approved public aggregate uses a separate disclosure artifact with fixed approved content and no private drill down.</w:t>
      </w:r>
    </w:p>
    <w:p>
      <w:pPr>
        <w:spacing w:after="60"/>
      </w:pPr>
      <w:r>
        <w:rPr>
          <w:b/>
          <w:i w:val="0"/>
        </w:rPr>
        <w:t xml:space="preserve">Validation and recovery: </w:t>
      </w:r>
      <w:r>
        <w:rPr>
          <w:b w:val="0"/>
          <w:i w:val="0"/>
        </w:rPr>
        <w:t>Combining one public and one restricted source does not make the result public. Copying content creates a new governed object and preserves restrictions until disclosure review.</w:t>
      </w:r>
    </w:p>
    <w:p>
      <w:pPr>
        <w:spacing w:after="60"/>
      </w:pPr>
      <w:r>
        <w:rPr>
          <w:b/>
          <w:i w:val="0"/>
        </w:rPr>
        <w:t xml:space="preserve">Acceptance FT-ACC-005: </w:t>
      </w:r>
      <w:r>
        <w:rPr>
          <w:b w:val="0"/>
          <w:i w:val="0"/>
        </w:rPr>
        <w:t>Copy a restricted dashboard to a partner workspace; its restricted metric remains unavailable until a valid substitute or disclosure is approved.</w:t>
      </w:r>
    </w:p>
    <w:p>
      <w:bookmarkStart w:id="39" w:name="req_FR_ACC_006"/>
      <w:pPr>
        <w:keepNext/>
        <w:spacing w:before="180" w:after="40"/>
      </w:pPr>
      <w:r>
        <w:rPr>
          <w:b/>
          <w:i w:val="0"/>
        </w:rPr>
        <w:t>FR-ACC-006   External access lifecycle</w:t>
      </w:r>
      <w:bookmarkEnd w:id="39"/>
    </w:p>
    <w:p>
      <w:pPr>
        <w:keepNext/>
        <w:spacing w:after="60"/>
      </w:pPr>
      <w:r>
        <w:rPr>
          <w:b w:val="0"/>
          <w:i w:val="0"/>
          <w:sz w:val="19"/>
        </w:rPr>
        <w:t>Parent BR-ACC-006   |   P0   |   R1</w:t>
      </w:r>
    </w:p>
    <w:p>
      <w:pPr>
        <w:spacing w:after="60"/>
      </w:pPr>
      <w:r>
        <w:rPr>
          <w:b/>
          <w:i w:val="0"/>
        </w:rPr>
        <w:t xml:space="preserve">Behaviour: </w:t>
      </w:r>
      <w:r>
        <w:rPr>
          <w:b w:val="0"/>
          <w:i w:val="0"/>
        </w:rPr>
        <w:t>A share action requires artifact version, audience, permitted actions, owner, reason and expiry. Preview uses the intended recipient's effective view. Authenticated external access is the default; public links are limited to approved public artifacts.</w:t>
      </w:r>
    </w:p>
    <w:p>
      <w:pPr>
        <w:spacing w:after="60"/>
      </w:pPr>
      <w:r>
        <w:rPr>
          <w:b/>
          <w:i w:val="0"/>
        </w:rPr>
        <w:t xml:space="preserve">Validation and recovery: </w:t>
      </w:r>
      <w:r>
        <w:rPr>
          <w:b w:val="0"/>
          <w:i w:val="0"/>
        </w:rPr>
        <w:t>Link possession does not authorise sensitive data. Changing classification revokes or revalidates existing disclosures. Expired links show unavailable without an artifact preview.</w:t>
      </w:r>
    </w:p>
    <w:p>
      <w:pPr>
        <w:spacing w:after="60"/>
      </w:pPr>
      <w:r>
        <w:rPr>
          <w:b/>
          <w:i w:val="0"/>
        </w:rPr>
        <w:t xml:space="preserve">Acceptance FT-ACC-006: </w:t>
      </w:r>
      <w:r>
        <w:rPr>
          <w:b w:val="0"/>
          <w:i w:val="0"/>
        </w:rPr>
        <w:t>Issue a seven day report link and revoke it after one day; old URLs and generated download references cease serving the artifact.</w:t>
      </w:r>
    </w:p>
    <w:p>
      <w:bookmarkStart w:id="40" w:name="req_FR_ACC_007"/>
      <w:pPr>
        <w:keepNext/>
        <w:spacing w:before="180" w:after="40"/>
      </w:pPr>
      <w:r>
        <w:rPr>
          <w:b/>
          <w:i w:val="0"/>
        </w:rPr>
        <w:t>FR-ACC-007   Export and bulk access</w:t>
      </w:r>
      <w:bookmarkEnd w:id="40"/>
    </w:p>
    <w:p>
      <w:pPr>
        <w:keepNext/>
        <w:spacing w:after="60"/>
      </w:pPr>
      <w:r>
        <w:rPr>
          <w:b w:val="0"/>
          <w:i w:val="0"/>
          <w:sz w:val="19"/>
        </w:rPr>
        <w:t>Parent BR-ACC-007   |   P0   |   R1</w:t>
      </w:r>
    </w:p>
    <w:p>
      <w:pPr>
        <w:spacing w:after="60"/>
      </w:pPr>
      <w:r>
        <w:rPr>
          <w:b/>
          <w:i w:val="0"/>
        </w:rPr>
        <w:t xml:space="preserve">Behaviour: </w:t>
      </w:r>
      <w:r>
        <w:rPr>
          <w:b w:val="0"/>
          <w:i w:val="0"/>
        </w:rPr>
        <w:t>Export preview lists selected fields, filters, classification, row estimate and intended format. Authorisation is checked when requested, when execution starts, when sensitive output is generated and when the result is downloaded. The receipt identifies the export owner and expiry.</w:t>
      </w:r>
    </w:p>
    <w:p>
      <w:pPr>
        <w:spacing w:after="60"/>
      </w:pPr>
      <w:r>
        <w:rPr>
          <w:b/>
          <w:i w:val="0"/>
        </w:rPr>
        <w:t xml:space="preserve">Validation and recovery: </w:t>
      </w:r>
      <w:r>
        <w:rPr>
          <w:b w:val="0"/>
          <w:i w:val="0"/>
        </w:rPr>
        <w:t>Generated download access is authenticated or otherwise bound to a current approved disclosure. A link cannot outlive the policy grant by relying on an old signature alone.</w:t>
      </w:r>
    </w:p>
    <w:p>
      <w:pPr>
        <w:spacing w:after="60"/>
      </w:pPr>
      <w:r>
        <w:rPr>
          <w:b/>
          <w:i w:val="0"/>
        </w:rPr>
        <w:t xml:space="preserve">Acceptance FT-ACC-007: </w:t>
      </w:r>
      <w:r>
        <w:rPr>
          <w:b w:val="0"/>
          <w:i w:val="0"/>
        </w:rPr>
        <w:t>Generate an export, revoke its requester before download and attempt retrieval from the original URL; no bytes are served after the revocation bound.</w:t>
      </w:r>
    </w:p>
    <w:p>
      <w:bookmarkStart w:id="41" w:name="req_FR_ACC_008"/>
      <w:pPr>
        <w:keepNext/>
        <w:spacing w:before="180" w:after="40"/>
      </w:pPr>
      <w:r>
        <w:rPr>
          <w:b/>
          <w:i w:val="0"/>
        </w:rPr>
        <w:t>FR-ACC-008   Privileged support access</w:t>
      </w:r>
      <w:bookmarkEnd w:id="41"/>
    </w:p>
    <w:p>
      <w:pPr>
        <w:keepNext/>
        <w:spacing w:after="60"/>
      </w:pPr>
      <w:r>
        <w:rPr>
          <w:b w:val="0"/>
          <w:i w:val="0"/>
          <w:sz w:val="19"/>
        </w:rPr>
        <w:t>Parent BR-ACC-008   |   P0   |   R1</w:t>
      </w:r>
    </w:p>
    <w:p>
      <w:pPr>
        <w:spacing w:after="60"/>
      </w:pPr>
      <w:r>
        <w:rPr>
          <w:b/>
          <w:i w:val="0"/>
        </w:rPr>
        <w:t xml:space="preserve">Behaviour: </w:t>
      </w:r>
      <w:r>
        <w:rPr>
          <w:b w:val="0"/>
          <w:i w:val="0"/>
        </w:rPr>
        <w:t>Support access begins with a case tied to tenant consent policy, requested objects, purpose and duration. The operator uses their real identity and an active elevation grant; every sensitive read and mutation is attributable. The tenant may end access immediately.</w:t>
      </w:r>
    </w:p>
    <w:p>
      <w:pPr>
        <w:spacing w:after="60"/>
      </w:pPr>
      <w:r>
        <w:rPr>
          <w:b/>
          <w:i w:val="0"/>
        </w:rPr>
        <w:t xml:space="preserve">Validation and recovery: </w:t>
      </w:r>
      <w:r>
        <w:rPr>
          <w:b w:val="0"/>
          <w:i w:val="0"/>
        </w:rPr>
        <w:t>No hidden impersonation or universal support account. Excluded operations remain blocked. Download rights and participant identity access require explicit additional scope.</w:t>
      </w:r>
    </w:p>
    <w:p>
      <w:pPr>
        <w:spacing w:after="60"/>
      </w:pPr>
      <w:r>
        <w:rPr>
          <w:b/>
          <w:i w:val="0"/>
        </w:rPr>
        <w:t xml:space="preserve">Acceptance FT-ACC-008: </w:t>
      </w:r>
      <w:r>
        <w:rPr>
          <w:b w:val="0"/>
          <w:i w:val="0"/>
        </w:rPr>
        <w:t>Approve a support session for one failed import and attempt owner transfer; the diagnostic read succeeds and transfer is denied.</w:t>
      </w:r>
    </w:p>
    <w:p>
      <w:bookmarkStart w:id="42" w:name="req_FR_ACC_009"/>
      <w:pPr>
        <w:keepNext/>
        <w:spacing w:before="180" w:after="40"/>
      </w:pPr>
      <w:r>
        <w:rPr>
          <w:b/>
          <w:i w:val="0"/>
        </w:rPr>
        <w:t>FR-ACC-009   Privacy preserving aggregates</w:t>
      </w:r>
      <w:bookmarkEnd w:id="42"/>
    </w:p>
    <w:p>
      <w:pPr>
        <w:keepNext/>
        <w:spacing w:after="60"/>
      </w:pPr>
      <w:r>
        <w:rPr>
          <w:b w:val="0"/>
          <w:i w:val="0"/>
          <w:sz w:val="19"/>
        </w:rPr>
        <w:t>Parent BR-ACC-009   |   P0   |   R1</w:t>
      </w:r>
    </w:p>
    <w:p>
      <w:pPr>
        <w:spacing w:after="60"/>
      </w:pPr>
      <w:r>
        <w:rPr>
          <w:b/>
          <w:i w:val="0"/>
        </w:rPr>
        <w:t xml:space="preserve">Behaviour: </w:t>
      </w:r>
      <w:r>
        <w:rPr>
          <w:b w:val="0"/>
          <w:i w:val="0"/>
        </w:rPr>
        <w:t>The disclosure reviewer selects minimum cell threshold, complementary suppression and allowed fixed slices. Preview tests totals, cross tables and filter combinations for reconstruction. Public APIs and downloads return the same suppressed representation without hidden raw values.</w:t>
      </w:r>
    </w:p>
    <w:p>
      <w:pPr>
        <w:spacing w:after="60"/>
      </w:pPr>
      <w:r>
        <w:rPr>
          <w:b/>
          <w:i w:val="0"/>
        </w:rPr>
        <w:t xml:space="preserve">Validation and recovery: </w:t>
      </w:r>
      <w:r>
        <w:rPr>
          <w:b w:val="0"/>
          <w:i w:val="0"/>
        </w:rPr>
        <w:t>Default threshold five is a minimum rule, not a guarantee. If complementary suppression or differencing cannot be bounded, withhold the affected slice or expose only a reviewed fixed artifact.</w:t>
      </w:r>
    </w:p>
    <w:p>
      <w:pPr>
        <w:spacing w:after="60"/>
      </w:pPr>
      <w:r>
        <w:rPr>
          <w:b/>
          <w:i w:val="0"/>
        </w:rPr>
        <w:t xml:space="preserve">Acceptance FT-ACC-009: </w:t>
      </w:r>
      <w:r>
        <w:rPr>
          <w:b w:val="0"/>
          <w:i w:val="0"/>
        </w:rPr>
        <w:t>Publish groups of two and eight with a total of ten; do not expose the eight and ten combination if it reveals the suppressed two.</w:t>
      </w:r>
    </w:p>
    <w:p>
      <w:bookmarkStart w:id="43" w:name="req_FR_ACC_010"/>
      <w:pPr>
        <w:keepNext/>
        <w:spacing w:before="180" w:after="40"/>
      </w:pPr>
      <w:r>
        <w:rPr>
          <w:b/>
          <w:i w:val="0"/>
        </w:rPr>
        <w:t>FR-ACC-010   Partner limited collaboration</w:t>
      </w:r>
      <w:bookmarkEnd w:id="43"/>
    </w:p>
    <w:p>
      <w:pPr>
        <w:keepNext/>
        <w:spacing w:after="60"/>
      </w:pPr>
      <w:r>
        <w:rPr>
          <w:b w:val="0"/>
          <w:i w:val="0"/>
          <w:sz w:val="19"/>
        </w:rPr>
        <w:t>Parent BR-ACC-010   |   P0   |   R1</w:t>
      </w:r>
    </w:p>
    <w:p>
      <w:pPr>
        <w:spacing w:after="60"/>
      </w:pPr>
      <w:r>
        <w:rPr>
          <w:b/>
          <w:i w:val="0"/>
        </w:rPr>
        <w:t xml:space="preserve">Behaviour: </w:t>
      </w:r>
      <w:r>
        <w:rPr>
          <w:b w:val="0"/>
          <w:i w:val="0"/>
        </w:rPr>
        <w:t>Partner assignment binds a partner organisation to specified obligations and shared artifacts. All lists, comments, mentions, lookup suggestions, task counts and previews apply that scope. Funder access uses separately approved result views.</w:t>
      </w:r>
    </w:p>
    <w:p>
      <w:pPr>
        <w:spacing w:after="60"/>
      </w:pPr>
      <w:r>
        <w:rPr>
          <w:b/>
          <w:i w:val="0"/>
        </w:rPr>
        <w:t xml:space="preserve">Validation and recovery: </w:t>
      </w:r>
      <w:r>
        <w:rPr>
          <w:b w:val="0"/>
          <w:i w:val="0"/>
        </w:rPr>
        <w:t>A partner's author identity does not grant access to another partner's contributor record. Shared summary status may be disclosed only through an approved definition.</w:t>
      </w:r>
    </w:p>
    <w:p>
      <w:pPr>
        <w:spacing w:after="60"/>
      </w:pPr>
      <w:r>
        <w:rPr>
          <w:b/>
          <w:i w:val="0"/>
        </w:rPr>
        <w:t xml:space="preserve">Acceptance FT-ACC-010: </w:t>
      </w:r>
      <w:r>
        <w:rPr>
          <w:b w:val="0"/>
          <w:i w:val="0"/>
        </w:rPr>
        <w:t>Search another partner's participant name and request its guessed report URL; neither leaks existence, snippet or count.</w:t>
      </w:r>
    </w:p>
    <w:p>
      <w:bookmarkStart w:id="44" w:name="req_FR_ACC_011"/>
      <w:pPr>
        <w:keepNext/>
        <w:spacing w:before="180" w:after="40"/>
      </w:pPr>
      <w:r>
        <w:rPr>
          <w:b/>
          <w:i w:val="0"/>
        </w:rPr>
        <w:t>FR-ACC-011   Access changes and existing artifacts</w:t>
      </w:r>
      <w:bookmarkEnd w:id="44"/>
    </w:p>
    <w:p>
      <w:pPr>
        <w:keepNext/>
        <w:spacing w:after="60"/>
      </w:pPr>
      <w:r>
        <w:rPr>
          <w:b w:val="0"/>
          <w:i w:val="0"/>
          <w:sz w:val="19"/>
        </w:rPr>
        <w:t>Parent BR-ACC-011   |   P0   |   R1</w:t>
      </w:r>
    </w:p>
    <w:p>
      <w:pPr>
        <w:spacing w:after="60"/>
      </w:pPr>
      <w:r>
        <w:rPr>
          <w:b/>
          <w:i w:val="0"/>
        </w:rPr>
        <w:t xml:space="preserve">Behaviour: </w:t>
      </w:r>
      <w:r>
        <w:rPr>
          <w:b w:val="0"/>
          <w:i w:val="0"/>
        </w:rPr>
        <w:t>A grant change creates a revocation event covering active sessions, cached reads, queued jobs, generated artifacts and AI dependencies. New sensitive actions evaluate current policy immediately; online presentation converges within the 60 second bound.</w:t>
      </w:r>
    </w:p>
    <w:p>
      <w:pPr>
        <w:spacing w:after="60"/>
      </w:pPr>
      <w:r>
        <w:rPr>
          <w:b/>
          <w:i w:val="0"/>
        </w:rPr>
        <w:t xml:space="preserve">Validation and recovery: </w:t>
      </w:r>
      <w:r>
        <w:rPr>
          <w:b w:val="0"/>
          <w:i w:val="0"/>
        </w:rPr>
        <w:t>Previously downloaded copies are reported as external disclosures, not remotely erased. Restriction of a source can withhold a prior conversation segment or artifact under platform control.</w:t>
      </w:r>
    </w:p>
    <w:p>
      <w:pPr>
        <w:spacing w:after="60"/>
      </w:pPr>
      <w:r>
        <w:rPr>
          <w:b/>
          <w:i w:val="0"/>
        </w:rPr>
        <w:t xml:space="preserve">Acceptance FT-ACC-011: </w:t>
      </w:r>
      <w:r>
        <w:rPr>
          <w:b w:val="0"/>
          <w:i w:val="0"/>
        </w:rPr>
        <w:t>Remove source access after an AI answer was saved; reopening the conversation does not reveal the revoked source text through its summary.</w:t>
      </w:r>
    </w:p>
    <w:p>
      <w:bookmarkStart w:id="45" w:name="req_FR_ACC_012"/>
      <w:pPr>
        <w:keepNext/>
        <w:spacing w:before="180" w:after="40"/>
      </w:pPr>
      <w:r>
        <w:rPr>
          <w:b/>
          <w:i w:val="0"/>
        </w:rPr>
        <w:t>FR-ACC-012   Administrative review and simulation</w:t>
      </w:r>
      <w:bookmarkEnd w:id="45"/>
    </w:p>
    <w:p>
      <w:pPr>
        <w:keepNext/>
        <w:spacing w:after="60"/>
      </w:pPr>
      <w:r>
        <w:rPr>
          <w:b w:val="0"/>
          <w:i w:val="0"/>
          <w:sz w:val="19"/>
        </w:rPr>
        <w:t>Parent BR-ACC-012   |   P1   |   R2</w:t>
      </w:r>
    </w:p>
    <w:p>
      <w:pPr>
        <w:spacing w:after="60"/>
      </w:pPr>
      <w:r>
        <w:rPr>
          <w:b/>
          <w:i w:val="0"/>
        </w:rPr>
        <w:t xml:space="preserve">Behaviour: </w:t>
      </w:r>
      <w:r>
        <w:rPr>
          <w:b w:val="0"/>
          <w:i w:val="0"/>
        </w:rPr>
        <w:t>An administrator drafts an access change and chooses representative subjects. The preview calculates gained and lost capabilities, affected restricted classes, links and schedules. Sensitive expansion requires a second eligible reviewer and a current policy comparison at execution.</w:t>
      </w:r>
    </w:p>
    <w:p>
      <w:pPr>
        <w:spacing w:after="60"/>
      </w:pPr>
      <w:r>
        <w:rPr>
          <w:b/>
          <w:i w:val="0"/>
        </w:rPr>
        <w:t xml:space="preserve">Validation and recovery: </w:t>
      </w:r>
      <w:r>
        <w:rPr>
          <w:b w:val="0"/>
          <w:i w:val="0"/>
        </w:rPr>
        <w:t>Simulation is read only. It cannot reveal data beyond the administrator's review scope; use counts or redacted scope labels only when permitted.</w:t>
      </w:r>
    </w:p>
    <w:p>
      <w:pPr>
        <w:spacing w:after="60"/>
      </w:pPr>
      <w:r>
        <w:rPr>
          <w:b/>
          <w:i w:val="0"/>
        </w:rPr>
        <w:t xml:space="preserve">Acceptance FT-ACC-012: </w:t>
      </w:r>
      <w:r>
        <w:rPr>
          <w:b w:val="0"/>
          <w:i w:val="0"/>
        </w:rPr>
        <w:t>Expand a group to a new programme, inspect the candidate access difference and then change the group's membership; execution requires a fresh preview.</w:t>
      </w:r>
    </w:p>
    <w:p>
      <w:bookmarkStart w:id="46" w:name="sec_10"/>
      <w:pPr>
        <w:pStyle w:val="Heading1"/>
      </w:pPr>
      <w:r>
        <w:rPr>
          <w:b w:val="0"/>
          <w:i w:val="0"/>
        </w:rPr>
        <w:t>10 Strategy frameworks and measurement plans</w:t>
      </w:r>
      <w:bookmarkEnd w:id="46"/>
    </w:p>
    <w:p>
      <w:pPr>
        <w:spacing w:after="140"/>
      </w:pPr>
      <w:r>
        <w:rPr>
          <w:b w:val="0"/>
          <w:i/>
          <w:sz w:val="21"/>
        </w:rPr>
        <w:t>Primary actors: MEL administrator programme manager and independent reviewer. Interfaces: UI07 UI08 UI09. Logical entities: D05 D06 D07 D08 D09.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47" w:name="req_FR_PLN_001"/>
      <w:pPr>
        <w:keepNext/>
        <w:spacing w:before="180" w:after="40"/>
      </w:pPr>
      <w:r>
        <w:rPr>
          <w:b/>
          <w:i w:val="0"/>
        </w:rPr>
        <w:t>FR-PLN-001   Results hierarchy</w:t>
      </w:r>
      <w:bookmarkEnd w:id="47"/>
    </w:p>
    <w:p>
      <w:pPr>
        <w:keepNext/>
        <w:spacing w:after="60"/>
      </w:pPr>
      <w:r>
        <w:rPr>
          <w:b w:val="0"/>
          <w:i w:val="0"/>
          <w:sz w:val="19"/>
        </w:rPr>
        <w:t>Parent BR-PLN-001   |   P0   |   R1</w:t>
      </w:r>
    </w:p>
    <w:p>
      <w:pPr>
        <w:spacing w:after="60"/>
      </w:pPr>
      <w:r>
        <w:rPr>
          <w:b/>
          <w:i w:val="0"/>
        </w:rPr>
        <w:t xml:space="preserve">Behaviour: </w:t>
      </w:r>
      <w:r>
        <w:rPr>
          <w:b w:val="0"/>
          <w:i w:val="0"/>
        </w:rPr>
        <w:t>The planner creates typed framework nodes in a table or relationship view. Both views edit the same stable node identities and version. Required node title, description, owner and intended result level are validated before review; activities may link to output nodes.</w:t>
      </w:r>
    </w:p>
    <w:p>
      <w:pPr>
        <w:spacing w:after="60"/>
      </w:pPr>
      <w:r>
        <w:rPr>
          <w:b/>
          <w:i w:val="0"/>
        </w:rPr>
        <w:t xml:space="preserve">Validation and recovery: </w:t>
      </w:r>
      <w:r>
        <w:rPr>
          <w:b w:val="0"/>
          <w:i w:val="0"/>
        </w:rPr>
        <w:t>Reject cycles in containment, orphaned parent references and deletion of a referenced approved node. Relationship links and numeric aggregation links are distinct objects.</w:t>
      </w:r>
    </w:p>
    <w:p>
      <w:pPr>
        <w:spacing w:after="60"/>
      </w:pPr>
      <w:r>
        <w:rPr>
          <w:b/>
          <w:i w:val="0"/>
        </w:rPr>
        <w:t xml:space="preserve">Acceptance FT-PLN-001: </w:t>
      </w:r>
      <w:r>
        <w:rPr>
          <w:b w:val="0"/>
          <w:i w:val="0"/>
        </w:rPr>
        <w:t>Rename one output in the table and verify the graph and indicator bindings update within the same draft without creating a duplicate node.</w:t>
      </w:r>
    </w:p>
    <w:p>
      <w:bookmarkStart w:id="48" w:name="req_FR_PLN_002"/>
      <w:pPr>
        <w:keepNext/>
        <w:spacing w:before="180" w:after="40"/>
      </w:pPr>
      <w:r>
        <w:rPr>
          <w:b/>
          <w:i w:val="0"/>
        </w:rPr>
        <w:t>FR-PLN-002   Theory of change relationships</w:t>
      </w:r>
      <w:bookmarkEnd w:id="48"/>
    </w:p>
    <w:p>
      <w:pPr>
        <w:keepNext/>
        <w:spacing w:after="60"/>
      </w:pPr>
      <w:r>
        <w:rPr>
          <w:b w:val="0"/>
          <w:i w:val="0"/>
          <w:sz w:val="19"/>
        </w:rPr>
        <w:t>Parent BR-PLN-002   |   P1   |   R2</w:t>
      </w:r>
    </w:p>
    <w:p>
      <w:pPr>
        <w:spacing w:after="60"/>
      </w:pPr>
      <w:r>
        <w:rPr>
          <w:b/>
          <w:i w:val="0"/>
        </w:rPr>
        <w:t xml:space="preserve">Behaviour: </w:t>
      </w:r>
      <w:r>
        <w:rPr>
          <w:b w:val="0"/>
          <w:i w:val="0"/>
        </w:rPr>
        <w:t>The theory of change editor adds directed contribution links with rationale, assumptions, evidence strength and optional external context. Cross programme links require permission to both endpoints or a separately shared summary endpoint.</w:t>
      </w:r>
    </w:p>
    <w:p>
      <w:pPr>
        <w:spacing w:after="60"/>
      </w:pPr>
      <w:r>
        <w:rPr>
          <w:b/>
          <w:i w:val="0"/>
        </w:rPr>
        <w:t xml:space="preserve">Validation and recovery: </w:t>
      </w:r>
      <w:r>
        <w:rPr>
          <w:b w:val="0"/>
          <w:i w:val="0"/>
        </w:rPr>
        <w:t>Alternative causal pathways are allowed; a containment cycle is not. Adding a theory relationship never creates a numeric sum, deduplication rule or causal proof.</w:t>
      </w:r>
    </w:p>
    <w:p>
      <w:pPr>
        <w:spacing w:after="60"/>
      </w:pPr>
      <w:r>
        <w:rPr>
          <w:b/>
          <w:i w:val="0"/>
        </w:rPr>
        <w:t xml:space="preserve">Acceptance FT-PLN-002: </w:t>
      </w:r>
      <w:r>
        <w:rPr>
          <w:b w:val="0"/>
          <w:i w:val="0"/>
        </w:rPr>
        <w:t>Link two outcomes to one impact and inspect the parent result; it remains uncalculated until an explicit approved numeric rule exists.</w:t>
      </w:r>
    </w:p>
    <w:p>
      <w:bookmarkStart w:id="49" w:name="req_FR_PLN_003"/>
      <w:pPr>
        <w:keepNext/>
        <w:spacing w:before="180" w:after="40"/>
      </w:pPr>
      <w:r>
        <w:rPr>
          <w:b/>
          <w:i w:val="0"/>
        </w:rPr>
        <w:t>FR-PLN-003   Framework baselines</w:t>
      </w:r>
      <w:bookmarkEnd w:id="49"/>
    </w:p>
    <w:p>
      <w:pPr>
        <w:keepNext/>
        <w:spacing w:after="60"/>
      </w:pPr>
      <w:r>
        <w:rPr>
          <w:b w:val="0"/>
          <w:i w:val="0"/>
          <w:sz w:val="19"/>
        </w:rPr>
        <w:t>Parent BR-PLN-003   |   P0   |   R1</w:t>
      </w:r>
    </w:p>
    <w:p>
      <w:pPr>
        <w:spacing w:after="60"/>
      </w:pPr>
      <w:r>
        <w:rPr>
          <w:b/>
          <w:i w:val="0"/>
        </w:rPr>
        <w:t xml:space="preserve">Behaviour: </w:t>
      </w:r>
      <w:r>
        <w:rPr>
          <w:b w:val="0"/>
          <w:i w:val="0"/>
        </w:rPr>
        <w:t>Submit a framework candidate with its completeness report and change comparison. Review shows impacted indicators, targets, activities, templates and obligations. Approval freezes a baseline version; subsequent changes start a child draft with effective date.</w:t>
      </w:r>
    </w:p>
    <w:p>
      <w:pPr>
        <w:spacing w:after="60"/>
      </w:pPr>
      <w:r>
        <w:rPr>
          <w:b/>
          <w:i w:val="0"/>
        </w:rPr>
        <w:t xml:space="preserve">Validation and recovery: </w:t>
      </w:r>
      <w:r>
        <w:rPr>
          <w:b w:val="0"/>
          <w:i w:val="0"/>
        </w:rPr>
        <w:t>A previously approved reporting snapshot references its original baseline. Deleting an obsolete draft does not delete approved history or source citations.</w:t>
      </w:r>
    </w:p>
    <w:p>
      <w:pPr>
        <w:spacing w:after="60"/>
      </w:pPr>
      <w:r>
        <w:rPr>
          <w:b/>
          <w:i w:val="0"/>
        </w:rPr>
        <w:t xml:space="preserve">Acceptance FT-PLN-003: </w:t>
      </w:r>
      <w:r>
        <w:rPr>
          <w:b w:val="0"/>
          <w:i w:val="0"/>
        </w:rPr>
        <w:t>Revise an outcome in July and regenerate the March report; March retains its approved hierarchy and language.</w:t>
      </w:r>
    </w:p>
    <w:p>
      <w:bookmarkStart w:id="50" w:name="req_FR_PLN_004"/>
      <w:pPr>
        <w:keepNext/>
        <w:spacing w:before="180" w:after="40"/>
      </w:pPr>
      <w:r>
        <w:rPr>
          <w:b/>
          <w:i w:val="0"/>
        </w:rPr>
        <w:t>FR-PLN-004   Reusable libraries</w:t>
      </w:r>
      <w:bookmarkEnd w:id="50"/>
    </w:p>
    <w:p>
      <w:pPr>
        <w:keepNext/>
        <w:spacing w:after="60"/>
      </w:pPr>
      <w:r>
        <w:rPr>
          <w:b w:val="0"/>
          <w:i w:val="0"/>
          <w:sz w:val="19"/>
        </w:rPr>
        <w:t>Parent BR-PLN-004   |   P1   |   R1</w:t>
      </w:r>
    </w:p>
    <w:p>
      <w:pPr>
        <w:spacing w:after="60"/>
      </w:pPr>
      <w:r>
        <w:rPr>
          <w:b/>
          <w:i w:val="0"/>
        </w:rPr>
        <w:t xml:space="preserve">Behaviour: </w:t>
      </w:r>
      <w:r>
        <w:rPr>
          <w:b w:val="0"/>
          <w:i w:val="0"/>
        </w:rPr>
        <w:t>A library curator publishes a version with applicability, owner, review date and permitted override fields. Instantiation selects a pinned copy or a managed update relationship. Update notices show semantic differences and affected local changes before adoption.</w:t>
      </w:r>
    </w:p>
    <w:p>
      <w:pPr>
        <w:spacing w:after="60"/>
      </w:pPr>
      <w:r>
        <w:rPr>
          <w:b/>
          <w:i w:val="0"/>
        </w:rPr>
        <w:t xml:space="preserve">Validation and recovery: </w:t>
      </w:r>
      <w:r>
        <w:rPr>
          <w:b w:val="0"/>
          <w:i w:val="0"/>
        </w:rPr>
        <w:t>Even managed instances do not update approved definitions automatically. A project may reject an update with a recorded reason; library retirement prevents new use without invalidating old reports.</w:t>
      </w:r>
    </w:p>
    <w:p>
      <w:pPr>
        <w:spacing w:after="60"/>
      </w:pPr>
      <w:r>
        <w:rPr>
          <w:b/>
          <w:i w:val="0"/>
        </w:rPr>
        <w:t xml:space="preserve">Acceptance FT-PLN-004: </w:t>
      </w:r>
      <w:r>
        <w:rPr>
          <w:b w:val="0"/>
          <w:i w:val="0"/>
        </w:rPr>
        <w:t>Update a template denominator and confirm two consuming projects remain on their existing versions until each adopts a reviewed revision.</w:t>
      </w:r>
    </w:p>
    <w:p>
      <w:bookmarkStart w:id="51" w:name="req_FR_PLN_005"/>
      <w:pPr>
        <w:keepNext/>
        <w:spacing w:before="180" w:after="40"/>
      </w:pPr>
      <w:r>
        <w:rPr>
          <w:b/>
          <w:i w:val="0"/>
        </w:rPr>
        <w:t>FR-PLN-005   Standard mappings</w:t>
      </w:r>
      <w:bookmarkEnd w:id="51"/>
    </w:p>
    <w:p>
      <w:pPr>
        <w:keepNext/>
        <w:spacing w:after="60"/>
      </w:pPr>
      <w:r>
        <w:rPr>
          <w:b w:val="0"/>
          <w:i w:val="0"/>
          <w:sz w:val="19"/>
        </w:rPr>
        <w:t>Parent BR-PLN-005   |   P1   |   R2</w:t>
      </w:r>
    </w:p>
    <w:p>
      <w:pPr>
        <w:spacing w:after="60"/>
      </w:pPr>
      <w:r>
        <w:rPr>
          <w:b/>
          <w:i w:val="0"/>
        </w:rPr>
        <w:t xml:space="preserve">Behaviour: </w:t>
      </w:r>
      <w:r>
        <w:rPr>
          <w:b w:val="0"/>
          <w:i w:val="0"/>
        </w:rPr>
        <w:t>A mapping editor links local nodes or indicators to a versioned external standard using a relation type such as related to, contributes to or equivalent by reviewed definition. It records rationale and reviewer.</w:t>
      </w:r>
    </w:p>
    <w:p>
      <w:pPr>
        <w:spacing w:after="60"/>
      </w:pPr>
      <w:r>
        <w:rPr>
          <w:b/>
          <w:i w:val="0"/>
        </w:rPr>
        <w:t xml:space="preserve">Validation and recovery: </w:t>
      </w:r>
      <w:r>
        <w:rPr>
          <w:b w:val="0"/>
          <w:i w:val="0"/>
        </w:rPr>
        <w:t>Many to many mappings organise reporting only. They do not imply mathematical equivalence, unit conversion or additive attribution. An unavailable standard version remains a historical reference.</w:t>
      </w:r>
    </w:p>
    <w:p>
      <w:pPr>
        <w:spacing w:after="60"/>
      </w:pPr>
      <w:r>
        <w:rPr>
          <w:b/>
          <w:i w:val="0"/>
        </w:rPr>
        <w:t xml:space="preserve">Acceptance FT-PLN-005: </w:t>
      </w:r>
      <w:r>
        <w:rPr>
          <w:b w:val="0"/>
          <w:i w:val="0"/>
        </w:rPr>
        <w:t>Map one local measure to two SDG entries and verify the organisational unique result is still counted once.</w:t>
      </w:r>
    </w:p>
    <w:p>
      <w:bookmarkStart w:id="52" w:name="req_FR_PLN_006"/>
      <w:pPr>
        <w:keepNext/>
        <w:spacing w:before="180" w:after="40"/>
      </w:pPr>
      <w:r>
        <w:rPr>
          <w:b/>
          <w:i w:val="0"/>
        </w:rPr>
        <w:t>FR-PLN-006   Measurement plan</w:t>
      </w:r>
      <w:bookmarkEnd w:id="52"/>
    </w:p>
    <w:p>
      <w:pPr>
        <w:keepNext/>
        <w:spacing w:after="60"/>
      </w:pPr>
      <w:r>
        <w:rPr>
          <w:b w:val="0"/>
          <w:i w:val="0"/>
          <w:sz w:val="19"/>
        </w:rPr>
        <w:t>Parent BR-PLN-006   |   P0   |   R1</w:t>
      </w:r>
    </w:p>
    <w:p>
      <w:pPr>
        <w:spacing w:after="60"/>
      </w:pPr>
      <w:r>
        <w:rPr>
          <w:b/>
          <w:i w:val="0"/>
        </w:rPr>
        <w:t xml:space="preserve">Behaviour: </w:t>
      </w:r>
      <w:r>
        <w:rPr>
          <w:b w:val="0"/>
          <w:i w:val="0"/>
        </w:rPr>
        <w:t>The measurement plan matrix requires source mode, method, collection owner, reviewer, calendar, coverage and evidence rule for each active indicator. Activation runs completeness checks and creates assigned remediation items for gaps.</w:t>
      </w:r>
    </w:p>
    <w:p>
      <w:pPr>
        <w:spacing w:after="60"/>
      </w:pPr>
      <w:r>
        <w:rPr>
          <w:b/>
          <w:i w:val="0"/>
        </w:rPr>
        <w:t xml:space="preserve">Validation and recovery: </w:t>
      </w:r>
      <w:r>
        <w:rPr>
          <w:b w:val="0"/>
          <w:i w:val="0"/>
        </w:rPr>
        <w:t>Collector and reviewer must be eligible and independent where required. A missing source binding cannot be replaced by a default zero series.</w:t>
      </w:r>
    </w:p>
    <w:p>
      <w:pPr>
        <w:spacing w:after="60"/>
      </w:pPr>
      <w:r>
        <w:rPr>
          <w:b/>
          <w:i w:val="0"/>
        </w:rPr>
        <w:t xml:space="preserve">Acceptance FT-PLN-006: </w:t>
      </w:r>
      <w:r>
        <w:rPr>
          <w:b w:val="0"/>
          <w:i w:val="0"/>
        </w:rPr>
        <w:t>Attempt activation with an unassigned reviewer and missing denominator method; show both exact fields and prevent Ready to Active until resolved.</w:t>
      </w:r>
    </w:p>
    <w:p>
      <w:bookmarkStart w:id="53" w:name="req_FR_PLN_007"/>
      <w:pPr>
        <w:keepNext/>
        <w:spacing w:before="180" w:after="40"/>
      </w:pPr>
      <w:r>
        <w:rPr>
          <w:b/>
          <w:i w:val="0"/>
        </w:rPr>
        <w:t>FR-PLN-007   Assumptions and context</w:t>
      </w:r>
      <w:bookmarkEnd w:id="53"/>
    </w:p>
    <w:p>
      <w:pPr>
        <w:keepNext/>
        <w:spacing w:after="60"/>
      </w:pPr>
      <w:r>
        <w:rPr>
          <w:b w:val="0"/>
          <w:i w:val="0"/>
          <w:sz w:val="19"/>
        </w:rPr>
        <w:t>Parent BR-PLN-007   |   P1   |   R1</w:t>
      </w:r>
    </w:p>
    <w:p>
      <w:pPr>
        <w:spacing w:after="60"/>
      </w:pPr>
      <w:r>
        <w:rPr>
          <w:b/>
          <w:i w:val="0"/>
        </w:rPr>
        <w:t xml:space="preserve">Behaviour: </w:t>
      </w:r>
      <w:r>
        <w:rPr>
          <w:b w:val="0"/>
          <w:i w:val="0"/>
        </w:rPr>
        <w:t>Managers create assumptions and context records linked to nodes, with expected condition, evidence, owner, review date and status. Marking an assumption invalid generates a review task and highlights affected planning views.</w:t>
      </w:r>
    </w:p>
    <w:p>
      <w:pPr>
        <w:spacing w:after="60"/>
      </w:pPr>
      <w:r>
        <w:rPr>
          <w:b/>
          <w:i w:val="0"/>
        </w:rPr>
        <w:t xml:space="preserve">Validation and recovery: </w:t>
      </w:r>
      <w:r>
        <w:rPr>
          <w:b w:val="0"/>
          <w:i w:val="0"/>
        </w:rPr>
        <w:t>An assumption status changes interpretation, not recorded actuals. Changes to a past assumption retain the previous assessment and effective date.</w:t>
      </w:r>
    </w:p>
    <w:p>
      <w:pPr>
        <w:spacing w:after="60"/>
      </w:pPr>
      <w:r>
        <w:rPr>
          <w:b/>
          <w:i w:val="0"/>
        </w:rPr>
        <w:t xml:space="preserve">Acceptance FT-PLN-007: </w:t>
      </w:r>
      <w:r>
        <w:rPr>
          <w:b w:val="0"/>
          <w:i w:val="0"/>
        </w:rPr>
        <w:t>Invalidate a funding assumption after a baseline was approved; the linked outcome is flagged and historical results remain unchanged.</w:t>
      </w:r>
    </w:p>
    <w:p>
      <w:bookmarkStart w:id="54" w:name="req_FR_PLN_008"/>
      <w:pPr>
        <w:keepNext/>
        <w:spacing w:before="180" w:after="40"/>
      </w:pPr>
      <w:r>
        <w:rPr>
          <w:b/>
          <w:i w:val="0"/>
        </w:rPr>
        <w:t>FR-PLN-008   Planning scenarios</w:t>
      </w:r>
      <w:bookmarkEnd w:id="54"/>
    </w:p>
    <w:p>
      <w:pPr>
        <w:keepNext/>
        <w:spacing w:after="60"/>
      </w:pPr>
      <w:r>
        <w:rPr>
          <w:b w:val="0"/>
          <w:i w:val="0"/>
          <w:sz w:val="19"/>
        </w:rPr>
        <w:t>Parent BR-PLN-008   |   P2   |   R3</w:t>
      </w:r>
    </w:p>
    <w:p>
      <w:pPr>
        <w:spacing w:after="60"/>
      </w:pPr>
      <w:r>
        <w:rPr>
          <w:b/>
          <w:i w:val="0"/>
        </w:rPr>
        <w:t xml:space="preserve">Behaviour: </w:t>
      </w:r>
      <w:r>
        <w:rPr>
          <w:b w:val="0"/>
          <w:i w:val="0"/>
        </w:rPr>
        <w:t>A scenario starts from a pinned programme baseline and records altered targets, budgets, timing and assumptions. Comparison shows differences and calculated projections separately from approved actuals. Adoption creates ordinary amendment proposals for each governed object.</w:t>
      </w:r>
    </w:p>
    <w:p>
      <w:pPr>
        <w:spacing w:after="60"/>
      </w:pPr>
      <w:r>
        <w:rPr>
          <w:b/>
          <w:i w:val="0"/>
        </w:rPr>
        <w:t xml:space="preserve">Validation and recovery: </w:t>
      </w:r>
      <w:r>
        <w:rPr>
          <w:b w:val="0"/>
          <w:i w:val="0"/>
        </w:rPr>
        <w:t>No direct promote operation can bypass target, budget or framework approval. Abandoned scenarios remain labelled and are excluded from official portfolio views.</w:t>
      </w:r>
    </w:p>
    <w:p>
      <w:pPr>
        <w:spacing w:after="60"/>
      </w:pPr>
      <w:r>
        <w:rPr>
          <w:b/>
          <w:i w:val="0"/>
        </w:rPr>
        <w:t xml:space="preserve">Acceptance FT-PLN-008: </w:t>
      </w:r>
      <w:r>
        <w:rPr>
          <w:b w:val="0"/>
          <w:i w:val="0"/>
        </w:rPr>
        <w:t>Compare two funding scenarios and adopt one; the original targets remain official until all required amendment decisions complete.</w:t>
      </w:r>
    </w:p>
    <w:p>
      <w:bookmarkStart w:id="55" w:name="req_FR_PLN_009"/>
      <w:pPr>
        <w:keepNext/>
        <w:spacing w:before="180" w:after="40"/>
      </w:pPr>
      <w:r>
        <w:rPr>
          <w:b/>
          <w:i w:val="0"/>
        </w:rPr>
        <w:t>FR-PLN-009   Document assisted setup</w:t>
      </w:r>
      <w:bookmarkEnd w:id="55"/>
    </w:p>
    <w:p>
      <w:pPr>
        <w:keepNext/>
        <w:spacing w:after="60"/>
      </w:pPr>
      <w:r>
        <w:rPr>
          <w:b w:val="0"/>
          <w:i w:val="0"/>
          <w:sz w:val="19"/>
        </w:rPr>
        <w:t>Parent BR-PLN-009   |   P1   |   R1</w:t>
      </w:r>
    </w:p>
    <w:p>
      <w:pPr>
        <w:spacing w:after="60"/>
      </w:pPr>
      <w:r>
        <w:rPr>
          <w:b/>
          <w:i w:val="0"/>
        </w:rPr>
        <w:t xml:space="preserve">Behaviour: </w:t>
      </w:r>
      <w:r>
        <w:rPr>
          <w:b w:val="0"/>
          <w:i w:val="0"/>
        </w:rPr>
        <w:t>Setup offers manual, library and document assisted paths into the same draft entities. Extraction presents source location, proposed field, ambiguity and inference label. The user accepts or edits selected values and sees unresolved fields before submission.</w:t>
      </w:r>
    </w:p>
    <w:p>
      <w:pPr>
        <w:spacing w:after="60"/>
      </w:pPr>
      <w:r>
        <w:rPr>
          <w:b/>
          <w:i w:val="0"/>
        </w:rPr>
        <w:t xml:space="preserve">Validation and recovery: </w:t>
      </w:r>
      <w:r>
        <w:rPr>
          <w:b w:val="0"/>
          <w:i w:val="0"/>
        </w:rPr>
        <w:t>Missing dates, populations or commitments stay missing. AI inferred relationships are not source facts; material additions require normal review. No source text can execute a product command.</w:t>
      </w:r>
    </w:p>
    <w:p>
      <w:pPr>
        <w:spacing w:after="60"/>
      </w:pPr>
      <w:r>
        <w:rPr>
          <w:b/>
          <w:i w:val="0"/>
        </w:rPr>
        <w:t xml:space="preserve">Acceptance FT-PLN-009: </w:t>
      </w:r>
      <w:r>
        <w:rPr>
          <w:b w:val="0"/>
          <w:i w:val="0"/>
        </w:rPr>
        <w:t>Process a proposal containing two different end dates; setup shows both references and cannot activate until the owner resolves the conflict.</w:t>
      </w:r>
    </w:p>
    <w:p>
      <w:bookmarkStart w:id="56" w:name="req_FR_PLN_010"/>
      <w:pPr>
        <w:keepNext/>
        <w:spacing w:before="180" w:after="40"/>
      </w:pPr>
      <w:r>
        <w:rPr>
          <w:b/>
          <w:i w:val="0"/>
        </w:rPr>
        <w:t>FR-PLN-010   Framework completeness review</w:t>
      </w:r>
      <w:bookmarkEnd w:id="56"/>
    </w:p>
    <w:p>
      <w:pPr>
        <w:keepNext/>
        <w:spacing w:after="60"/>
      </w:pPr>
      <w:r>
        <w:rPr>
          <w:b w:val="0"/>
          <w:i w:val="0"/>
          <w:sz w:val="19"/>
        </w:rPr>
        <w:t>Parent BR-PLN-010   |   P0   |   R1</w:t>
      </w:r>
    </w:p>
    <w:p>
      <w:pPr>
        <w:spacing w:after="60"/>
      </w:pPr>
      <w:r>
        <w:rPr>
          <w:b/>
          <w:i w:val="0"/>
        </w:rPr>
        <w:t xml:space="preserve">Behaviour: </w:t>
      </w:r>
      <w:r>
        <w:rPr>
          <w:b w:val="0"/>
          <w:i w:val="0"/>
        </w:rPr>
        <w:t>The completeness view checks orphan nodes, unmeasured outcomes, missing owners, invalid sources, unreviewed assumptions and conflicting reporting obligations. Each issue has severity, object, rule and assigned resolver. Eligible exceptions require reason and review date.</w:t>
      </w:r>
    </w:p>
    <w:p>
      <w:pPr>
        <w:spacing w:after="60"/>
      </w:pPr>
      <w:r>
        <w:rPr>
          <w:b/>
          <w:i w:val="0"/>
        </w:rPr>
        <w:t xml:space="preserve">Validation and recovery: </w:t>
      </w:r>
      <w:r>
        <w:rPr>
          <w:b w:val="0"/>
          <w:i w:val="0"/>
        </w:rPr>
        <w:t>Structural invalidity and unsupported official arithmetic cannot be excepted. A warning can be accepted only by the named authority and remains visible in baseline evidence.</w:t>
      </w:r>
    </w:p>
    <w:p>
      <w:pPr>
        <w:spacing w:after="60"/>
      </w:pPr>
      <w:r>
        <w:rPr>
          <w:b/>
          <w:i w:val="0"/>
        </w:rPr>
        <w:t xml:space="preserve">Acceptance FT-PLN-010: </w:t>
      </w:r>
      <w:r>
        <w:rPr>
          <w:b w:val="0"/>
          <w:i w:val="0"/>
        </w:rPr>
        <w:t>Submit a framework with an unmeasured output; approval either includes a permitted documented exception or remains blocked with an assigned action.</w:t>
      </w:r>
    </w:p>
    <w:p>
      <w:bookmarkStart w:id="57" w:name="sec_11"/>
      <w:pPr>
        <w:pStyle w:val="Heading1"/>
      </w:pPr>
      <w:r>
        <w:rPr>
          <w:b w:val="0"/>
          <w:i w:val="0"/>
        </w:rPr>
        <w:t>11 Programme and delivery management</w:t>
      </w:r>
      <w:bookmarkEnd w:id="57"/>
    </w:p>
    <w:p>
      <w:pPr>
        <w:spacing w:after="140"/>
      </w:pPr>
      <w:r>
        <w:rPr>
          <w:b w:val="0"/>
          <w:i/>
          <w:sz w:val="21"/>
        </w:rPr>
        <w:t>Primary actors: Programme manager and assigned partner. Interfaces: UI03 UI06 UI07. Logical entities: D05 D06 D11 D16.</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58" w:name="req_FR_PRG_001"/>
      <w:pPr>
        <w:keepNext/>
        <w:spacing w:before="180" w:after="40"/>
      </w:pPr>
      <w:r>
        <w:rPr>
          <w:b/>
          <w:i w:val="0"/>
        </w:rPr>
        <w:t>FR-PRG-001   Programme and project registry</w:t>
      </w:r>
      <w:bookmarkEnd w:id="58"/>
    </w:p>
    <w:p>
      <w:pPr>
        <w:keepNext/>
        <w:spacing w:after="60"/>
      </w:pPr>
      <w:r>
        <w:rPr>
          <w:b w:val="0"/>
          <w:i w:val="0"/>
          <w:sz w:val="19"/>
        </w:rPr>
        <w:t>Parent BR-PRG-001   |   P0   |   R1</w:t>
      </w:r>
    </w:p>
    <w:p>
      <w:pPr>
        <w:spacing w:after="60"/>
      </w:pPr>
      <w:r>
        <w:rPr>
          <w:b/>
          <w:i w:val="0"/>
        </w:rPr>
        <w:t xml:space="preserve">Behaviour: </w:t>
      </w:r>
      <w:r>
        <w:rPr>
          <w:b w:val="0"/>
          <w:i w:val="0"/>
        </w:rPr>
        <w:t>Programme creation validates a tenant unique code, title, dates, owner, geography and reporting calendar. Users add portfolio memberships with effective dates. Registry filters apply access before counts and allow archive or reopen only through lifecycle actions.</w:t>
      </w:r>
    </w:p>
    <w:p>
      <w:pPr>
        <w:spacing w:after="60"/>
      </w:pPr>
      <w:r>
        <w:rPr>
          <w:b/>
          <w:i w:val="0"/>
        </w:rPr>
        <w:t xml:space="preserve">Validation and recovery: </w:t>
      </w:r>
      <w:r>
        <w:rPr>
          <w:b w:val="0"/>
          <w:i w:val="0"/>
        </w:rPr>
        <w:t>A project may appear in several views without duplicating its underlying identity. Archived projects remain searchable to authorised auditors but cannot receive ordinary new submissions.</w:t>
      </w:r>
    </w:p>
    <w:p>
      <w:pPr>
        <w:spacing w:after="60"/>
      </w:pPr>
      <w:r>
        <w:rPr>
          <w:b/>
          <w:i w:val="0"/>
        </w:rPr>
        <w:t xml:space="preserve">Acceptance FT-PRG-001: </w:t>
      </w:r>
      <w:r>
        <w:rPr>
          <w:b w:val="0"/>
          <w:i w:val="0"/>
        </w:rPr>
        <w:t>Create project P in two thematic portfolios and confirm the organisation registry contains one project identity and two memberships.</w:t>
      </w:r>
    </w:p>
    <w:p>
      <w:bookmarkStart w:id="59" w:name="req_FR_PRG_002"/>
      <w:pPr>
        <w:keepNext/>
        <w:spacing w:before="180" w:after="40"/>
      </w:pPr>
      <w:r>
        <w:rPr>
          <w:b/>
          <w:i w:val="0"/>
        </w:rPr>
        <w:t>FR-PRG-002   Activities and milestones</w:t>
      </w:r>
      <w:bookmarkEnd w:id="59"/>
    </w:p>
    <w:p>
      <w:pPr>
        <w:keepNext/>
        <w:spacing w:after="60"/>
      </w:pPr>
      <w:r>
        <w:rPr>
          <w:b w:val="0"/>
          <w:i w:val="0"/>
          <w:sz w:val="19"/>
        </w:rPr>
        <w:t>Parent BR-PRG-002   |   P1   |   R1</w:t>
      </w:r>
    </w:p>
    <w:p>
      <w:pPr>
        <w:spacing w:after="60"/>
      </w:pPr>
      <w:r>
        <w:rPr>
          <w:b/>
          <w:i w:val="0"/>
        </w:rPr>
        <w:t xml:space="preserve">Behaviour: </w:t>
      </w:r>
      <w:r>
        <w:rPr>
          <w:b w:val="0"/>
          <w:i w:val="0"/>
        </w:rPr>
        <w:t>Managers define activities with assignee, start, due date, predecessor links, milestone evidence and framework reference. Completion requires the declared deliverable evidence or an authorised exception; blocked and cancelled are explicit states.</w:t>
      </w:r>
    </w:p>
    <w:p>
      <w:pPr>
        <w:spacing w:after="60"/>
      </w:pPr>
      <w:r>
        <w:rPr>
          <w:b/>
          <w:i w:val="0"/>
        </w:rPr>
        <w:t xml:space="preserve">Validation and recovery: </w:t>
      </w:r>
      <w:r>
        <w:rPr>
          <w:b w:val="0"/>
          <w:i w:val="0"/>
        </w:rPr>
        <w:t>Reject dependency cycles and due dates before start. A predecessor delay flags downstream risk but never automatically changes official outcome actuals or approved programme dates.</w:t>
      </w:r>
    </w:p>
    <w:p>
      <w:pPr>
        <w:spacing w:after="60"/>
      </w:pPr>
      <w:r>
        <w:rPr>
          <w:b/>
          <w:i w:val="0"/>
        </w:rPr>
        <w:t xml:space="preserve">Acceptance FT-PRG-002: </w:t>
      </w:r>
      <w:r>
        <w:rPr>
          <w:b w:val="0"/>
          <w:i w:val="0"/>
        </w:rPr>
        <w:t>Delay activity A, which precedes B; B shows dependency risk, its approved due date is retained and no indicator achievement is invented.</w:t>
      </w:r>
    </w:p>
    <w:p>
      <w:bookmarkStart w:id="60" w:name="req_FR_PRG_003"/>
      <w:pPr>
        <w:keepNext/>
        <w:spacing w:before="180" w:after="40"/>
      </w:pPr>
      <w:r>
        <w:rPr>
          <w:b/>
          <w:i w:val="0"/>
        </w:rPr>
        <w:t>FR-PRG-003   Workplans and calendars</w:t>
      </w:r>
      <w:bookmarkEnd w:id="60"/>
    </w:p>
    <w:p>
      <w:pPr>
        <w:keepNext/>
        <w:spacing w:after="60"/>
      </w:pPr>
      <w:r>
        <w:rPr>
          <w:b w:val="0"/>
          <w:i w:val="0"/>
          <w:sz w:val="19"/>
        </w:rPr>
        <w:t>Parent BR-PRG-003   |   P1   |   R1</w:t>
      </w:r>
    </w:p>
    <w:p>
      <w:pPr>
        <w:spacing w:after="60"/>
      </w:pPr>
      <w:r>
        <w:rPr>
          <w:b/>
          <w:i w:val="0"/>
        </w:rPr>
        <w:t xml:space="preserve">Behaviour: </w:t>
      </w:r>
      <w:r>
        <w:rPr>
          <w:b w:val="0"/>
          <w:i w:val="0"/>
        </w:rPr>
        <w:t>The calendar renders programme and reporting tasks in the viewer's zone with the governing deadline zone available. Recurrence creates stable obligation instances using the working calendar. Reschedule preview lists future tasks and affected recipients.</w:t>
      </w:r>
    </w:p>
    <w:p>
      <w:pPr>
        <w:spacing w:after="60"/>
      </w:pPr>
      <w:r>
        <w:rPr>
          <w:b/>
          <w:i w:val="0"/>
        </w:rPr>
        <w:t xml:space="preserve">Validation and recovery: </w:t>
      </w:r>
      <w:r>
        <w:rPr>
          <w:b w:val="0"/>
          <w:i w:val="0"/>
        </w:rPr>
        <w:t>Locked period deadlines remain immutable history. Daylight saving changes resolve to one declared instant; duplicate task creation is prevented by obligation identity.</w:t>
      </w:r>
    </w:p>
    <w:p>
      <w:pPr>
        <w:spacing w:after="60"/>
      </w:pPr>
      <w:r>
        <w:rPr>
          <w:b/>
          <w:i w:val="0"/>
        </w:rPr>
        <w:t xml:space="preserve">Acceptance FT-PRG-003: </w:t>
      </w:r>
      <w:r>
        <w:rPr>
          <w:b w:val="0"/>
          <w:i w:val="0"/>
        </w:rPr>
        <w:t>Move programme end by one month and confirm only eligible future tasks shift, while a locked quarterly deadline stays unchanged.</w:t>
      </w:r>
    </w:p>
    <w:p>
      <w:bookmarkStart w:id="61" w:name="req_FR_PRG_004"/>
      <w:pPr>
        <w:keepNext/>
        <w:spacing w:before="180" w:after="40"/>
      </w:pPr>
      <w:r>
        <w:rPr>
          <w:b/>
          <w:i w:val="0"/>
        </w:rPr>
        <w:t>FR-PRG-004   Risks issues and dependencies</w:t>
      </w:r>
      <w:bookmarkEnd w:id="61"/>
    </w:p>
    <w:p>
      <w:pPr>
        <w:keepNext/>
        <w:spacing w:after="60"/>
      </w:pPr>
      <w:r>
        <w:rPr>
          <w:b w:val="0"/>
          <w:i w:val="0"/>
          <w:sz w:val="19"/>
        </w:rPr>
        <w:t>Parent BR-PRG-004   |   P1   |   R1</w:t>
      </w:r>
    </w:p>
    <w:p>
      <w:pPr>
        <w:spacing w:after="60"/>
      </w:pPr>
      <w:r>
        <w:rPr>
          <w:b/>
          <w:i w:val="0"/>
        </w:rPr>
        <w:t xml:space="preserve">Behaviour: </w:t>
      </w:r>
      <w:r>
        <w:rPr>
          <w:b w:val="0"/>
          <w:i w:val="0"/>
        </w:rPr>
        <w:t>A risk record captures category, likelihood, impact, score rule, owner, mitigation and review date. An issue records an observed problem and evidence. Automated detections enter suggested state until a manager validates them.</w:t>
      </w:r>
    </w:p>
    <w:p>
      <w:pPr>
        <w:spacing w:after="60"/>
      </w:pPr>
      <w:r>
        <w:rPr>
          <w:b/>
          <w:i w:val="0"/>
        </w:rPr>
        <w:t xml:space="preserve">Validation and recovery: </w:t>
      </w:r>
      <w:r>
        <w:rPr>
          <w:b w:val="0"/>
          <w:i w:val="0"/>
        </w:rPr>
        <w:t>Risk score is calculated from an explicit configured matrix, not AI certainty. Closing needs resolution evidence and does not remove earlier escalation events.</w:t>
      </w:r>
    </w:p>
    <w:p>
      <w:pPr>
        <w:spacing w:after="60"/>
      </w:pPr>
      <w:r>
        <w:rPr>
          <w:b/>
          <w:i w:val="0"/>
        </w:rPr>
        <w:t xml:space="preserve">Acceptance FT-PRG-004: </w:t>
      </w:r>
      <w:r>
        <w:rPr>
          <w:b w:val="0"/>
          <w:i w:val="0"/>
        </w:rPr>
        <w:t>Create a high impact issue past its due date; escalation identifies the responsible manager and linked obligations without exposing restricted evidence in email.</w:t>
      </w:r>
    </w:p>
    <w:p>
      <w:bookmarkStart w:id="62" w:name="req_FR_PRG_005"/>
      <w:pPr>
        <w:keepNext/>
        <w:spacing w:before="180" w:after="40"/>
      </w:pPr>
      <w:r>
        <w:rPr>
          <w:b/>
          <w:i w:val="0"/>
        </w:rPr>
        <w:t>FR-PRG-005   Geography and sites</w:t>
      </w:r>
      <w:bookmarkEnd w:id="62"/>
    </w:p>
    <w:p>
      <w:pPr>
        <w:keepNext/>
        <w:spacing w:after="60"/>
      </w:pPr>
      <w:r>
        <w:rPr>
          <w:b w:val="0"/>
          <w:i w:val="0"/>
          <w:sz w:val="19"/>
        </w:rPr>
        <w:t>Parent BR-PRG-005   |   P1   |   R1</w:t>
      </w:r>
    </w:p>
    <w:p>
      <w:pPr>
        <w:spacing w:after="60"/>
      </w:pPr>
      <w:r>
        <w:rPr>
          <w:b/>
          <w:i w:val="0"/>
        </w:rPr>
        <w:t xml:space="preserve">Behaviour: </w:t>
      </w:r>
      <w:r>
        <w:rPr>
          <w:b w:val="0"/>
          <w:i w:val="0"/>
        </w:rPr>
        <w:t>A geography editor imports or selects a versioned hierarchy and optional permitted coordinates. Project and observation bindings record boundary version and effective date. Maps use the disclosure level allowed for the viewer.</w:t>
      </w:r>
    </w:p>
    <w:p>
      <w:pPr>
        <w:spacing w:after="60"/>
      </w:pPr>
      <w:r>
        <w:rPr>
          <w:b/>
          <w:i w:val="0"/>
        </w:rPr>
        <w:t xml:space="preserve">Validation and recovery: </w:t>
      </w:r>
      <w:r>
        <w:rPr>
          <w:b w:val="0"/>
          <w:i w:val="0"/>
        </w:rPr>
        <w:t>Changing boundaries never rewrites old observation codes. Exact coordinates require separate permission; generalisation uses a documented mapping rather than arbitrary jitter presented as an exact location.</w:t>
      </w:r>
    </w:p>
    <w:p>
      <w:pPr>
        <w:spacing w:after="60"/>
      </w:pPr>
      <w:r>
        <w:rPr>
          <w:b/>
          <w:i w:val="0"/>
        </w:rPr>
        <w:t xml:space="preserve">Acceptance FT-PRG-005: </w:t>
      </w:r>
      <w:r>
        <w:rPr>
          <w:b w:val="0"/>
          <w:i w:val="0"/>
        </w:rPr>
        <w:t>Split a district into two new districts and reproduce a report on the old boundary while future data uses the new codes.</w:t>
      </w:r>
    </w:p>
    <w:p>
      <w:bookmarkStart w:id="63" w:name="req_FR_PRG_006"/>
      <w:pPr>
        <w:keepNext/>
        <w:spacing w:before="180" w:after="40"/>
      </w:pPr>
      <w:r>
        <w:rPr>
          <w:b/>
          <w:i w:val="0"/>
        </w:rPr>
        <w:t>FR-PRG-006   Partner responsibilities</w:t>
      </w:r>
      <w:bookmarkEnd w:id="63"/>
    </w:p>
    <w:p>
      <w:pPr>
        <w:keepNext/>
        <w:spacing w:after="60"/>
      </w:pPr>
      <w:r>
        <w:rPr>
          <w:b w:val="0"/>
          <w:i w:val="0"/>
          <w:sz w:val="19"/>
        </w:rPr>
        <w:t>Parent BR-PRG-006   |   P0   |   R1</w:t>
      </w:r>
    </w:p>
    <w:p>
      <w:pPr>
        <w:spacing w:after="60"/>
      </w:pPr>
      <w:r>
        <w:rPr>
          <w:b/>
          <w:i w:val="0"/>
        </w:rPr>
        <w:t xml:space="preserve">Behaviour: </w:t>
      </w:r>
      <w:r>
        <w:rPr>
          <w:b w:val="0"/>
          <w:i w:val="0"/>
        </w:rPr>
        <w:t>A manager assigns a partner to collection, activity or reporting responsibility with dates, acceptance and explicit scope. The partner accepts or requests correction. Transfer preview lists open tasks, historic submissions and new access needs.</w:t>
      </w:r>
    </w:p>
    <w:p>
      <w:pPr>
        <w:spacing w:after="60"/>
      </w:pPr>
      <w:r>
        <w:rPr>
          <w:b/>
          <w:i w:val="0"/>
        </w:rPr>
        <w:t xml:space="preserve">Validation and recovery: </w:t>
      </w:r>
      <w:r>
        <w:rPr>
          <w:b w:val="0"/>
          <w:i w:val="0"/>
        </w:rPr>
        <w:t>New responsibility does not confer access to unrelated historical participant records. Existing approved submissions remain attributed to the original contributor.</w:t>
      </w:r>
    </w:p>
    <w:p>
      <w:pPr>
        <w:spacing w:after="60"/>
      </w:pPr>
      <w:r>
        <w:rPr>
          <w:b/>
          <w:i w:val="0"/>
        </w:rPr>
        <w:t xml:space="preserve">Acceptance FT-PRG-006: </w:t>
      </w:r>
      <w:r>
        <w:rPr>
          <w:b w:val="0"/>
          <w:i w:val="0"/>
        </w:rPr>
        <w:t>Transfer next quarter's reporting from X to Y; X's approved quarter stays intact and Y sees only the assignments and evidence needed for future work.</w:t>
      </w:r>
    </w:p>
    <w:p>
      <w:bookmarkStart w:id="64" w:name="req_FR_PRG_007"/>
      <w:pPr>
        <w:keepNext/>
        <w:spacing w:before="180" w:after="40"/>
      </w:pPr>
      <w:r>
        <w:rPr>
          <w:b/>
          <w:i w:val="0"/>
        </w:rPr>
        <w:t>FR-PRG-007   Programme change control</w:t>
      </w:r>
      <w:bookmarkEnd w:id="64"/>
    </w:p>
    <w:p>
      <w:pPr>
        <w:keepNext/>
        <w:spacing w:after="60"/>
      </w:pPr>
      <w:r>
        <w:rPr>
          <w:b w:val="0"/>
          <w:i w:val="0"/>
          <w:sz w:val="19"/>
        </w:rPr>
        <w:t>Parent BR-PRG-007   |   P1   |   R1</w:t>
      </w:r>
    </w:p>
    <w:p>
      <w:pPr>
        <w:spacing w:after="60"/>
      </w:pPr>
      <w:r>
        <w:rPr>
          <w:b/>
          <w:i w:val="0"/>
        </w:rPr>
        <w:t xml:space="preserve">Behaviour: </w:t>
      </w:r>
      <w:r>
        <w:rPr>
          <w:b w:val="0"/>
          <w:i w:val="0"/>
        </w:rPr>
        <w:t>A programme amendment contains proposed changes, reason, effective date and impact on targets, activities, budgets and obligations. Reviewers approve an exact amendment package; application creates the corresponding new object versions and receipts.</w:t>
      </w:r>
    </w:p>
    <w:p>
      <w:pPr>
        <w:spacing w:after="60"/>
      </w:pPr>
      <w:r>
        <w:rPr>
          <w:b/>
          <w:i w:val="0"/>
        </w:rPr>
        <w:t xml:space="preserve">Validation and recovery: </w:t>
      </w:r>
      <w:r>
        <w:rPr>
          <w:b w:val="0"/>
          <w:i w:val="0"/>
        </w:rPr>
        <w:t>If any required child change fails validation, the amendment remains unapplied or explicitly partially applied only under a declared approved mode. No hidden mixture of old and new commitments.</w:t>
      </w:r>
    </w:p>
    <w:p>
      <w:pPr>
        <w:spacing w:after="60"/>
      </w:pPr>
      <w:r>
        <w:rPr>
          <w:b/>
          <w:i w:val="0"/>
        </w:rPr>
        <w:t xml:space="preserve">Acceptance FT-PRG-007: </w:t>
      </w:r>
      <w:r>
        <w:rPr>
          <w:b w:val="0"/>
          <w:i w:val="0"/>
        </w:rPr>
        <w:t>Shorten a programme while future obligations exist; approval requires resolving or explicitly retaining every affected obligation.</w:t>
      </w:r>
    </w:p>
    <w:p>
      <w:bookmarkStart w:id="65" w:name="req_FR_PRG_008"/>
      <w:pPr>
        <w:keepNext/>
        <w:spacing w:before="180" w:after="40"/>
      </w:pPr>
      <w:r>
        <w:rPr>
          <w:b/>
          <w:i w:val="0"/>
        </w:rPr>
        <w:t>FR-PRG-008   Closure and archival</w:t>
      </w:r>
      <w:bookmarkEnd w:id="65"/>
    </w:p>
    <w:p>
      <w:pPr>
        <w:keepNext/>
        <w:spacing w:after="60"/>
      </w:pPr>
      <w:r>
        <w:rPr>
          <w:b w:val="0"/>
          <w:i w:val="0"/>
          <w:sz w:val="19"/>
        </w:rPr>
        <w:t>Parent BR-PRG-008   |   P0   |   R1</w:t>
      </w:r>
    </w:p>
    <w:p>
      <w:pPr>
        <w:spacing w:after="60"/>
      </w:pPr>
      <w:r>
        <w:rPr>
          <w:b/>
          <w:i w:val="0"/>
        </w:rPr>
        <w:t xml:space="preserve">Behaviour: </w:t>
      </w:r>
      <w:r>
        <w:rPr>
          <w:b w:val="0"/>
          <w:i w:val="0"/>
        </w:rPr>
        <w:t>The close wizard lists incomplete submissions, unresolved quality issues, open approvals, deliverables and retention duties. Mandatory blockers require resolution; eligible exceptions are attached to the closure decision. Archival stops ordinary edits and schedules.</w:t>
      </w:r>
    </w:p>
    <w:p>
      <w:pPr>
        <w:spacing w:after="60"/>
      </w:pPr>
      <w:r>
        <w:rPr>
          <w:b/>
          <w:i w:val="0"/>
        </w:rPr>
        <w:t xml:space="preserve">Validation and recovery: </w:t>
      </w:r>
      <w:r>
        <w:rPr>
          <w:b w:val="0"/>
          <w:i w:val="0"/>
        </w:rPr>
        <w:t>Corrections after closure require approved reopen or a governed amendment with scope. Reopening the programme does not automatically reopen locked reporting periods.</w:t>
      </w:r>
    </w:p>
    <w:p>
      <w:pPr>
        <w:spacing w:after="60"/>
      </w:pPr>
      <w:r>
        <w:rPr>
          <w:b/>
          <w:i w:val="0"/>
        </w:rPr>
        <w:t xml:space="preserve">Acceptance FT-PRG-008: </w:t>
      </w:r>
      <w:r>
        <w:rPr>
          <w:b w:val="0"/>
          <w:i w:val="0"/>
        </w:rPr>
        <w:t>Archive a project with one permitted warning and verify its approved export still works while new ordinary data entry is denied.</w:t>
      </w:r>
    </w:p>
    <w:p>
      <w:bookmarkStart w:id="66" w:name="req_FR_PRG_009"/>
      <w:pPr>
        <w:keepNext/>
        <w:spacing w:before="180" w:after="40"/>
      </w:pPr>
      <w:r>
        <w:rPr>
          <w:b/>
          <w:i w:val="0"/>
        </w:rPr>
        <w:t>FR-PRG-009   Cross project dependencies</w:t>
      </w:r>
      <w:bookmarkEnd w:id="66"/>
    </w:p>
    <w:p>
      <w:pPr>
        <w:keepNext/>
        <w:spacing w:after="60"/>
      </w:pPr>
      <w:r>
        <w:rPr>
          <w:b w:val="0"/>
          <w:i w:val="0"/>
          <w:sz w:val="19"/>
        </w:rPr>
        <w:t>Parent BR-PRG-009   |   P1   |   R2</w:t>
      </w:r>
    </w:p>
    <w:p>
      <w:pPr>
        <w:spacing w:after="60"/>
      </w:pPr>
      <w:r>
        <w:rPr>
          <w:b/>
          <w:i w:val="0"/>
        </w:rPr>
        <w:t xml:space="preserve">Behaviour: </w:t>
      </w:r>
      <w:r>
        <w:rPr>
          <w:b w:val="0"/>
          <w:i w:val="0"/>
        </w:rPr>
        <w:t>A manager links an authorised prerequisite across projects with a shared status contract. Receiving users see either the full permitted dependency or a disclosed status summary with owner contact and freshness.</w:t>
      </w:r>
    </w:p>
    <w:p>
      <w:pPr>
        <w:spacing w:after="60"/>
      </w:pPr>
      <w:r>
        <w:rPr>
          <w:b/>
          <w:i w:val="0"/>
        </w:rPr>
        <w:t xml:space="preserve">Validation and recovery: </w:t>
      </w:r>
      <w:r>
        <w:rPr>
          <w:b w:val="0"/>
          <w:i w:val="0"/>
        </w:rPr>
        <w:t>Do not expose restricted titles, budgets or task comments through the dependency label. A broken grant changes the link to unavailable rather than copying the hidden source.</w:t>
      </w:r>
    </w:p>
    <w:p>
      <w:pPr>
        <w:spacing w:after="60"/>
      </w:pPr>
      <w:r>
        <w:rPr>
          <w:b/>
          <w:i w:val="0"/>
        </w:rPr>
        <w:t xml:space="preserve">Acceptance FT-PRG-009: </w:t>
      </w:r>
      <w:r>
        <w:rPr>
          <w:b w:val="0"/>
          <w:i w:val="0"/>
        </w:rPr>
        <w:t>A partner sees prerequisite delayed and due date but cannot drill into the originating project's confidential grant agreement.</w:t>
      </w:r>
    </w:p>
    <w:p>
      <w:bookmarkStart w:id="67" w:name="req_FR_PRG_010"/>
      <w:pPr>
        <w:keepNext/>
        <w:spacing w:before="180" w:after="40"/>
      </w:pPr>
      <w:r>
        <w:rPr>
          <w:b/>
          <w:i w:val="0"/>
        </w:rPr>
        <w:t>FR-PRG-010   Bulk administration</w:t>
      </w:r>
      <w:bookmarkEnd w:id="67"/>
    </w:p>
    <w:p>
      <w:pPr>
        <w:keepNext/>
        <w:spacing w:after="60"/>
      </w:pPr>
      <w:r>
        <w:rPr>
          <w:b w:val="0"/>
          <w:i w:val="0"/>
          <w:sz w:val="19"/>
        </w:rPr>
        <w:t>Parent BR-PRG-010   |   P1   |   R2</w:t>
      </w:r>
    </w:p>
    <w:p>
      <w:pPr>
        <w:spacing w:after="60"/>
      </w:pPr>
      <w:r>
        <w:rPr>
          <w:b/>
          <w:i w:val="0"/>
        </w:rPr>
        <w:t xml:space="preserve">Behaviour: </w:t>
      </w:r>
      <w:r>
        <w:rPr>
          <w:b w:val="0"/>
          <w:i w:val="0"/>
        </w:rPr>
        <w:t>Bulk administration accepts a selected object set and one operation such as owner reassignment or template instantiation. Preview validates every object's current revision and scope, showing valid, skipped and blocked candidates. Execution returns an item manifest.</w:t>
      </w:r>
    </w:p>
    <w:p>
      <w:pPr>
        <w:spacing w:after="60"/>
      </w:pPr>
      <w:r>
        <w:rPr>
          <w:b/>
          <w:i w:val="0"/>
        </w:rPr>
        <w:t xml:space="preserve">Validation and recovery: </w:t>
      </w:r>
      <w:r>
        <w:rPr>
          <w:b w:val="0"/>
          <w:i w:val="0"/>
        </w:rPr>
        <w:t>No mass approval through this tool. Retrying a completed item with the same operation identity has no new effect; changed candidates need refreshed review.</w:t>
      </w:r>
    </w:p>
    <w:p>
      <w:pPr>
        <w:spacing w:after="60"/>
      </w:pPr>
      <w:r>
        <w:rPr>
          <w:b/>
          <w:i w:val="0"/>
        </w:rPr>
        <w:t xml:space="preserve">Acceptance FT-PRG-010: </w:t>
      </w:r>
      <w:r>
        <w:rPr>
          <w:b w:val="0"/>
          <w:i w:val="0"/>
        </w:rPr>
        <w:t>Reassign ten projects with two outside scope and one stale revision; seven commit, three report safe reasons and retry does not duplicate template instances.</w:t>
      </w:r>
    </w:p>
    <w:p>
      <w:bookmarkStart w:id="68" w:name="sec_12"/>
      <w:pPr>
        <w:pStyle w:val="Heading1"/>
      </w:pPr>
      <w:r>
        <w:rPr>
          <w:b w:val="0"/>
          <w:i w:val="0"/>
        </w:rPr>
        <w:t>12 Indicator definitions targets and periods</w:t>
      </w:r>
      <w:bookmarkEnd w:id="68"/>
    </w:p>
    <w:p>
      <w:pPr>
        <w:spacing w:after="140"/>
      </w:pPr>
      <w:r>
        <w:rPr>
          <w:b w:val="0"/>
          <w:i/>
          <w:sz w:val="21"/>
        </w:rPr>
        <w:t>Primary actors: MEL administrator collector and independent reviewer. Interfaces: UI09 UI10 UI21. Logical entities: D07 D08 D09 D10 D11 D12.</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69" w:name="req_FR_IND_001"/>
      <w:pPr>
        <w:keepNext/>
        <w:spacing w:before="180" w:after="40"/>
      </w:pPr>
      <w:r>
        <w:rPr>
          <w:b/>
          <w:i w:val="0"/>
        </w:rPr>
        <w:t>FR-IND-001   Complete indicator definition</w:t>
      </w:r>
      <w:bookmarkEnd w:id="69"/>
    </w:p>
    <w:p>
      <w:pPr>
        <w:keepNext/>
        <w:spacing w:after="60"/>
      </w:pPr>
      <w:r>
        <w:rPr>
          <w:b w:val="0"/>
          <w:i w:val="0"/>
          <w:sz w:val="19"/>
        </w:rPr>
        <w:t>Parent BR-IND-001   |   P0   |   R1</w:t>
      </w:r>
    </w:p>
    <w:p>
      <w:pPr>
        <w:spacing w:after="60"/>
      </w:pPr>
      <w:r>
        <w:rPr>
          <w:b/>
          <w:i w:val="0"/>
        </w:rPr>
        <w:t xml:space="preserve">Behaviour: </w:t>
      </w:r>
      <w:r>
        <w:rPr>
          <w:b w:val="0"/>
          <w:i w:val="0"/>
        </w:rPr>
        <w:t>The indicator designer requires code, name, type, unit, population, inclusion and exclusion rules, method, source mode, time semantic, frequency, owner and limitations. Conditional panels collect numerator, denominator, multiplier, direction and aggregation rule. Review displays a complete measurement contract.</w:t>
      </w:r>
    </w:p>
    <w:p>
      <w:pPr>
        <w:spacing w:after="60"/>
      </w:pPr>
      <w:r>
        <w:rPr>
          <w:b/>
          <w:i w:val="0"/>
        </w:rPr>
        <w:t xml:space="preserve">Validation and recovery: </w:t>
      </w:r>
      <w:r>
        <w:rPr>
          <w:b w:val="0"/>
          <w:i w:val="0"/>
        </w:rPr>
        <w:t>A label alone is never an approved definition. Missing conditional fields block submission; undefined populations or units cannot be supplied by an undocumented default.</w:t>
      </w:r>
    </w:p>
    <w:p>
      <w:pPr>
        <w:spacing w:after="60"/>
      </w:pPr>
      <w:r>
        <w:rPr>
          <w:b/>
          <w:i w:val="0"/>
        </w:rPr>
        <w:t xml:space="preserve">Acceptance FT-IND-001: </w:t>
      </w:r>
      <w:r>
        <w:rPr>
          <w:b w:val="0"/>
          <w:i w:val="0"/>
        </w:rPr>
        <w:t>Define a percentage with a numerator but no eligible denominator; validation links directly to the missing meaning and approval remains unavailable.</w:t>
      </w:r>
    </w:p>
    <w:p>
      <w:bookmarkStart w:id="70" w:name="req_FR_IND_002"/>
      <w:pPr>
        <w:keepNext/>
        <w:spacing w:before="180" w:after="40"/>
      </w:pPr>
      <w:r>
        <w:rPr>
          <w:b/>
          <w:i w:val="0"/>
        </w:rPr>
        <w:t>FR-IND-002   Supported measurement types</w:t>
      </w:r>
      <w:bookmarkEnd w:id="70"/>
    </w:p>
    <w:p>
      <w:pPr>
        <w:keepNext/>
        <w:spacing w:after="60"/>
      </w:pPr>
      <w:r>
        <w:rPr>
          <w:b w:val="0"/>
          <w:i w:val="0"/>
          <w:sz w:val="19"/>
        </w:rPr>
        <w:t>Parent BR-IND-002   |   P0   |   R1</w:t>
      </w:r>
    </w:p>
    <w:p>
      <w:pPr>
        <w:spacing w:after="60"/>
      </w:pPr>
      <w:r>
        <w:rPr>
          <w:b/>
          <w:i w:val="0"/>
        </w:rPr>
        <w:t xml:space="preserve">Behaviour: </w:t>
      </w:r>
      <w:r>
        <w:rPr>
          <w:b w:val="0"/>
          <w:i w:val="0"/>
        </w:rPr>
        <w:t>Selecting a measurement type constrains allowed inputs and operators. Counts accept integral eligible quantities; percentages use compatible quantities and a multiplier of 100; rates declare their multiplier; ordinal labels retain ordered codes. Imported composite scores in R1 require external method metadata.</w:t>
      </w:r>
    </w:p>
    <w:p>
      <w:pPr>
        <w:spacing w:after="60"/>
      </w:pPr>
      <w:r>
        <w:rPr>
          <w:b/>
          <w:i w:val="0"/>
        </w:rPr>
        <w:t xml:space="preserve">Validation and recovery: </w:t>
      </w:r>
      <w:r>
        <w:rPr>
          <w:b w:val="0"/>
          <w:i w:val="0"/>
        </w:rPr>
        <w:t>A bounded percentage rejects values outside zero to 100 unless the approved measure explicitly permits a different interpretation. Native weighted composition is R2; ordinal labels cannot be summed.</w:t>
      </w:r>
    </w:p>
    <w:p>
      <w:pPr>
        <w:spacing w:after="60"/>
      </w:pPr>
      <w:r>
        <w:rPr>
          <w:b/>
          <w:i w:val="0"/>
        </w:rPr>
        <w:t xml:space="preserve">Acceptance FT-IND-002: </w:t>
      </w:r>
      <w:r>
        <w:rPr>
          <w:b w:val="0"/>
          <w:i w:val="0"/>
        </w:rPr>
        <w:t>Enter an ordinal code into an additive aggregate and confirm incompatibility; import a reviewed external score and retain its stated calculation source.</w:t>
      </w:r>
    </w:p>
    <w:p>
      <w:bookmarkStart w:id="71" w:name="req_FR_IND_003"/>
      <w:pPr>
        <w:keepNext/>
        <w:spacing w:before="180" w:after="40"/>
      </w:pPr>
      <w:r>
        <w:rPr>
          <w:b/>
          <w:i w:val="0"/>
        </w:rPr>
        <w:t>FR-IND-003   Baselines and targets</w:t>
      </w:r>
      <w:bookmarkEnd w:id="71"/>
    </w:p>
    <w:p>
      <w:pPr>
        <w:keepNext/>
        <w:spacing w:after="60"/>
      </w:pPr>
      <w:r>
        <w:rPr>
          <w:b w:val="0"/>
          <w:i w:val="0"/>
          <w:sz w:val="19"/>
        </w:rPr>
        <w:t>Parent BR-IND-003   |   P0   |   R1</w:t>
      </w:r>
    </w:p>
    <w:p>
      <w:pPr>
        <w:spacing w:after="60"/>
      </w:pPr>
      <w:r>
        <w:rPr>
          <w:b/>
          <w:i w:val="0"/>
        </w:rPr>
        <w:t xml:space="preserve">Behaviour: </w:t>
      </w:r>
      <w:r>
        <w:rPr>
          <w:b w:val="0"/>
          <w:i w:val="0"/>
        </w:rPr>
        <w:t>Targets and baselines identify measurement date or period, target kind, value, unit, direction and version. The user chooses higher, lower, within range or milestone interpretation. Progress uses the declared formula and displays original or revised target selection.</w:t>
      </w:r>
    </w:p>
    <w:p>
      <w:pPr>
        <w:spacing w:after="60"/>
      </w:pPr>
      <w:r>
        <w:rPr>
          <w:b/>
          <w:i w:val="0"/>
        </w:rPr>
        <w:t xml:space="preserve">Validation and recovery: </w:t>
      </w:r>
      <w:r>
        <w:rPr>
          <w:b w:val="0"/>
          <w:i w:val="0"/>
        </w:rPr>
        <w:t>Do not cap overachievement. Undefined target ratios show undefined; a zero target uses milestone or reviewed difference logic rather than dividing by zero.</w:t>
      </w:r>
    </w:p>
    <w:p>
      <w:pPr>
        <w:spacing w:after="60"/>
      </w:pPr>
      <w:r>
        <w:rPr>
          <w:b/>
          <w:i w:val="0"/>
        </w:rPr>
        <w:t xml:space="preserve">Acceptance FT-IND-003: </w:t>
      </w:r>
      <w:r>
        <w:rPr>
          <w:b w:val="0"/>
          <w:i w:val="0"/>
        </w:rPr>
        <w:t>With an actual of 120 and higher target 100 display 120 percent attainment; with lower target 10 and actual 8 show achieved and the defined deviation.</w:t>
      </w:r>
    </w:p>
    <w:p>
      <w:bookmarkStart w:id="72" w:name="req_FR_IND_004"/>
      <w:pPr>
        <w:keepNext/>
        <w:spacing w:before="180" w:after="40"/>
      </w:pPr>
      <w:r>
        <w:rPr>
          <w:b/>
          <w:i w:val="0"/>
        </w:rPr>
        <w:t>FR-IND-004   Target amendments</w:t>
      </w:r>
      <w:bookmarkEnd w:id="72"/>
    </w:p>
    <w:p>
      <w:pPr>
        <w:keepNext/>
        <w:spacing w:after="60"/>
      </w:pPr>
      <w:r>
        <w:rPr>
          <w:b w:val="0"/>
          <w:i w:val="0"/>
          <w:sz w:val="19"/>
        </w:rPr>
        <w:t>Parent BR-IND-004   |   P0   |   R1</w:t>
      </w:r>
    </w:p>
    <w:p>
      <w:pPr>
        <w:spacing w:after="60"/>
      </w:pPr>
      <w:r>
        <w:rPr>
          <w:b/>
          <w:i w:val="0"/>
        </w:rPr>
        <w:t xml:space="preserve">Behaviour: </w:t>
      </w:r>
      <w:r>
        <w:rPr>
          <w:b w:val="0"/>
          <w:i w:val="0"/>
        </w:rPr>
        <w:t>Target amendment creates a proposed version with reason, effective date and affected periods. The review compares original, currently effective and proposed values. Approval retains all earlier versions and identifies any explicit restatement request.</w:t>
      </w:r>
    </w:p>
    <w:p>
      <w:pPr>
        <w:spacing w:after="60"/>
      </w:pPr>
      <w:r>
        <w:rPr>
          <w:b/>
          <w:i w:val="0"/>
        </w:rPr>
        <w:t xml:space="preserve">Validation and recovery: </w:t>
      </w:r>
      <w:r>
        <w:rPr>
          <w:b w:val="0"/>
          <w:i w:val="0"/>
        </w:rPr>
        <w:t>A new target never retrospectively changes a frozen report. A target effective after a locked quarter applies only prospectively unless a separately approved restatement chooses another comparison.</w:t>
      </w:r>
    </w:p>
    <w:p>
      <w:pPr>
        <w:spacing w:after="60"/>
      </w:pPr>
      <w:r>
        <w:rPr>
          <w:b/>
          <w:i w:val="0"/>
        </w:rPr>
        <w:t xml:space="preserve">Acceptance FT-IND-004: </w:t>
      </w:r>
      <w:r>
        <w:rPr>
          <w:b w:val="0"/>
          <w:i w:val="0"/>
        </w:rPr>
        <w:t>Change a quarter target from 1000 to 800 after lock; the original report remains against 1000 and a restated comparison is distinctly labelled.</w:t>
      </w:r>
    </w:p>
    <w:p>
      <w:bookmarkStart w:id="73" w:name="req_FR_IND_005"/>
      <w:pPr>
        <w:keepNext/>
        <w:spacing w:before="180" w:after="40"/>
      </w:pPr>
      <w:r>
        <w:rPr>
          <w:b/>
          <w:i w:val="0"/>
        </w:rPr>
        <w:t>FR-IND-005   Reporting periods</w:t>
      </w:r>
      <w:bookmarkEnd w:id="73"/>
    </w:p>
    <w:p>
      <w:pPr>
        <w:keepNext/>
        <w:spacing w:after="60"/>
      </w:pPr>
      <w:r>
        <w:rPr>
          <w:b w:val="0"/>
          <w:i w:val="0"/>
          <w:sz w:val="19"/>
        </w:rPr>
        <w:t>Parent BR-IND-005   |   P0   |   R1</w:t>
      </w:r>
    </w:p>
    <w:p>
      <w:pPr>
        <w:spacing w:after="60"/>
      </w:pPr>
      <w:r>
        <w:rPr>
          <w:b/>
          <w:i w:val="0"/>
        </w:rPr>
        <w:t xml:space="preserve">Behaviour: </w:t>
      </w:r>
      <w:r>
        <w:rPr>
          <w:b w:val="0"/>
          <w:i w:val="0"/>
        </w:rPr>
        <w:t>The calendar assigns observations using the chosen event date and reporting zone, with inclusive start and exclusive end. Receipt time determines timeliness, not period membership, unless the measurement contract explicitly uses receipt time.</w:t>
      </w:r>
    </w:p>
    <w:p>
      <w:pPr>
        <w:spacing w:after="60"/>
      </w:pPr>
      <w:r>
        <w:rPr>
          <w:b/>
          <w:i w:val="0"/>
        </w:rPr>
        <w:t xml:space="preserve">Validation and recovery: </w:t>
      </w:r>
      <w:r>
        <w:rPr>
          <w:b w:val="0"/>
          <w:i w:val="0"/>
        </w:rPr>
        <w:t>Overlapping analytical windows may reuse observations but cannot be summed as disjoint official periods. Late entry is flagged and locked periods route to restatement review.</w:t>
      </w:r>
    </w:p>
    <w:p>
      <w:pPr>
        <w:spacing w:after="60"/>
      </w:pPr>
      <w:r>
        <w:rPr>
          <w:b/>
          <w:i w:val="0"/>
        </w:rPr>
        <w:t xml:space="preserve">Acceptance FT-IND-005: </w:t>
      </w:r>
      <w:r>
        <w:rPr>
          <w:b w:val="0"/>
          <w:i w:val="0"/>
        </w:rPr>
        <w:t>An event exactly at midnight on the new quarter boundary belongs only to the new quarter, even when uploaded two days later.</w:t>
      </w:r>
    </w:p>
    <w:p>
      <w:bookmarkStart w:id="74" w:name="req_FR_IND_006"/>
      <w:pPr>
        <w:keepNext/>
        <w:spacing w:before="180" w:after="40"/>
      </w:pPr>
      <w:r>
        <w:rPr>
          <w:b/>
          <w:i w:val="0"/>
        </w:rPr>
        <w:t>FR-IND-006   Disaggregation dimensions</w:t>
      </w:r>
      <w:bookmarkEnd w:id="74"/>
    </w:p>
    <w:p>
      <w:pPr>
        <w:keepNext/>
        <w:spacing w:after="60"/>
      </w:pPr>
      <w:r>
        <w:rPr>
          <w:b w:val="0"/>
          <w:i w:val="0"/>
          <w:sz w:val="19"/>
        </w:rPr>
        <w:t>Parent BR-IND-006   |   P0   |   R1</w:t>
      </w:r>
    </w:p>
    <w:p>
      <w:pPr>
        <w:spacing w:after="60"/>
      </w:pPr>
      <w:r>
        <w:rPr>
          <w:b/>
          <w:i w:val="0"/>
        </w:rPr>
        <w:t xml:space="preserve">Behaviour: </w:t>
      </w:r>
      <w:r>
        <w:rPr>
          <w:b w:val="0"/>
          <w:i w:val="0"/>
        </w:rPr>
        <w:t>Dimension setup defines codes, labels, applicability, exclusivity and exhaustiveness. Missing, unknown and declined are explicit codes where appropriate. The submission stores dimension version and codes; a changed category scheme uses a reviewed crosswalk.</w:t>
      </w:r>
    </w:p>
    <w:p>
      <w:pPr>
        <w:spacing w:after="60"/>
      </w:pPr>
      <w:r>
        <w:rPr>
          <w:b/>
          <w:i w:val="0"/>
        </w:rPr>
        <w:t xml:space="preserve">Validation and recovery: </w:t>
      </w:r>
      <w:r>
        <w:rPr>
          <w:b w:val="0"/>
          <w:i w:val="0"/>
        </w:rPr>
        <w:t>Multiselect categories can count an entity several times across categories, so category sum is labelled nonadditive. Do not force overlapping categories to reconcile to unique reach.</w:t>
      </w:r>
    </w:p>
    <w:p>
      <w:pPr>
        <w:spacing w:after="60"/>
      </w:pPr>
      <w:r>
        <w:rPr>
          <w:b/>
          <w:i w:val="0"/>
        </w:rPr>
        <w:t xml:space="preserve">Acceptance FT-IND-006: </w:t>
      </w:r>
      <w:r>
        <w:rPr>
          <w:b w:val="0"/>
          <w:i w:val="0"/>
        </w:rPr>
        <w:t>One participant selects two service types; both categories count the event as defined and the unique participant total remains one.</w:t>
      </w:r>
    </w:p>
    <w:p>
      <w:bookmarkStart w:id="75" w:name="req_FR_IND_007"/>
      <w:pPr>
        <w:keepNext/>
        <w:spacing w:before="180" w:after="40"/>
      </w:pPr>
      <w:r>
        <w:rPr>
          <w:b/>
          <w:i w:val="0"/>
        </w:rPr>
        <w:t>FR-IND-007   Missing and exceptional values</w:t>
      </w:r>
      <w:bookmarkEnd w:id="75"/>
    </w:p>
    <w:p>
      <w:pPr>
        <w:keepNext/>
        <w:spacing w:after="60"/>
      </w:pPr>
      <w:r>
        <w:rPr>
          <w:b w:val="0"/>
          <w:i w:val="0"/>
          <w:sz w:val="19"/>
        </w:rPr>
        <w:t>Parent BR-IND-007   |   P0   |   R1</w:t>
      </w:r>
    </w:p>
    <w:p>
      <w:pPr>
        <w:spacing w:after="60"/>
      </w:pPr>
      <w:r>
        <w:rPr>
          <w:b/>
          <w:i w:val="0"/>
        </w:rPr>
        <w:t xml:space="preserve">Behaviour: </w:t>
      </w:r>
      <w:r>
        <w:rPr>
          <w:b w:val="0"/>
          <w:i w:val="0"/>
        </w:rPr>
        <w:t>Entry and import expose value state separately from numeric value, workflow status and disclosure status. Views use the matrix in section 4.2. Users must choose a reason for not collected or not applicable; eligibility rules govern denominator removal.</w:t>
      </w:r>
    </w:p>
    <w:p>
      <w:pPr>
        <w:spacing w:after="60"/>
      </w:pPr>
      <w:r>
        <w:rPr>
          <w:b/>
          <w:i w:val="0"/>
        </w:rPr>
        <w:t xml:space="preserve">Validation and recovery: </w:t>
      </w:r>
      <w:r>
        <w:rPr>
          <w:b w:val="0"/>
          <w:i w:val="0"/>
        </w:rPr>
        <w:t>A blank cell does not become zero. Suppression removes numeric payload from the disclosed result, while pending approval stays excluded from official totals.</w:t>
      </w:r>
    </w:p>
    <w:p>
      <w:pPr>
        <w:spacing w:after="60"/>
      </w:pPr>
      <w:r>
        <w:rPr>
          <w:b/>
          <w:i w:val="0"/>
        </w:rPr>
        <w:t xml:space="preserve">Acceptance FT-IND-007: </w:t>
      </w:r>
      <w:r>
        <w:rPr>
          <w:b w:val="0"/>
          <w:i w:val="0"/>
        </w:rPr>
        <w:t>Export zero, missing, not applicable, invalid and pending rows; each has a distinct machine code and matching human label.</w:t>
      </w:r>
    </w:p>
    <w:p>
      <w:bookmarkStart w:id="76" w:name="req_FR_IND_008"/>
      <w:pPr>
        <w:keepNext/>
        <w:spacing w:before="180" w:after="40"/>
      </w:pPr>
      <w:r>
        <w:rPr>
          <w:b/>
          <w:i w:val="0"/>
        </w:rPr>
        <w:t>FR-IND-008   Definition versioning</w:t>
      </w:r>
      <w:bookmarkEnd w:id="76"/>
    </w:p>
    <w:p>
      <w:pPr>
        <w:keepNext/>
        <w:spacing w:after="60"/>
      </w:pPr>
      <w:r>
        <w:rPr>
          <w:b w:val="0"/>
          <w:i w:val="0"/>
          <w:sz w:val="19"/>
        </w:rPr>
        <w:t>Parent BR-IND-008   |   P0   |   R1</w:t>
      </w:r>
    </w:p>
    <w:p>
      <w:pPr>
        <w:spacing w:after="60"/>
      </w:pPr>
      <w:r>
        <w:rPr>
          <w:b/>
          <w:i w:val="0"/>
        </w:rPr>
        <w:t xml:space="preserve">Behaviour: </w:t>
      </w:r>
      <w:r>
        <w:rPr>
          <w:b w:val="0"/>
          <w:i w:val="0"/>
        </w:rPr>
        <w:t>A material definition edit creates a child version and a comparison report identifying unit, population, source, method, dimensions and aggregation changes. The reviewer marks comparability as compatible, transformed by approved rule or broken.</w:t>
      </w:r>
    </w:p>
    <w:p>
      <w:pPr>
        <w:spacing w:after="60"/>
      </w:pPr>
      <w:r>
        <w:rPr>
          <w:b/>
          <w:i w:val="0"/>
        </w:rPr>
        <w:t xml:space="preserve">Validation and recovery: </w:t>
      </w:r>
      <w:r>
        <w:rPr>
          <w:b w:val="0"/>
          <w:i w:val="0"/>
        </w:rPr>
        <w:t>No continuous trend line or portfolio pool across broken versions without explicit qualified treatment. Cosmetic label corrections may retain semantic identity but remain audited.</w:t>
      </w:r>
    </w:p>
    <w:p>
      <w:pPr>
        <w:spacing w:after="60"/>
      </w:pPr>
      <w:r>
        <w:rPr>
          <w:b/>
          <w:i w:val="0"/>
        </w:rPr>
        <w:t xml:space="preserve">Acceptance FT-IND-008: </w:t>
      </w:r>
      <w:r>
        <w:rPr>
          <w:b w:val="0"/>
          <w:i w:val="0"/>
        </w:rPr>
        <w:t>Change households to people; the application blocks a combined total until a justified conversion or separate series is selected.</w:t>
      </w:r>
    </w:p>
    <w:p>
      <w:bookmarkStart w:id="77" w:name="req_FR_IND_009"/>
      <w:pPr>
        <w:keepNext/>
        <w:spacing w:before="180" w:after="40"/>
      </w:pPr>
      <w:r>
        <w:rPr>
          <w:b/>
          <w:i w:val="0"/>
        </w:rPr>
        <w:t>FR-IND-009   Indicator library reuse</w:t>
      </w:r>
      <w:bookmarkEnd w:id="77"/>
    </w:p>
    <w:p>
      <w:pPr>
        <w:keepNext/>
        <w:spacing w:after="60"/>
      </w:pPr>
      <w:r>
        <w:rPr>
          <w:b w:val="0"/>
          <w:i w:val="0"/>
          <w:sz w:val="19"/>
        </w:rPr>
        <w:t>Parent BR-IND-009   |   P1   |   R1</w:t>
      </w:r>
    </w:p>
    <w:p>
      <w:pPr>
        <w:spacing w:after="60"/>
      </w:pPr>
      <w:r>
        <w:rPr>
          <w:b/>
          <w:i w:val="0"/>
        </w:rPr>
        <w:t xml:space="preserve">Behaviour: </w:t>
      </w:r>
      <w:r>
        <w:rPr>
          <w:b w:val="0"/>
          <w:i w:val="0"/>
        </w:rPr>
        <w:t>Instantiating a library indicator pins the parent definition version and records local applicability, collection roles and permitted overrides. Adoption of a new library version previews comparability and reporting impact for each instance.</w:t>
      </w:r>
    </w:p>
    <w:p>
      <w:pPr>
        <w:spacing w:after="60"/>
      </w:pPr>
      <w:r>
        <w:rPr>
          <w:b/>
          <w:i w:val="0"/>
        </w:rPr>
        <w:t xml:space="preserve">Validation and recovery: </w:t>
      </w:r>
      <w:r>
        <w:rPr>
          <w:b w:val="0"/>
          <w:i w:val="0"/>
        </w:rPr>
        <w:t>Local changes to locked semantic fields create a distinct reviewed definition rather than pretending to retain exact standard equivalence.</w:t>
      </w:r>
    </w:p>
    <w:p>
      <w:pPr>
        <w:spacing w:after="60"/>
      </w:pPr>
      <w:r>
        <w:rPr>
          <w:b/>
          <w:i w:val="0"/>
        </w:rPr>
        <w:t xml:space="preserve">Acceptance FT-IND-009: </w:t>
      </w:r>
      <w:r>
        <w:rPr>
          <w:b w:val="0"/>
          <w:i w:val="0"/>
        </w:rPr>
        <w:t>Two projects pin version 1; only one adopts version 2 with a changed denominator, and the portfolio flags the mixed comparison.</w:t>
      </w:r>
    </w:p>
    <w:p>
      <w:bookmarkStart w:id="78" w:name="req_FR_IND_010"/>
      <w:pPr>
        <w:keepNext/>
        <w:spacing w:before="180" w:after="40"/>
      </w:pPr>
      <w:r>
        <w:rPr>
          <w:b/>
          <w:i w:val="0"/>
        </w:rPr>
        <w:t>FR-IND-010   Manual and calculated results</w:t>
      </w:r>
      <w:bookmarkEnd w:id="78"/>
    </w:p>
    <w:p>
      <w:pPr>
        <w:keepNext/>
        <w:spacing w:after="60"/>
      </w:pPr>
      <w:r>
        <w:rPr>
          <w:b w:val="0"/>
          <w:i w:val="0"/>
          <w:sz w:val="19"/>
        </w:rPr>
        <w:t>Parent BR-IND-010   |   P0   |   R1</w:t>
      </w:r>
    </w:p>
    <w:p>
      <w:pPr>
        <w:spacing w:after="60"/>
      </w:pPr>
      <w:r>
        <w:rPr>
          <w:b/>
          <w:i w:val="0"/>
        </w:rPr>
        <w:t xml:space="preserve">Behaviour: </w:t>
      </w:r>
      <w:r>
        <w:rPr>
          <w:b w:val="0"/>
          <w:i w:val="0"/>
        </w:rPr>
        <w:t>Actual mode is entered, imported, calculated or aggregated. Changing mode requires a new approved measurement version or amendment. A manual override records computed value, proposed replacement, period, reason and independent approval; views show both with the official selection.</w:t>
      </w:r>
    </w:p>
    <w:p>
      <w:pPr>
        <w:spacing w:after="60"/>
      </w:pPr>
      <w:r>
        <w:rPr>
          <w:b/>
          <w:i w:val="0"/>
        </w:rPr>
        <w:t xml:space="preserve">Validation and recovery: </w:t>
      </w:r>
      <w:r>
        <w:rPr>
          <w:b w:val="0"/>
          <w:i w:val="0"/>
        </w:rPr>
        <w:t>Import and API clients cannot overwrite a calculated result field. Removing an override restores the approved calculation through another attributable decision.</w:t>
      </w:r>
    </w:p>
    <w:p>
      <w:pPr>
        <w:spacing w:after="60"/>
      </w:pPr>
      <w:r>
        <w:rPr>
          <w:b/>
          <w:i w:val="0"/>
        </w:rPr>
        <w:t xml:space="preserve">Acceptance FT-IND-010: </w:t>
      </w:r>
      <w:r>
        <w:rPr>
          <w:b w:val="0"/>
          <w:i w:val="0"/>
        </w:rPr>
        <w:t>Computed value 94 is overridden to 90 after review; the report records the override and explanation while retaining the calculation of 94.</w:t>
      </w:r>
    </w:p>
    <w:p>
      <w:bookmarkStart w:id="79" w:name="req_FR_IND_011"/>
      <w:pPr>
        <w:keepNext/>
        <w:spacing w:before="180" w:after="40"/>
      </w:pPr>
      <w:r>
        <w:rPr>
          <w:b/>
          <w:i w:val="0"/>
        </w:rPr>
        <w:t>FR-IND-011   Evidence requirements</w:t>
      </w:r>
      <w:bookmarkEnd w:id="79"/>
    </w:p>
    <w:p>
      <w:pPr>
        <w:keepNext/>
        <w:spacing w:after="60"/>
      </w:pPr>
      <w:r>
        <w:rPr>
          <w:b w:val="0"/>
          <w:i w:val="0"/>
          <w:sz w:val="19"/>
        </w:rPr>
        <w:t>Parent BR-IND-011   |   P0   |   R1</w:t>
      </w:r>
    </w:p>
    <w:p>
      <w:pPr>
        <w:spacing w:after="60"/>
      </w:pPr>
      <w:r>
        <w:rPr>
          <w:b/>
          <w:i w:val="0"/>
        </w:rPr>
        <w:t xml:space="preserve">Behaviour: </w:t>
      </w:r>
      <w:r>
        <w:rPr>
          <w:b w:val="0"/>
          <w:i w:val="0"/>
        </w:rPr>
        <w:t>An evidence rule specifies permitted types, minimum count, source qualification and verification needed for approval. Submission checks attachment receipt and scan state; approval checks provenance and current availability. External evidence has last checked status and version reference.</w:t>
      </w:r>
    </w:p>
    <w:p>
      <w:pPr>
        <w:spacing w:after="60"/>
      </w:pPr>
      <w:r>
        <w:rPr>
          <w:b/>
          <w:i w:val="0"/>
        </w:rPr>
        <w:t xml:space="preserve">Validation and recovery: </w:t>
      </w:r>
      <w:r>
        <w:rPr>
          <w:b w:val="0"/>
          <w:i w:val="0"/>
        </w:rPr>
        <w:t>A dead URL or quarantined file does not satisfy a mandatory rule. Only a policy permitted evidence exception may proceed, with independent decision and visible caveat.</w:t>
      </w:r>
    </w:p>
    <w:p>
      <w:pPr>
        <w:spacing w:after="60"/>
      </w:pPr>
      <w:r>
        <w:rPr>
          <w:b/>
          <w:i w:val="0"/>
        </w:rPr>
        <w:t xml:space="preserve">Acceptance FT-IND-011: </w:t>
      </w:r>
      <w:r>
        <w:rPr>
          <w:b w:val="0"/>
          <w:i w:val="0"/>
        </w:rPr>
        <w:t>Submit achievement with one required survey file still quarantined; source receipt succeeds but approval stays blocked until the evidence is safe and verified.</w:t>
      </w:r>
    </w:p>
    <w:p>
      <w:bookmarkStart w:id="80" w:name="req_FR_IND_012"/>
      <w:pPr>
        <w:keepNext/>
        <w:spacing w:before="180" w:after="40"/>
      </w:pPr>
      <w:r>
        <w:rPr>
          <w:b/>
          <w:i w:val="0"/>
        </w:rPr>
        <w:t>FR-IND-012   Responsibility and collection schedule</w:t>
      </w:r>
      <w:bookmarkEnd w:id="80"/>
    </w:p>
    <w:p>
      <w:pPr>
        <w:keepNext/>
        <w:spacing w:after="60"/>
      </w:pPr>
      <w:r>
        <w:rPr>
          <w:b w:val="0"/>
          <w:i w:val="0"/>
          <w:sz w:val="19"/>
        </w:rPr>
        <w:t>Parent BR-IND-012   |   P0   |   R1</w:t>
      </w:r>
    </w:p>
    <w:p>
      <w:pPr>
        <w:spacing w:after="60"/>
      </w:pPr>
      <w:r>
        <w:rPr>
          <w:b/>
          <w:i w:val="0"/>
        </w:rPr>
        <w:t xml:space="preserve">Behaviour: </w:t>
      </w:r>
      <w:r>
        <w:rPr>
          <w:b w:val="0"/>
          <w:i w:val="0"/>
        </w:rPr>
        <w:t>An indicator schedule instantiates obligations for the active date range and assigns a collector, independent reviewer, due time and escalation owner. Assignment change previews open work and future obligations separately.</w:t>
      </w:r>
    </w:p>
    <w:p>
      <w:pPr>
        <w:spacing w:after="60"/>
      </w:pPr>
      <w:r>
        <w:rPr>
          <w:b/>
          <w:i w:val="0"/>
        </w:rPr>
        <w:t xml:space="preserve">Validation and recovery: </w:t>
      </w:r>
      <w:r>
        <w:rPr>
          <w:b w:val="0"/>
          <w:i w:val="0"/>
        </w:rPr>
        <w:t>Departure creates reassignment work; it never silently sends tasks to a revoked account or marks obligations complete. Historic owners remain attributed.</w:t>
      </w:r>
    </w:p>
    <w:p>
      <w:pPr>
        <w:spacing w:after="60"/>
      </w:pPr>
      <w:r>
        <w:rPr>
          <w:b/>
          <w:i w:val="0"/>
        </w:rPr>
        <w:t xml:space="preserve">Acceptance FT-IND-012: </w:t>
      </w:r>
      <w:r>
        <w:rPr>
          <w:b w:val="0"/>
          <w:i w:val="0"/>
        </w:rPr>
        <w:t>Suspend the collector one day before due; the manager sees an unassigned obligation and can appoint an eligible replacement.</w:t>
      </w:r>
    </w:p>
    <w:p>
      <w:bookmarkStart w:id="81" w:name="req_FR_IND_013"/>
      <w:pPr>
        <w:keepNext/>
        <w:spacing w:before="180" w:after="40"/>
      </w:pPr>
      <w:r>
        <w:rPr>
          <w:b/>
          <w:i w:val="0"/>
        </w:rPr>
        <w:t>FR-IND-013   Status and thresholds</w:t>
      </w:r>
      <w:bookmarkEnd w:id="81"/>
    </w:p>
    <w:p>
      <w:pPr>
        <w:keepNext/>
        <w:spacing w:after="60"/>
      </w:pPr>
      <w:r>
        <w:rPr>
          <w:b w:val="0"/>
          <w:i w:val="0"/>
          <w:sz w:val="19"/>
        </w:rPr>
        <w:t>Parent BR-IND-013   |   P1   |   R1</w:t>
      </w:r>
    </w:p>
    <w:p>
      <w:pPr>
        <w:spacing w:after="60"/>
      </w:pPr>
      <w:r>
        <w:rPr>
          <w:b/>
          <w:i w:val="0"/>
        </w:rPr>
        <w:t xml:space="preserve">Behaviour: </w:t>
      </w:r>
      <w:r>
        <w:rPr>
          <w:b w:val="0"/>
          <w:i w:val="0"/>
        </w:rPr>
        <w:t>Status rules declare direction, thresholds, tolerance, target reference and minimum freshness and coverage. Evaluate data adequacy first; stale or partial state remains visible even when a numeric threshold is achieved. Qualitative status requires a recorded reviewer assessment.</w:t>
      </w:r>
    </w:p>
    <w:p>
      <w:pPr>
        <w:spacing w:after="60"/>
      </w:pPr>
      <w:r>
        <w:rPr>
          <w:b/>
          <w:i w:val="0"/>
        </w:rPr>
        <w:t xml:space="preserve">Validation and recovery: </w:t>
      </w:r>
      <w:r>
        <w:rPr>
          <w:b w:val="0"/>
          <w:i w:val="0"/>
        </w:rPr>
        <w:t>Do not colour missing results green. Boundary equality follows the published rule, and an unauthorised viewer receives only permitted status context.</w:t>
      </w:r>
    </w:p>
    <w:p>
      <w:pPr>
        <w:spacing w:after="60"/>
      </w:pPr>
      <w:r>
        <w:rPr>
          <w:b/>
          <w:i w:val="0"/>
        </w:rPr>
        <w:t xml:space="preserve">Acceptance FT-IND-013: </w:t>
      </w:r>
      <w:r>
        <w:rPr>
          <w:b w:val="0"/>
          <w:i w:val="0"/>
        </w:rPr>
        <w:t>A lower-is-better measure at 8 against target 10 is achieved, but a missed refresh also displays stale and cannot trigger an unqualified success alert.</w:t>
      </w:r>
    </w:p>
    <w:p>
      <w:bookmarkStart w:id="82" w:name="req_FR_IND_014"/>
      <w:pPr>
        <w:keepNext/>
        <w:spacing w:before="180" w:after="40"/>
      </w:pPr>
      <w:r>
        <w:rPr>
          <w:b/>
          <w:i w:val="0"/>
        </w:rPr>
        <w:t>FR-IND-014   Retirement and replacement</w:t>
      </w:r>
      <w:bookmarkEnd w:id="82"/>
    </w:p>
    <w:p>
      <w:pPr>
        <w:keepNext/>
        <w:spacing w:after="60"/>
      </w:pPr>
      <w:r>
        <w:rPr>
          <w:b w:val="0"/>
          <w:i w:val="0"/>
          <w:sz w:val="19"/>
        </w:rPr>
        <w:t>Parent BR-IND-014   |   P0   |   R1</w:t>
      </w:r>
    </w:p>
    <w:p>
      <w:pPr>
        <w:spacing w:after="60"/>
      </w:pPr>
      <w:r>
        <w:rPr>
          <w:b/>
          <w:i w:val="0"/>
        </w:rPr>
        <w:t xml:space="preserve">Behaviour: </w:t>
      </w:r>
      <w:r>
        <w:rPr>
          <w:b w:val="0"/>
          <w:i w:val="0"/>
        </w:rPr>
        <w:t>Retirement proposes an effective date, replacement and continuity statement. Preview identifies future obligations, calculations, dashboard bindings and report templates. Approval stops new obligations after the date while preserving historical result lookup.</w:t>
      </w:r>
    </w:p>
    <w:p>
      <w:pPr>
        <w:spacing w:after="60"/>
      </w:pPr>
      <w:r>
        <w:rPr>
          <w:b/>
          <w:i w:val="0"/>
        </w:rPr>
        <w:t xml:space="preserve">Validation and recovery: </w:t>
      </w:r>
      <w:r>
        <w:rPr>
          <w:b w:val="0"/>
          <w:i w:val="0"/>
        </w:rPr>
        <w:t>A used definition cannot be hard deleted through retirement. Dependent future formulas must be migrated or explicitly left unavailable with an accountable remediation item.</w:t>
      </w:r>
    </w:p>
    <w:p>
      <w:pPr>
        <w:spacing w:after="60"/>
      </w:pPr>
      <w:r>
        <w:rPr>
          <w:b/>
          <w:i w:val="0"/>
        </w:rPr>
        <w:t xml:space="preserve">Acceptance FT-IND-014: </w:t>
      </w:r>
      <w:r>
        <w:rPr>
          <w:b w:val="0"/>
          <w:i w:val="0"/>
        </w:rPr>
        <w:t>Retire an indicator feeding a portfolio total; next period calculation blocks until its replacement rule is reviewed, while last year's report remains intact.</w:t>
      </w:r>
    </w:p>
    <w:p>
      <w:bookmarkStart w:id="83" w:name="req_FR_IND_015"/>
      <w:pPr>
        <w:keepNext/>
        <w:spacing w:before="180" w:after="40"/>
      </w:pPr>
      <w:r>
        <w:rPr>
          <w:b/>
          <w:i w:val="0"/>
        </w:rPr>
        <w:t>FR-IND-015   Reference sheets and dictionary export</w:t>
      </w:r>
      <w:bookmarkEnd w:id="83"/>
    </w:p>
    <w:p>
      <w:pPr>
        <w:keepNext/>
        <w:spacing w:after="60"/>
      </w:pPr>
      <w:r>
        <w:rPr>
          <w:b w:val="0"/>
          <w:i w:val="0"/>
          <w:sz w:val="19"/>
        </w:rPr>
        <w:t>Parent BR-IND-015   |   P1   |   R1</w:t>
      </w:r>
    </w:p>
    <w:p>
      <w:pPr>
        <w:spacing w:after="60"/>
      </w:pPr>
      <w:r>
        <w:rPr>
          <w:b/>
          <w:i w:val="0"/>
        </w:rPr>
        <w:t xml:space="preserve">Behaviour: </w:t>
      </w:r>
      <w:r>
        <w:rPr>
          <w:b w:val="0"/>
          <w:i w:val="0"/>
        </w:rPr>
        <w:t>Reference sheet export selects indicator versions and produces human readable definitions plus a machine readable dictionary. Include units, eligibility, dimensions, time semantic, formula, source, roles, missingness rules and version references.</w:t>
      </w:r>
    </w:p>
    <w:p>
      <w:pPr>
        <w:spacing w:after="60"/>
      </w:pPr>
      <w:r>
        <w:rPr>
          <w:b/>
          <w:i w:val="0"/>
        </w:rPr>
        <w:t xml:space="preserve">Validation and recovery: </w:t>
      </w:r>
      <w:r>
        <w:rPr>
          <w:b w:val="0"/>
          <w:i w:val="0"/>
        </w:rPr>
        <w:t>Restricted definitions or source names are redacted according to export scope and marked withheld. Display rounding must not replace calculation precision metadata.</w:t>
      </w:r>
    </w:p>
    <w:p>
      <w:pPr>
        <w:spacing w:after="60"/>
      </w:pPr>
      <w:r>
        <w:rPr>
          <w:b/>
          <w:i w:val="0"/>
        </w:rPr>
        <w:t xml:space="preserve">Acceptance FT-IND-015: </w:t>
      </w:r>
      <w:r>
        <w:rPr>
          <w:b w:val="0"/>
          <w:i w:val="0"/>
        </w:rPr>
        <w:t>An evaluator receives a ratio sheet and can identify numerator population, denominator, multiplier and period without consulting the application's private settings.</w:t>
      </w:r>
    </w:p>
    <w:p>
      <w:bookmarkStart w:id="84" w:name="sec_13"/>
      <w:pPr>
        <w:pStyle w:val="Heading1"/>
      </w:pPr>
      <w:r>
        <w:rPr>
          <w:b w:val="0"/>
          <w:i w:val="0"/>
        </w:rPr>
        <w:t>13 Deterministic calculations and reconciliation</w:t>
      </w:r>
      <w:bookmarkEnd w:id="84"/>
    </w:p>
    <w:p>
      <w:pPr>
        <w:spacing w:after="140"/>
      </w:pPr>
      <w:r>
        <w:rPr>
          <w:b w:val="0"/>
          <w:i/>
          <w:sz w:val="21"/>
        </w:rPr>
        <w:t>Primary actors: MEL administrator analyst and calculation reviewer. Interfaces: UI09 UI10 UI22. Logical entities: D07 D12 D13 D21 D27.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85" w:name="req_FR_CAL_001"/>
      <w:pPr>
        <w:keepNext/>
        <w:spacing w:before="180" w:after="40"/>
      </w:pPr>
      <w:r>
        <w:rPr>
          <w:b/>
          <w:i w:val="0"/>
        </w:rPr>
        <w:t>FR-CAL-001   Deterministic calculation</w:t>
      </w:r>
      <w:bookmarkEnd w:id="85"/>
    </w:p>
    <w:p>
      <w:pPr>
        <w:keepNext/>
        <w:spacing w:after="60"/>
      </w:pPr>
      <w:r>
        <w:rPr>
          <w:b w:val="0"/>
          <w:i w:val="0"/>
          <w:sz w:val="19"/>
        </w:rPr>
        <w:t>Parent BR-CAL-001   |   P0   |   R1</w:t>
      </w:r>
    </w:p>
    <w:p>
      <w:pPr>
        <w:spacing w:after="60"/>
      </w:pPr>
      <w:r>
        <w:rPr>
          <w:b/>
          <w:i w:val="0"/>
        </w:rPr>
        <w:t xml:space="preserve">Behaviour: </w:t>
      </w:r>
      <w:r>
        <w:rPr>
          <w:b w:val="0"/>
          <w:i w:val="0"/>
        </w:rPr>
        <w:t>A calculation run selects approved rule and source versions, creates an input manifest and evaluates the deterministic dependency graph. The result stores value state, precision, filters, coverage and execution identity. Explanations resolve each contributing result to its original source.</w:t>
      </w:r>
    </w:p>
    <w:p>
      <w:pPr>
        <w:spacing w:after="60"/>
      </w:pPr>
      <w:r>
        <w:rPr>
          <w:b/>
          <w:i w:val="0"/>
        </w:rPr>
        <w:t xml:space="preserve">Validation and recovery: </w:t>
      </w:r>
      <w:r>
        <w:rPr>
          <w:b w:val="0"/>
          <w:i w:val="0"/>
        </w:rPr>
        <w:t>An AI message cannot supply the authoritative value. A failed run leaves the prior result labelled stale and exposes failure rather than overwriting it with zero.</w:t>
      </w:r>
    </w:p>
    <w:p>
      <w:pPr>
        <w:spacing w:after="60"/>
      </w:pPr>
      <w:r>
        <w:rPr>
          <w:b/>
          <w:i w:val="0"/>
        </w:rPr>
        <w:t xml:space="preserve">Acceptance FT-CAL-001: </w:t>
      </w:r>
      <w:r>
        <w:rPr>
          <w:b w:val="0"/>
          <w:i w:val="0"/>
        </w:rPr>
        <w:t>Recompute a frozen ratio from exported inputs and the recorded formula; the raw decimal and displayed rounded output match exactly.</w:t>
      </w:r>
    </w:p>
    <w:p>
      <w:bookmarkStart w:id="86" w:name="req_FR_CAL_002"/>
      <w:pPr>
        <w:keepNext/>
        <w:spacing w:before="180" w:after="40"/>
      </w:pPr>
      <w:r>
        <w:rPr>
          <w:b/>
          <w:i w:val="0"/>
        </w:rPr>
        <w:t>FR-CAL-002   Type and unit compatibility</w:t>
      </w:r>
      <w:bookmarkEnd w:id="86"/>
    </w:p>
    <w:p>
      <w:pPr>
        <w:keepNext/>
        <w:spacing w:after="60"/>
      </w:pPr>
      <w:r>
        <w:rPr>
          <w:b w:val="0"/>
          <w:i w:val="0"/>
          <w:sz w:val="19"/>
        </w:rPr>
        <w:t>Parent BR-CAL-002   |   P0   |   R1</w:t>
      </w:r>
    </w:p>
    <w:p>
      <w:pPr>
        <w:spacing w:after="60"/>
      </w:pPr>
      <w:r>
        <w:rPr>
          <w:b/>
          <w:i w:val="0"/>
        </w:rPr>
        <w:t xml:space="preserve">Behaviour: </w:t>
      </w:r>
      <w:r>
        <w:rPr>
          <w:b w:val="0"/>
          <w:i w:val="0"/>
        </w:rPr>
        <w:t>Before execution, type checking compares measurement types, units, populations, period semantics, definitions and dimensions. A conversion references an approved version, direction and precision. Preview shows original and converted inputs.</w:t>
      </w:r>
    </w:p>
    <w:p>
      <w:pPr>
        <w:spacing w:after="60"/>
      </w:pPr>
      <w:r>
        <w:rPr>
          <w:b/>
          <w:i w:val="0"/>
        </w:rPr>
        <w:t xml:space="preserve">Validation and recovery: </w:t>
      </w:r>
      <w:r>
        <w:rPr>
          <w:b w:val="0"/>
          <w:i w:val="0"/>
        </w:rPr>
        <w:t>A numerical unit conversion cannot convert households into people without an approved population method and adequate source information. Similar labels never establish compatibility.</w:t>
      </w:r>
    </w:p>
    <w:p>
      <w:pPr>
        <w:spacing w:after="60"/>
      </w:pPr>
      <w:r>
        <w:rPr>
          <w:b/>
          <w:i w:val="0"/>
        </w:rPr>
        <w:t xml:space="preserve">Acceptance FT-CAL-002: </w:t>
      </w:r>
      <w:r>
        <w:rPr>
          <w:b w:val="0"/>
          <w:i w:val="0"/>
        </w:rPr>
        <w:t>Combine 1 hectare and 1 acre using an approved conversion; reject a people plus household total where no justified conversion exists.</w:t>
      </w:r>
    </w:p>
    <w:p>
      <w:bookmarkStart w:id="87" w:name="req_FR_CAL_003"/>
      <w:pPr>
        <w:keepNext/>
        <w:spacing w:before="180" w:after="40"/>
      </w:pPr>
      <w:r>
        <w:rPr>
          <w:b/>
          <w:i w:val="0"/>
        </w:rPr>
        <w:t>FR-CAL-003   Ratios rates and percentages</w:t>
      </w:r>
      <w:bookmarkEnd w:id="87"/>
    </w:p>
    <w:p>
      <w:pPr>
        <w:keepNext/>
        <w:spacing w:after="60"/>
      </w:pPr>
      <w:r>
        <w:rPr>
          <w:b w:val="0"/>
          <w:i w:val="0"/>
          <w:sz w:val="19"/>
        </w:rPr>
        <w:t>Parent BR-CAL-003   |   P0   |   R1</w:t>
      </w:r>
    </w:p>
    <w:p>
      <w:pPr>
        <w:spacing w:after="60"/>
      </w:pPr>
      <w:r>
        <w:rPr>
          <w:b/>
          <w:i w:val="0"/>
        </w:rPr>
        <w:t xml:space="preserve">Behaviour: </w:t>
      </w:r>
      <w:r>
        <w:rPr>
          <w:b w:val="0"/>
          <w:i w:val="0"/>
        </w:rPr>
        <w:t>Ratio rules retain eligible numerator and denominator quantities, apply the multiplier after pooling and disclose the weighting basis. Component records lacking the necessary quantities cannot contribute to a pooled ratio as if their percentages were sufficient.</w:t>
      </w:r>
    </w:p>
    <w:p>
      <w:pPr>
        <w:spacing w:after="60"/>
      </w:pPr>
      <w:r>
        <w:rPr>
          <w:b/>
          <w:i w:val="0"/>
        </w:rPr>
        <w:t xml:space="preserve">Validation and recovery: </w:t>
      </w:r>
      <w:r>
        <w:rPr>
          <w:b w:val="0"/>
          <w:i w:val="0"/>
        </w:rPr>
        <w:t>Zero pooled denominator gives UNDEFINED. An explicitly requested unweighted mean is a different labelled statistic and is not substituted for a pooled percentage.</w:t>
      </w:r>
    </w:p>
    <w:p>
      <w:pPr>
        <w:spacing w:after="60"/>
      </w:pPr>
      <w:r>
        <w:rPr>
          <w:b/>
          <w:i w:val="0"/>
        </w:rPr>
        <w:t xml:space="preserve">Acceptance FT-CAL-003: </w:t>
      </w:r>
      <w:r>
        <w:rPr>
          <w:b w:val="0"/>
          <w:i w:val="0"/>
        </w:rPr>
        <w:t>Pool 50 of 100 and 1 of 10: produce 51 of 110 and display 46.36 percent under two decimal rounding, never 30 percent.</w:t>
      </w:r>
    </w:p>
    <w:p>
      <w:bookmarkStart w:id="88" w:name="req_FR_CAL_004"/>
      <w:pPr>
        <w:keepNext/>
        <w:spacing w:before="180" w:after="40"/>
      </w:pPr>
      <w:r>
        <w:rPr>
          <w:b/>
          <w:i w:val="0"/>
        </w:rPr>
        <w:t>FR-CAL-004   Population overlap</w:t>
      </w:r>
      <w:bookmarkEnd w:id="88"/>
    </w:p>
    <w:p>
      <w:pPr>
        <w:keepNext/>
        <w:spacing w:after="60"/>
      </w:pPr>
      <w:r>
        <w:rPr>
          <w:b w:val="0"/>
          <w:i w:val="0"/>
          <w:sz w:val="19"/>
        </w:rPr>
        <w:t>Parent BR-CAL-004   |   P0   |   R1</w:t>
      </w:r>
    </w:p>
    <w:p>
      <w:pPr>
        <w:spacing w:after="60"/>
      </w:pPr>
      <w:r>
        <w:rPr>
          <w:b/>
          <w:i w:val="0"/>
        </w:rPr>
        <w:t xml:space="preserve">Behaviour: </w:t>
      </w:r>
      <w:r>
        <w:rPr>
          <w:b w:val="0"/>
          <w:i w:val="0"/>
        </w:rPr>
        <w:t>Unique reach declares entity type, population, time window and approved identity matching scope. Compute a union over permitted stable pseudonyms and record matched overlap. Aggregate-only inputs produce gross reach with overlap unknown unless a valid external deduplication method exists.</w:t>
      </w:r>
    </w:p>
    <w:p>
      <w:pPr>
        <w:spacing w:after="60"/>
      </w:pPr>
      <w:r>
        <w:rPr>
          <w:b/>
          <w:i w:val="0"/>
        </w:rPr>
        <w:t xml:space="preserve">Validation and recovery: </w:t>
      </w:r>
      <w:r>
        <w:rPr>
          <w:b w:val="0"/>
          <w:i w:val="0"/>
        </w:rPr>
        <w:t>No cross project or tenant matching merely because names are similar. Fuzzy candidate resolution requires reviewed evidence and permission before changing unique counts.</w:t>
      </w:r>
    </w:p>
    <w:p>
      <w:pPr>
        <w:spacing w:after="60"/>
      </w:pPr>
      <w:r>
        <w:rPr>
          <w:b/>
          <w:i w:val="0"/>
        </w:rPr>
        <w:t xml:space="preserve">Acceptance FT-CAL-004: </w:t>
      </w:r>
      <w:r>
        <w:rPr>
          <w:b w:val="0"/>
          <w:i w:val="0"/>
        </w:rPr>
        <w:t>Two approved sets of 100 with 20 shared authorised identities produce 180; the same aggregate-only inputs produce gross 200 with unknown overlap.</w:t>
      </w:r>
    </w:p>
    <w:p>
      <w:bookmarkStart w:id="89" w:name="req_FR_CAL_005"/>
      <w:pPr>
        <w:keepNext/>
        <w:spacing w:before="180" w:after="40"/>
      </w:pPr>
      <w:r>
        <w:rPr>
          <w:b/>
          <w:i w:val="0"/>
        </w:rPr>
        <w:t>FR-CAL-005   Time aggregation semantics</w:t>
      </w:r>
      <w:bookmarkEnd w:id="89"/>
    </w:p>
    <w:p>
      <w:pPr>
        <w:keepNext/>
        <w:spacing w:after="60"/>
      </w:pPr>
      <w:r>
        <w:rPr>
          <w:b w:val="0"/>
          <w:i w:val="0"/>
          <w:sz w:val="19"/>
        </w:rPr>
        <w:t>Parent BR-CAL-005   |   P0   |   R1</w:t>
      </w:r>
    </w:p>
    <w:p>
      <w:pPr>
        <w:spacing w:after="60"/>
      </w:pPr>
      <w:r>
        <w:rPr>
          <w:b/>
          <w:i w:val="0"/>
        </w:rPr>
        <w:t xml:space="preserve">Behaviour: </w:t>
      </w:r>
      <w:r>
        <w:rPr>
          <w:b w:val="0"/>
          <w:i w:val="0"/>
        </w:rPr>
        <w:t>Time semantic selects flow sum, latest eligible stock, event count or approved cumulative difference. For snapshots, specify maximum permissible age and tie resolution. Cumulative declines require a correction or reset event with defined treatment.</w:t>
      </w:r>
    </w:p>
    <w:p>
      <w:pPr>
        <w:spacing w:after="60"/>
      </w:pPr>
      <w:r>
        <w:rPr>
          <w:b/>
          <w:i w:val="0"/>
        </w:rPr>
        <w:t xml:space="preserve">Validation and recovery: </w:t>
      </w:r>
      <w:r>
        <w:rPr>
          <w:b w:val="0"/>
          <w:i w:val="0"/>
        </w:rPr>
        <w:t>Never sum monthly cumulative totals by default. A missing starting cumulative value prevents an exact period increment unless the approved method supplies a justified baseline.</w:t>
      </w:r>
    </w:p>
    <w:p>
      <w:pPr>
        <w:spacing w:after="60"/>
      </w:pPr>
      <w:r>
        <w:rPr>
          <w:b/>
          <w:i w:val="0"/>
        </w:rPr>
        <w:t xml:space="preserve">Acceptance FT-CAL-005: </w:t>
      </w:r>
      <w:r>
        <w:rPr>
          <w:b w:val="0"/>
          <w:i w:val="0"/>
        </w:rPr>
        <w:t>For 10, 15 and 20 cumulative positions report end value 20; increments are 10, 5 and 5 only when a zero starting baseline is established.</w:t>
      </w:r>
    </w:p>
    <w:p>
      <w:bookmarkStart w:id="90" w:name="req_FR_CAL_006"/>
      <w:pPr>
        <w:keepNext/>
        <w:spacing w:before="180" w:after="40"/>
      </w:pPr>
      <w:r>
        <w:rPr>
          <w:b/>
          <w:i w:val="0"/>
        </w:rPr>
        <w:t>FR-CAL-006   Hierarchical aggregation</w:t>
      </w:r>
      <w:bookmarkEnd w:id="90"/>
    </w:p>
    <w:p>
      <w:pPr>
        <w:keepNext/>
        <w:spacing w:after="60"/>
      </w:pPr>
      <w:r>
        <w:rPr>
          <w:b w:val="0"/>
          <w:i w:val="0"/>
          <w:sz w:val="19"/>
        </w:rPr>
        <w:t>Parent BR-CAL-006   |   P0   |   R1</w:t>
      </w:r>
    </w:p>
    <w:p>
      <w:pPr>
        <w:spacing w:after="60"/>
      </w:pPr>
      <w:r>
        <w:rPr>
          <w:b/>
          <w:i w:val="0"/>
        </w:rPr>
        <w:t xml:space="preserve">Behaviour: </w:t>
      </w:r>
      <w:r>
        <w:rPr>
          <w:b w:val="0"/>
          <w:i w:val="0"/>
        </w:rPr>
        <w:t>Every aggregation edge identifies contribution, combination rule and attribution scope. Validation detects cycles and repeated source identities along multiple paths. Parent evaluation deduplicates eligible contributions where the contract defines a unique union, or blocks ambiguous additive duplication.</w:t>
      </w:r>
    </w:p>
    <w:p>
      <w:pPr>
        <w:spacing w:after="60"/>
      </w:pPr>
      <w:r>
        <w:rPr>
          <w:b/>
          <w:i w:val="0"/>
        </w:rPr>
        <w:t xml:space="preserve">Validation and recovery: </w:t>
      </w:r>
      <w:r>
        <w:rPr>
          <w:b w:val="0"/>
          <w:i w:val="0"/>
        </w:rPr>
        <w:t>A repeated path cannot be resolved by silently halving a value. Weighted allocations require explicit weights and reconciliation. At least ten reporting levels are qualified.</w:t>
      </w:r>
    </w:p>
    <w:p>
      <w:pPr>
        <w:spacing w:after="60"/>
      </w:pPr>
      <w:r>
        <w:rPr>
          <w:b/>
          <w:i w:val="0"/>
        </w:rPr>
        <w:t xml:space="preserve">Acceptance FT-CAL-006: </w:t>
      </w:r>
      <w:r>
        <w:rPr>
          <w:b w:val="0"/>
          <w:i w:val="0"/>
        </w:rPr>
        <w:t>A source contributes 7 through two intermediate totals; a unique parent includes 7 once and a newly added reverse edge is rejected as cyclic.</w:t>
      </w:r>
    </w:p>
    <w:p>
      <w:bookmarkStart w:id="91" w:name="req_FR_CAL_007"/>
      <w:pPr>
        <w:keepNext/>
        <w:spacing w:before="180" w:after="40"/>
      </w:pPr>
      <w:r>
        <w:rPr>
          <w:b/>
          <w:i w:val="0"/>
        </w:rPr>
        <w:t>FR-CAL-007   Dimension alignment</w:t>
      </w:r>
      <w:bookmarkEnd w:id="91"/>
    </w:p>
    <w:p>
      <w:pPr>
        <w:keepNext/>
        <w:spacing w:after="60"/>
      </w:pPr>
      <w:r>
        <w:rPr>
          <w:b w:val="0"/>
          <w:i w:val="0"/>
          <w:sz w:val="19"/>
        </w:rPr>
        <w:t>Parent BR-CAL-007   |   P0   |   R1</w:t>
      </w:r>
    </w:p>
    <w:p>
      <w:pPr>
        <w:spacing w:after="60"/>
      </w:pPr>
      <w:r>
        <w:rPr>
          <w:b/>
          <w:i w:val="0"/>
        </w:rPr>
        <w:t xml:space="preserve">Behaviour: </w:t>
      </w:r>
      <w:r>
        <w:rPr>
          <w:b w:val="0"/>
          <w:i w:val="0"/>
        </w:rPr>
        <w:t>A category crosswalk records source and target versions, mapping type and information loss. Exact mapping, many to one pooling and approved proportional allocation are distinct. Preview reports unmapped and suppressed contributions.</w:t>
      </w:r>
    </w:p>
    <w:p>
      <w:pPr>
        <w:spacing w:after="60"/>
      </w:pPr>
      <w:r>
        <w:rPr>
          <w:b/>
          <w:i w:val="0"/>
        </w:rPr>
        <w:t xml:space="preserve">Validation and recovery: </w:t>
      </w:r>
      <w:r>
        <w:rPr>
          <w:b w:val="0"/>
          <w:i w:val="0"/>
        </w:rPr>
        <w:t>Do not split a broad age band into narrower exact bands without underlying ages or a declared estimation method. Unknown does not silently map to another category.</w:t>
      </w:r>
    </w:p>
    <w:p>
      <w:pPr>
        <w:spacing w:after="60"/>
      </w:pPr>
      <w:r>
        <w:rPr>
          <w:b/>
          <w:i w:val="0"/>
        </w:rPr>
        <w:t xml:space="preserve">Acceptance FT-CAL-007: </w:t>
      </w:r>
      <w:r>
        <w:rPr>
          <w:b w:val="0"/>
          <w:i w:val="0"/>
        </w:rPr>
        <w:t>Attempt to convert ages 0 to 17 into 0 to 14 from one aggregate; exact transformation is blocked and the unresolved coverage remains visible.</w:t>
      </w:r>
    </w:p>
    <w:p>
      <w:bookmarkStart w:id="92" w:name="req_FR_CAL_008"/>
      <w:pPr>
        <w:keepNext/>
        <w:spacing w:before="180" w:after="40"/>
      </w:pPr>
      <w:r>
        <w:rPr>
          <w:b/>
          <w:i w:val="0"/>
        </w:rPr>
        <w:t>FR-CAL-008   Missingness and coverage</w:t>
      </w:r>
      <w:bookmarkEnd w:id="92"/>
    </w:p>
    <w:p>
      <w:pPr>
        <w:keepNext/>
        <w:spacing w:after="60"/>
      </w:pPr>
      <w:r>
        <w:rPr>
          <w:b w:val="0"/>
          <w:i w:val="0"/>
          <w:sz w:val="19"/>
        </w:rPr>
        <w:t>Parent BR-CAL-008   |   P0   |   R1</w:t>
      </w:r>
    </w:p>
    <w:p>
      <w:pPr>
        <w:spacing w:after="60"/>
      </w:pPr>
      <w:r>
        <w:rPr>
          <w:b/>
          <w:i w:val="0"/>
        </w:rPr>
        <w:t xml:space="preserve">Behaviour: </w:t>
      </w:r>
      <w:r>
        <w:rPr>
          <w:b w:val="0"/>
          <w:i w:val="0"/>
        </w:rPr>
        <w:t>The obligation snapshot determines the expected contributor set for the period. Results count received, valid and approved contributors separately. Official sums use approved eligible values and attach partial status when mandatory contributors are absent.</w:t>
      </w:r>
    </w:p>
    <w:p>
      <w:pPr>
        <w:spacing w:after="60"/>
      </w:pPr>
      <w:r>
        <w:rPr>
          <w:b/>
          <w:i w:val="0"/>
        </w:rPr>
        <w:t xml:space="preserve">Validation and recovery: </w:t>
      </w:r>
      <w:r>
        <w:rPr>
          <w:b w:val="0"/>
          <w:i w:val="0"/>
        </w:rPr>
        <w:t>A partner retired today remains expected in a prior period where its obligation was active. Not applicable removes an obligation only through approved eligibility evidence.</w:t>
      </w:r>
    </w:p>
    <w:p>
      <w:pPr>
        <w:spacing w:after="60"/>
      </w:pPr>
      <w:r>
        <w:rPr>
          <w:b/>
          <w:i w:val="0"/>
        </w:rPr>
        <w:t xml:space="preserve">Acceptance FT-CAL-008: </w:t>
      </w:r>
      <w:r>
        <w:rPr>
          <w:b w:val="0"/>
          <w:i w:val="0"/>
        </w:rPr>
        <w:t>Five expected partners, three approved, one pending and one missing yield 60 percent approval coverage and distinct pending and missing counts.</w:t>
      </w:r>
    </w:p>
    <w:p>
      <w:bookmarkStart w:id="93" w:name="req_FR_CAL_009"/>
      <w:pPr>
        <w:keepNext/>
        <w:spacing w:before="180" w:after="40"/>
      </w:pPr>
      <w:r>
        <w:rPr>
          <w:b/>
          <w:i w:val="0"/>
        </w:rPr>
        <w:t>FR-CAL-009   Precision and rounding</w:t>
      </w:r>
      <w:bookmarkEnd w:id="93"/>
    </w:p>
    <w:p>
      <w:pPr>
        <w:keepNext/>
        <w:spacing w:after="60"/>
      </w:pPr>
      <w:r>
        <w:rPr>
          <w:b w:val="0"/>
          <w:i w:val="0"/>
          <w:sz w:val="19"/>
        </w:rPr>
        <w:t>Parent BR-CAL-009   |   P0   |   R1</w:t>
      </w:r>
    </w:p>
    <w:p>
      <w:pPr>
        <w:spacing w:after="60"/>
      </w:pPr>
      <w:r>
        <w:rPr>
          <w:b/>
          <w:i w:val="0"/>
        </w:rPr>
        <w:t xml:space="preserve">Behaviour: </w:t>
      </w:r>
      <w:r>
        <w:rPr>
          <w:b w:val="0"/>
          <w:i w:val="0"/>
        </w:rPr>
        <w:t>Rules declare input scale, calculation precision, rounding mode and display decimals. Intermediate arithmetic retains sufficient precision for the qualified maximum workload. Round only at the specified output boundary; export contains a raw decimal string and display metadata where applicable.</w:t>
      </w:r>
    </w:p>
    <w:p>
      <w:pPr>
        <w:spacing w:after="60"/>
      </w:pPr>
      <w:r>
        <w:rPr>
          <w:b/>
          <w:i w:val="0"/>
        </w:rPr>
        <w:t xml:space="preserve">Validation and recovery: </w:t>
      </w:r>
      <w:r>
        <w:rPr>
          <w:b w:val="0"/>
          <w:i w:val="0"/>
        </w:rPr>
        <w:t>Do not use display rounded values as new source inputs. Large identifiers are never converted to numbers, and counts beyond qualified numeric range produce an explicit limit error.</w:t>
      </w:r>
    </w:p>
    <w:p>
      <w:pPr>
        <w:spacing w:after="60"/>
      </w:pPr>
      <w:r>
        <w:rPr>
          <w:b/>
          <w:i w:val="0"/>
        </w:rPr>
        <w:t xml:space="preserve">Acceptance FT-CAL-009: </w:t>
      </w:r>
      <w:r>
        <w:rPr>
          <w:b w:val="0"/>
          <w:i w:val="0"/>
        </w:rPr>
        <w:t>Sum three values 0.335 before rounding to two decimals: 1.005 becomes 1.01 with half up; document why rounded components would sum differently.</w:t>
      </w:r>
    </w:p>
    <w:p>
      <w:bookmarkStart w:id="94" w:name="req_FR_CAL_010"/>
      <w:pPr>
        <w:keepNext/>
        <w:spacing w:before="180" w:after="40"/>
      </w:pPr>
      <w:r>
        <w:rPr>
          <w:b/>
          <w:i w:val="0"/>
        </w:rPr>
        <w:t>FR-CAL-010   Zero denominators and invalid inputs</w:t>
      </w:r>
      <w:bookmarkEnd w:id="94"/>
    </w:p>
    <w:p>
      <w:pPr>
        <w:keepNext/>
        <w:spacing w:after="60"/>
      </w:pPr>
      <w:r>
        <w:rPr>
          <w:b w:val="0"/>
          <w:i w:val="0"/>
          <w:sz w:val="19"/>
        </w:rPr>
        <w:t>Parent BR-CAL-010   |   P0   |   R1</w:t>
      </w:r>
    </w:p>
    <w:p>
      <w:pPr>
        <w:spacing w:after="60"/>
      </w:pPr>
      <w:r>
        <w:rPr>
          <w:b/>
          <w:i w:val="0"/>
        </w:rPr>
        <w:t xml:space="preserve">Behaviour: </w:t>
      </w:r>
      <w:r>
        <w:rPr>
          <w:b w:val="0"/>
          <w:i w:val="0"/>
        </w:rPr>
        <w:t>Validation rejects nonfinite inputs, impossible dates and incompatible sign conventions before calculation. A ratio with zero denominator returns UNDEFINED and a reason. Negative adjustments require an approved adjustment measure or correction contract.</w:t>
      </w:r>
    </w:p>
    <w:p>
      <w:pPr>
        <w:spacing w:after="60"/>
      </w:pPr>
      <w:r>
        <w:rPr>
          <w:b/>
          <w:i w:val="0"/>
        </w:rPr>
        <w:t xml:space="preserve">Validation and recovery: </w:t>
      </w:r>
      <w:r>
        <w:rPr>
          <w:b w:val="0"/>
          <w:i w:val="0"/>
        </w:rPr>
        <w:t>An eligible count cannot become negative merely because a spreadsheet contains a refund-like value. Percentages outside bounds require explicit valid semantics, not automatic clipping.</w:t>
      </w:r>
    </w:p>
    <w:p>
      <w:pPr>
        <w:spacing w:after="60"/>
      </w:pPr>
      <w:r>
        <w:rPr>
          <w:b/>
          <w:i w:val="0"/>
        </w:rPr>
        <w:t xml:space="preserve">Acceptance FT-CAL-010: </w:t>
      </w:r>
      <w:r>
        <w:rPr>
          <w:b w:val="0"/>
          <w:i w:val="0"/>
        </w:rPr>
        <w:t>Submit negative two participants and divide 5 by 0; the first is invalid and the second undefined, with neither displayed as a successful zero.</w:t>
      </w:r>
    </w:p>
    <w:p>
      <w:bookmarkStart w:id="95" w:name="req_FR_CAL_011"/>
      <w:pPr>
        <w:keepNext/>
        <w:spacing w:before="180" w:after="40"/>
      </w:pPr>
      <w:r>
        <w:rPr>
          <w:b/>
          <w:i w:val="0"/>
        </w:rPr>
        <w:t>FR-CAL-011   Corrections and recalculation</w:t>
      </w:r>
      <w:bookmarkEnd w:id="95"/>
    </w:p>
    <w:p>
      <w:pPr>
        <w:keepNext/>
        <w:spacing w:after="60"/>
      </w:pPr>
      <w:r>
        <w:rPr>
          <w:b w:val="0"/>
          <w:i w:val="0"/>
          <w:sz w:val="19"/>
        </w:rPr>
        <w:t>Parent BR-CAL-011   |   P0   |   R1</w:t>
      </w:r>
    </w:p>
    <w:p>
      <w:pPr>
        <w:spacing w:after="60"/>
      </w:pPr>
      <w:r>
        <w:rPr>
          <w:b/>
          <w:i w:val="0"/>
        </w:rPr>
        <w:t xml:space="preserve">Behaviour: </w:t>
      </w:r>
      <w:r>
        <w:rPr>
          <w:b w:val="0"/>
          <w:i w:val="0"/>
        </w:rPr>
        <w:t>An approved source correction identifies downstream definitions, result periods, dashboards and unpublished reports. Recalculation creates new result versions and updates live bindings after completion. Published snapshots remain bound to their original manifest.</w:t>
      </w:r>
    </w:p>
    <w:p>
      <w:pPr>
        <w:spacing w:after="60"/>
      </w:pPr>
      <w:r>
        <w:rPr>
          <w:b/>
          <w:i w:val="0"/>
        </w:rPr>
        <w:t xml:space="preserve">Validation and recovery: </w:t>
      </w:r>
      <w:r>
        <w:rPr>
          <w:b w:val="0"/>
          <w:i w:val="0"/>
        </w:rPr>
        <w:t>A failed downstream run exposes stale status and does not partially present a mixed official snapshot. Restatement is a separate approved operation; retry preserves one intended new result per input version.</w:t>
      </w:r>
    </w:p>
    <w:p>
      <w:pPr>
        <w:spacing w:after="60"/>
      </w:pPr>
      <w:r>
        <w:rPr>
          <w:b/>
          <w:i w:val="0"/>
        </w:rPr>
        <w:t xml:space="preserve">Acceptance FT-CAL-011: </w:t>
      </w:r>
      <w:r>
        <w:rPr>
          <w:b w:val="0"/>
          <w:i w:val="0"/>
        </w:rPr>
        <w:t>Correct one imported numerator and verify current ratio updates while the published quarterly PDF remains the original version until restated.</w:t>
      </w:r>
    </w:p>
    <w:p>
      <w:bookmarkStart w:id="96" w:name="req_FR_CAL_012"/>
      <w:pPr>
        <w:keepNext/>
        <w:spacing w:before="180" w:after="40"/>
      </w:pPr>
      <w:r>
        <w:rPr>
          <w:b/>
          <w:i w:val="0"/>
        </w:rPr>
        <w:t>FR-CAL-012   Formula authoring and validation</w:t>
      </w:r>
      <w:bookmarkEnd w:id="96"/>
    </w:p>
    <w:p>
      <w:pPr>
        <w:keepNext/>
        <w:spacing w:after="60"/>
      </w:pPr>
      <w:r>
        <w:rPr>
          <w:b w:val="0"/>
          <w:i w:val="0"/>
          <w:sz w:val="19"/>
        </w:rPr>
        <w:t>Parent BR-CAL-012   |   P0   |   R1</w:t>
      </w:r>
    </w:p>
    <w:p>
      <w:pPr>
        <w:spacing w:after="60"/>
      </w:pPr>
      <w:r>
        <w:rPr>
          <w:b/>
          <w:i w:val="0"/>
        </w:rPr>
        <w:t xml:space="preserve">Behaviour: </w:t>
      </w:r>
      <w:r>
        <w:rPr>
          <w:b w:val="0"/>
          <w:i w:val="0"/>
        </w:rPr>
        <w:t>Formula authoring uses typed references and a bounded function catalogue: arithmetic, approved filters, count, sum, min, max, ratio and eligible distinct count in R1. Preview validates permissions, dependency cycles, units and sample outputs before review.</w:t>
      </w:r>
    </w:p>
    <w:p>
      <w:pPr>
        <w:spacing w:after="60"/>
      </w:pPr>
      <w:r>
        <w:rPr>
          <w:b/>
          <w:i w:val="0"/>
        </w:rPr>
        <w:t xml:space="preserve">Validation and recovery: </w:t>
      </w:r>
      <w:r>
        <w:rPr>
          <w:b w:val="0"/>
          <w:i w:val="0"/>
        </w:rPr>
        <w:t>No arbitrary scripts, network access, filesystem references or dynamically broadened queries. Division and missingness follow the calculation contract; unsupported functions fail at validation.</w:t>
      </w:r>
    </w:p>
    <w:p>
      <w:pPr>
        <w:spacing w:after="60"/>
      </w:pPr>
      <w:r>
        <w:rPr>
          <w:b/>
          <w:i w:val="0"/>
        </w:rPr>
        <w:t xml:space="preserve">Acceptance FT-CAL-012: </w:t>
      </w:r>
      <w:r>
        <w:rPr>
          <w:b w:val="0"/>
          <w:i w:val="0"/>
        </w:rPr>
        <w:t>Enter a formula referencing an inaccessible field, a circular indicator and an external URL call; each is rejected before activation.</w:t>
      </w:r>
    </w:p>
    <w:p>
      <w:bookmarkStart w:id="97" w:name="req_FR_CAL_013"/>
      <w:pPr>
        <w:keepNext/>
        <w:spacing w:before="180" w:after="40"/>
      </w:pPr>
      <w:r>
        <w:rPr>
          <w:b/>
          <w:i w:val="0"/>
        </w:rPr>
        <w:t>FR-CAL-013   Weighted and composite indicators</w:t>
      </w:r>
      <w:bookmarkEnd w:id="97"/>
    </w:p>
    <w:p>
      <w:pPr>
        <w:keepNext/>
        <w:spacing w:after="60"/>
      </w:pPr>
      <w:r>
        <w:rPr>
          <w:b w:val="0"/>
          <w:i w:val="0"/>
          <w:sz w:val="19"/>
        </w:rPr>
        <w:t>Parent BR-CAL-013   |   P1   |   R2</w:t>
      </w:r>
    </w:p>
    <w:p>
      <w:pPr>
        <w:spacing w:after="60"/>
      </w:pPr>
      <w:r>
        <w:rPr>
          <w:b/>
          <w:i w:val="0"/>
        </w:rPr>
        <w:t xml:space="preserve">Behaviour: </w:t>
      </w:r>
      <w:r>
        <w:rPr>
          <w:b w:val="0"/>
          <w:i w:val="0"/>
        </w:rPr>
        <w:t>Composite setup specifies components, normalisation, weight scale, missing component policy and interpretation. Preview shows contribution of each component and sensitivity to proposed weights. Approval pins the complete configuration and source versions.</w:t>
      </w:r>
    </w:p>
    <w:p>
      <w:pPr>
        <w:spacing w:after="60"/>
      </w:pPr>
      <w:r>
        <w:rPr>
          <w:b/>
          <w:i w:val="0"/>
        </w:rPr>
        <w:t xml:space="preserve">Validation and recovery: </w:t>
      </w:r>
      <w:r>
        <w:rPr>
          <w:b w:val="0"/>
          <w:i w:val="0"/>
        </w:rPr>
        <w:t>Weights sum to one for a normalised weighted mean. Missing required components block or return an explicitly incomplete score; renormalisation is permitted only when the approved rule declares it.</w:t>
      </w:r>
    </w:p>
    <w:p>
      <w:pPr>
        <w:spacing w:after="60"/>
      </w:pPr>
      <w:r>
        <w:rPr>
          <w:b/>
          <w:i w:val="0"/>
        </w:rPr>
        <w:t xml:space="preserve">Acceptance FT-CAL-013: </w:t>
      </w:r>
      <w:r>
        <w:rPr>
          <w:b w:val="0"/>
          <w:i w:val="0"/>
        </w:rPr>
        <w:t>Scores 60 and 80 with weights 0.4 and 0.6 produce 72; changing weights creates a new version and leaves the old score reproducible.</w:t>
      </w:r>
    </w:p>
    <w:p>
      <w:bookmarkStart w:id="98" w:name="req_FR_CAL_014"/>
      <w:pPr>
        <w:keepNext/>
        <w:spacing w:before="180" w:after="40"/>
      </w:pPr>
      <w:r>
        <w:rPr>
          <w:b/>
          <w:i w:val="0"/>
        </w:rPr>
        <w:t>FR-CAL-014   Cross portfolio attribution</w:t>
      </w:r>
      <w:bookmarkEnd w:id="98"/>
    </w:p>
    <w:p>
      <w:pPr>
        <w:keepNext/>
        <w:spacing w:after="60"/>
      </w:pPr>
      <w:r>
        <w:rPr>
          <w:b w:val="0"/>
          <w:i w:val="0"/>
          <w:sz w:val="19"/>
        </w:rPr>
        <w:t>Parent BR-CAL-014   |   P0   |   R1</w:t>
      </w:r>
    </w:p>
    <w:p>
      <w:pPr>
        <w:spacing w:after="60"/>
      </w:pPr>
      <w:r>
        <w:rPr>
          <w:b/>
          <w:i w:val="0"/>
        </w:rPr>
        <w:t xml:space="preserve">Behaviour: </w:t>
      </w:r>
      <w:r>
        <w:rPr>
          <w:b w:val="0"/>
          <w:i w:val="0"/>
        </w:rPr>
        <w:t>Portfolio membership is a view relation. Organisation-wide counting uses the unique underlying project or result identity. An allocation view applies separately approved attribution shares with a declared basis and remainder policy.</w:t>
      </w:r>
    </w:p>
    <w:p>
      <w:pPr>
        <w:spacing w:after="60"/>
      </w:pPr>
      <w:r>
        <w:rPr>
          <w:b/>
          <w:i w:val="0"/>
        </w:rPr>
        <w:t xml:space="preserve">Validation and recovery: </w:t>
      </w:r>
      <w:r>
        <w:rPr>
          <w:b w:val="0"/>
          <w:i w:val="0"/>
        </w:rPr>
        <w:t>Funding share does not imply causal impact ownership. Shares that exceed the source total are rejected unless the view is explicitly nonadditive and labelled.</w:t>
      </w:r>
    </w:p>
    <w:p>
      <w:pPr>
        <w:spacing w:after="60"/>
      </w:pPr>
      <w:r>
        <w:rPr>
          <w:b/>
          <w:i w:val="0"/>
        </w:rPr>
        <w:t xml:space="preserve">Acceptance FT-CAL-014: </w:t>
      </w:r>
      <w:r>
        <w:rPr>
          <w:b w:val="0"/>
          <w:i w:val="0"/>
        </w:rPr>
        <w:t>Project P belongs to health and education portfolios; each may show P, while the organisation unique project count stays one.</w:t>
      </w:r>
    </w:p>
    <w:p>
      <w:bookmarkStart w:id="99" w:name="req_FR_CAL_015"/>
      <w:pPr>
        <w:keepNext/>
        <w:spacing w:before="180" w:after="40"/>
      </w:pPr>
      <w:r>
        <w:rPr>
          <w:b/>
          <w:i w:val="0"/>
        </w:rPr>
        <w:t>FR-CAL-015   Reconciliation and explainability</w:t>
      </w:r>
      <w:bookmarkEnd w:id="99"/>
    </w:p>
    <w:p>
      <w:pPr>
        <w:keepNext/>
        <w:spacing w:after="60"/>
      </w:pPr>
      <w:r>
        <w:rPr>
          <w:b w:val="0"/>
          <w:i w:val="0"/>
          <w:sz w:val="19"/>
        </w:rPr>
        <w:t>Parent BR-CAL-015   |   P0   |   R1</w:t>
      </w:r>
    </w:p>
    <w:p>
      <w:pPr>
        <w:spacing w:after="60"/>
      </w:pPr>
      <w:r>
        <w:rPr>
          <w:b/>
          <w:i w:val="0"/>
        </w:rPr>
        <w:t xml:space="preserve">Behaviour: </w:t>
      </w:r>
      <w:r>
        <w:rPr>
          <w:b w:val="0"/>
          <w:i w:val="0"/>
        </w:rPr>
        <w:t>The explanation view shows rule version, source set, included and excluded counts, adjustments, coverage and approval. Comparing runs classifies differences into source, rule, period, target, permission or disclosure changes.</w:t>
      </w:r>
    </w:p>
    <w:p>
      <w:pPr>
        <w:spacing w:after="60"/>
      </w:pPr>
      <w:r>
        <w:rPr>
          <w:b/>
          <w:i w:val="0"/>
        </w:rPr>
        <w:t xml:space="preserve">Validation and recovery: </w:t>
      </w:r>
      <w:r>
        <w:rPr>
          <w:b w:val="0"/>
          <w:i w:val="0"/>
        </w:rPr>
        <w:t>A viewer cannot use reconciliation to inspect restricted excluded records; show permitted aggregates or withheld references. Numerical differences must reconcile to stated causes before report approval.</w:t>
      </w:r>
    </w:p>
    <w:p>
      <w:pPr>
        <w:spacing w:after="60"/>
      </w:pPr>
      <w:r>
        <w:rPr>
          <w:b/>
          <w:i w:val="0"/>
        </w:rPr>
        <w:t xml:space="preserve">Acceptance FT-CAL-015: </w:t>
      </w:r>
      <w:r>
        <w:rPr>
          <w:b w:val="0"/>
          <w:i w:val="0"/>
        </w:rPr>
        <w:t>Change one source value and one filter, compare runs and identify the separate effect of each rather than reporting one unexplained total difference.</w:t>
      </w:r>
    </w:p>
    <w:p>
      <w:bookmarkStart w:id="100" w:name="req_FR_CAL_016"/>
      <w:pPr>
        <w:keepNext/>
        <w:spacing w:before="180" w:after="40"/>
      </w:pPr>
      <w:r>
        <w:rPr>
          <w:b/>
          <w:i w:val="0"/>
        </w:rPr>
        <w:t>FR-CAL-016   Statistical interpretation</w:t>
      </w:r>
      <w:bookmarkEnd w:id="100"/>
    </w:p>
    <w:p>
      <w:pPr>
        <w:keepNext/>
        <w:spacing w:after="60"/>
      </w:pPr>
      <w:r>
        <w:rPr>
          <w:b w:val="0"/>
          <w:i w:val="0"/>
          <w:sz w:val="19"/>
        </w:rPr>
        <w:t>Parent BR-CAL-016   |   P1   |   R2</w:t>
      </w:r>
    </w:p>
    <w:p>
      <w:pPr>
        <w:spacing w:after="60"/>
      </w:pPr>
      <w:r>
        <w:rPr>
          <w:b/>
          <w:i w:val="0"/>
        </w:rPr>
        <w:t xml:space="preserve">Behaviour: </w:t>
      </w:r>
      <w:r>
        <w:rPr>
          <w:b w:val="0"/>
          <w:i w:val="0"/>
        </w:rPr>
        <w:t>A statistical output selects method, sample basis, weights, uncertainty and eligible observations. The result package contains calculation metadata and limitations. Pooling requires sufficient compatible raw values or valid sufficient statistics for the chosen method.</w:t>
      </w:r>
    </w:p>
    <w:p>
      <w:pPr>
        <w:spacing w:after="60"/>
      </w:pPr>
      <w:r>
        <w:rPr>
          <w:b/>
          <w:i w:val="0"/>
        </w:rPr>
        <w:t xml:space="preserve">Validation and recovery: </w:t>
      </w:r>
      <w:r>
        <w:rPr>
          <w:b w:val="0"/>
          <w:i w:val="0"/>
        </w:rPr>
        <w:t>A mean of medians is labelled as that statistic, never a pooled median. Sample estimates are not population counts without a reviewed expansion method.</w:t>
      </w:r>
    </w:p>
    <w:p>
      <w:pPr>
        <w:spacing w:after="60"/>
      </w:pPr>
      <w:r>
        <w:rPr>
          <w:b/>
          <w:i w:val="0"/>
        </w:rPr>
        <w:t xml:space="preserve">Acceptance FT-CAL-016: </w:t>
      </w:r>
      <w:r>
        <w:rPr>
          <w:b w:val="0"/>
          <w:i w:val="0"/>
        </w:rPr>
        <w:t>Groups with raw values 1, 2, 100 and 3, 4 combine to median 3; subgroup medians alone cannot reproduce that claim reliably.</w:t>
      </w:r>
    </w:p>
    <w:p>
      <w:bookmarkStart w:id="101" w:name="sec_14"/>
      <w:pPr>
        <w:pStyle w:val="Heading1"/>
      </w:pPr>
      <w:r>
        <w:rPr>
          <w:b w:val="0"/>
          <w:i w:val="0"/>
        </w:rPr>
        <w:t>14 Forms surveys and collection rounds</w:t>
      </w:r>
      <w:bookmarkEnd w:id="101"/>
    </w:p>
    <w:p>
      <w:pPr>
        <w:spacing w:after="140"/>
      </w:pPr>
      <w:r>
        <w:rPr>
          <w:b w:val="0"/>
          <w:i/>
          <w:sz w:val="21"/>
        </w:rPr>
        <w:t>Primary actors: Instrument owner supervisor and collector. Interfaces: UI11 UI12 UI13. Logical entities: D14 D15 D16 D17 D20.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02" w:name="req_FR_FRM_001"/>
      <w:pPr>
        <w:keepNext/>
        <w:spacing w:before="180" w:after="40"/>
      </w:pPr>
      <w:r>
        <w:rPr>
          <w:b/>
          <w:i w:val="0"/>
        </w:rPr>
        <w:t>FR-FRM-001   Form builder</w:t>
      </w:r>
      <w:bookmarkEnd w:id="102"/>
    </w:p>
    <w:p>
      <w:pPr>
        <w:keepNext/>
        <w:spacing w:after="60"/>
      </w:pPr>
      <w:r>
        <w:rPr>
          <w:b w:val="0"/>
          <w:i w:val="0"/>
          <w:sz w:val="19"/>
        </w:rPr>
        <w:t>Parent BR-FRM-001   |   P0   |   R1</w:t>
      </w:r>
    </w:p>
    <w:p>
      <w:pPr>
        <w:spacing w:after="60"/>
      </w:pPr>
      <w:r>
        <w:rPr>
          <w:b/>
          <w:i w:val="0"/>
        </w:rPr>
        <w:t xml:space="preserve">Behaviour: </w:t>
      </w:r>
      <w:r>
        <w:rPr>
          <w:b w:val="0"/>
          <w:i w:val="0"/>
        </w:rPr>
        <w:t>The builder assigns stable field IDs and selects type, label, help, classification and validation. Groups and repeat groups have explicit child schemas. Preview supports desktop and mobile and displays the effective form version. Submitting for review locks the schema and starts the approval workflow.</w:t>
      </w:r>
    </w:p>
    <w:p>
      <w:pPr>
        <w:spacing w:after="60"/>
      </w:pPr>
      <w:r>
        <w:rPr>
          <w:b/>
          <w:i w:val="0"/>
        </w:rPr>
        <w:t xml:space="preserve">Validation and recovery: </w:t>
      </w:r>
      <w:r>
        <w:rPr>
          <w:b w:val="0"/>
          <w:i w:val="0"/>
        </w:rPr>
        <w:t>Qualify 200 questions and 100 repeat entries; the declared limit applies to repeat instances per submission and nesting is limited to two levels in R1. Unsupported combinations are rejected before publishing.</w:t>
      </w:r>
    </w:p>
    <w:p>
      <w:pPr>
        <w:spacing w:after="60"/>
      </w:pPr>
      <w:r>
        <w:rPr>
          <w:b/>
          <w:i w:val="0"/>
        </w:rPr>
        <w:t xml:space="preserve">Acceptance FT-FRM-001: </w:t>
      </w:r>
      <w:r>
        <w:rPr>
          <w:b w:val="0"/>
          <w:i w:val="0"/>
        </w:rPr>
        <w:t>Build a household form with three members, an optional photo and a calculated age; all child responses retain their parent and stable field codes.</w:t>
      </w:r>
    </w:p>
    <w:p>
      <w:bookmarkStart w:id="103" w:name="req_FR_FRM_002"/>
      <w:pPr>
        <w:keepNext/>
        <w:spacing w:before="180" w:after="40"/>
      </w:pPr>
      <w:r>
        <w:rPr>
          <w:b/>
          <w:i w:val="0"/>
        </w:rPr>
        <w:t>FR-FRM-002   Conditional logic and validation</w:t>
      </w:r>
      <w:bookmarkEnd w:id="103"/>
    </w:p>
    <w:p>
      <w:pPr>
        <w:keepNext/>
        <w:spacing w:after="60"/>
      </w:pPr>
      <w:r>
        <w:rPr>
          <w:b w:val="0"/>
          <w:i w:val="0"/>
          <w:sz w:val="19"/>
        </w:rPr>
        <w:t>Parent BR-FRM-002   |   P0   |   R1</w:t>
      </w:r>
    </w:p>
    <w:p>
      <w:pPr>
        <w:spacing w:after="60"/>
      </w:pPr>
      <w:r>
        <w:rPr>
          <w:b/>
          <w:i w:val="0"/>
        </w:rPr>
        <w:t xml:space="preserve">Behaviour: </w:t>
      </w:r>
      <w:r>
        <w:rPr>
          <w:b w:val="0"/>
          <w:i w:val="0"/>
        </w:rPr>
        <w:t>Relevance and required rules use typed field references and a bounded expression catalogue. Changing an upstream answer recalculates downstream state in dependency order. Default behaviour clears newly irrelevant values after a visible confirmation; explicitly retained hidden values are excluded from calculations unless the approved schema says otherwise.</w:t>
      </w:r>
    </w:p>
    <w:p>
      <w:pPr>
        <w:spacing w:after="60"/>
      </w:pPr>
      <w:r>
        <w:rPr>
          <w:b/>
          <w:i w:val="0"/>
        </w:rPr>
        <w:t xml:space="preserve">Validation and recovery: </w:t>
      </w:r>
      <w:r>
        <w:rPr>
          <w:b w:val="0"/>
          <w:i w:val="0"/>
        </w:rPr>
        <w:t>Server checks the same versioned rules. Reject cycles and references to inaccessible fields. A client cannot submit a hidden required answer to bypass relevance policy.</w:t>
      </w:r>
    </w:p>
    <w:p>
      <w:pPr>
        <w:spacing w:after="60"/>
      </w:pPr>
      <w:r>
        <w:rPr>
          <w:b/>
          <w:i w:val="0"/>
        </w:rPr>
        <w:t xml:space="preserve">Acceptance FT-FRM-002: </w:t>
      </w:r>
      <w:r>
        <w:rPr>
          <w:b w:val="0"/>
          <w:i w:val="0"/>
        </w:rPr>
        <w:t>Change pregnancy relevance from yes to no; dependent fields clear under the declared policy and a tampered payload containing disallowed answers is rejected.</w:t>
      </w:r>
    </w:p>
    <w:p>
      <w:bookmarkStart w:id="104" w:name="req_FR_FRM_003"/>
      <w:pPr>
        <w:keepNext/>
        <w:spacing w:before="180" w:after="40"/>
      </w:pPr>
      <w:r>
        <w:rPr>
          <w:b/>
          <w:i w:val="0"/>
        </w:rPr>
        <w:t>FR-FRM-003   Form lifecycle and compatibility</w:t>
      </w:r>
      <w:bookmarkEnd w:id="104"/>
    </w:p>
    <w:p>
      <w:pPr>
        <w:keepNext/>
        <w:spacing w:after="60"/>
      </w:pPr>
      <w:r>
        <w:rPr>
          <w:b w:val="0"/>
          <w:i w:val="0"/>
          <w:sz w:val="19"/>
        </w:rPr>
        <w:t>Parent BR-FRM-003   |   P0   |   R1</w:t>
      </w:r>
    </w:p>
    <w:p>
      <w:pPr>
        <w:spacing w:after="60"/>
      </w:pPr>
      <w:r>
        <w:rPr>
          <w:b/>
          <w:i w:val="0"/>
        </w:rPr>
        <w:t xml:space="preserve">Behaviour: </w:t>
      </w:r>
      <w:r>
        <w:rPr>
          <w:b w:val="0"/>
          <w:i w:val="0"/>
        </w:rPr>
        <w:t>A form moves through draft, isolated test, independent review and publication. A new published version declares compatibility with earlier versions and an acceptance cutoff. Submissions retain the exact form and translation version used at capture.</w:t>
      </w:r>
    </w:p>
    <w:p>
      <w:pPr>
        <w:spacing w:after="60"/>
      </w:pPr>
      <w:r>
        <w:rPr>
          <w:b/>
          <w:i w:val="0"/>
        </w:rPr>
        <w:t xml:space="preserve">Validation and recovery: </w:t>
      </w:r>
      <w:r>
        <w:rPr>
          <w:b w:val="0"/>
          <w:i w:val="0"/>
        </w:rPr>
        <w:t>Additive optional changes may accept older versions; changed mandatory or semantic rules quarantine older submissions for reviewed mapping. Revoked unsafe forms are rejected as live collection instruments.</w:t>
      </w:r>
    </w:p>
    <w:p>
      <w:pPr>
        <w:spacing w:after="60"/>
      </w:pPr>
      <w:r>
        <w:rPr>
          <w:b/>
          <w:i w:val="0"/>
        </w:rPr>
        <w:t xml:space="preserve">Acceptance FT-FRM-003: </w:t>
      </w:r>
      <w:r>
        <w:rPr>
          <w:b w:val="0"/>
          <w:i w:val="0"/>
        </w:rPr>
        <w:t>Publish a new mandatory question while an older package is offline; reconnect preserves the original submission and quarantines it rather than inventing the answer.</w:t>
      </w:r>
    </w:p>
    <w:p>
      <w:bookmarkStart w:id="105" w:name="req_FR_FRM_004"/>
      <w:pPr>
        <w:keepNext/>
        <w:spacing w:before="180" w:after="40"/>
      </w:pPr>
      <w:r>
        <w:rPr>
          <w:b/>
          <w:i w:val="0"/>
        </w:rPr>
        <w:t>FR-FRM-004   Multilingual instruments</w:t>
      </w:r>
      <w:bookmarkEnd w:id="105"/>
    </w:p>
    <w:p>
      <w:pPr>
        <w:keepNext/>
        <w:spacing w:after="60"/>
      </w:pPr>
      <w:r>
        <w:rPr>
          <w:b w:val="0"/>
          <w:i w:val="0"/>
          <w:sz w:val="19"/>
        </w:rPr>
        <w:t>Parent BR-FRM-004   |   P1   |   R1</w:t>
      </w:r>
    </w:p>
    <w:p>
      <w:pPr>
        <w:spacing w:after="60"/>
      </w:pPr>
      <w:r>
        <w:rPr>
          <w:b/>
          <w:i w:val="0"/>
        </w:rPr>
        <w:t xml:space="preserve">Behaviour: </w:t>
      </w:r>
      <w:r>
        <w:rPr>
          <w:b w:val="0"/>
          <w:i w:val="0"/>
        </w:rPr>
        <w:t>Each field and choice has a stable code and language specific labels. The translator sees missing and machine proposed translations. Review approves a language version separately; a released form records its approved language set.</w:t>
      </w:r>
    </w:p>
    <w:p>
      <w:pPr>
        <w:spacing w:after="60"/>
      </w:pPr>
      <w:r>
        <w:rPr>
          <w:b/>
          <w:i w:val="0"/>
        </w:rPr>
        <w:t xml:space="preserve">Validation and recovery: </w:t>
      </w:r>
      <w:r>
        <w:rPr>
          <w:b w:val="0"/>
          <w:i w:val="0"/>
        </w:rPr>
        <w:t>Fallback text is explicit and cannot silently change choice codes. Critical consent text requires approved translation in the selected collection language; otherwise collection in that language is blocked.</w:t>
      </w:r>
    </w:p>
    <w:p>
      <w:pPr>
        <w:spacing w:after="60"/>
      </w:pPr>
      <w:r>
        <w:rPr>
          <w:b/>
          <w:i w:val="0"/>
        </w:rPr>
        <w:t xml:space="preserve">Acceptance FT-FRM-004: </w:t>
      </w:r>
      <w:r>
        <w:rPr>
          <w:b w:val="0"/>
          <w:i w:val="0"/>
        </w:rPr>
        <w:t>Submit the same choice in English and Hindi; both map to one stable response code and retain the language presented to the respondent.</w:t>
      </w:r>
    </w:p>
    <w:p>
      <w:bookmarkStart w:id="106" w:name="req_FR_FRM_005"/>
      <w:pPr>
        <w:keepNext/>
        <w:spacing w:before="180" w:after="40"/>
      </w:pPr>
      <w:r>
        <w:rPr>
          <w:b/>
          <w:i w:val="0"/>
        </w:rPr>
        <w:t>FR-FRM-005   Collection rounds and assignments</w:t>
      </w:r>
      <w:bookmarkEnd w:id="106"/>
    </w:p>
    <w:p>
      <w:pPr>
        <w:keepNext/>
        <w:spacing w:after="60"/>
      </w:pPr>
      <w:r>
        <w:rPr>
          <w:b w:val="0"/>
          <w:i w:val="0"/>
          <w:sz w:val="19"/>
        </w:rPr>
        <w:t>Parent BR-FRM-005   |   P0   |   R1</w:t>
      </w:r>
    </w:p>
    <w:p>
      <w:pPr>
        <w:spacing w:after="60"/>
      </w:pPr>
      <w:r>
        <w:rPr>
          <w:b/>
          <w:i w:val="0"/>
        </w:rPr>
        <w:t xml:space="preserve">Behaviour: </w:t>
      </w:r>
      <w:r>
        <w:rPr>
          <w:b w:val="0"/>
          <w:i w:val="0"/>
        </w:rPr>
        <w:t>A supervisor defines a round, eligible frame, form version, dates and expected assignments. Task creation produces one stable assignment per sampled unit and visit. Reassignment changes assignee with history; sample replacement records original and substitute with reason.</w:t>
      </w:r>
    </w:p>
    <w:p>
      <w:pPr>
        <w:spacing w:after="60"/>
      </w:pPr>
      <w:r>
        <w:rPr>
          <w:b/>
          <w:i w:val="0"/>
        </w:rPr>
        <w:t xml:space="preserve">Validation and recovery: </w:t>
      </w:r>
      <w:r>
        <w:rPr>
          <w:b w:val="0"/>
          <w:i w:val="0"/>
        </w:rPr>
        <w:t>No automatic expansion from assigned sample to full registry. Replacement does not erase nonresponse or increase the intended denominator silently.</w:t>
      </w:r>
    </w:p>
    <w:p>
      <w:pPr>
        <w:spacing w:after="60"/>
      </w:pPr>
      <w:r>
        <w:rPr>
          <w:b/>
          <w:i w:val="0"/>
        </w:rPr>
        <w:t xml:space="preserve">Acceptance FT-FRM-005: </w:t>
      </w:r>
      <w:r>
        <w:rPr>
          <w:b w:val="0"/>
          <w:i w:val="0"/>
        </w:rPr>
        <w:t>Reassign a household visit from collector A to B; the old assignment cannot produce an extra eligible completed visit after B submits.</w:t>
      </w:r>
    </w:p>
    <w:p>
      <w:bookmarkStart w:id="107" w:name="req_FR_FRM_006"/>
      <w:pPr>
        <w:keepNext/>
        <w:spacing w:before="180" w:after="40"/>
      </w:pPr>
      <w:r>
        <w:rPr>
          <w:b/>
          <w:i w:val="0"/>
        </w:rPr>
        <w:t>FR-FRM-006   Save resume and correction</w:t>
      </w:r>
      <w:bookmarkEnd w:id="107"/>
    </w:p>
    <w:p>
      <w:pPr>
        <w:keepNext/>
        <w:spacing w:after="60"/>
      </w:pPr>
      <w:r>
        <w:rPr>
          <w:b w:val="0"/>
          <w:i w:val="0"/>
          <w:sz w:val="19"/>
        </w:rPr>
        <w:t>Parent BR-FRM-006   |   P0   |   R1</w:t>
      </w:r>
    </w:p>
    <w:p>
      <w:pPr>
        <w:spacing w:after="60"/>
      </w:pPr>
      <w:r>
        <w:rPr>
          <w:b/>
          <w:i w:val="0"/>
        </w:rPr>
        <w:t xml:space="preserve">Behaviour: </w:t>
      </w:r>
      <w:r>
        <w:rPr>
          <w:b w:val="0"/>
          <w:i w:val="0"/>
        </w:rPr>
        <w:t>The collector may save a local or server draft and sees which occurred. Resume restores the same submission identity and form version. Submit runs validation, confirms intended finality and returns a receipt; returned work starts a linked correction revision.</w:t>
      </w:r>
    </w:p>
    <w:p>
      <w:pPr>
        <w:spacing w:after="60"/>
      </w:pPr>
      <w:r>
        <w:rPr>
          <w:b/>
          <w:i w:val="0"/>
        </w:rPr>
        <w:t xml:space="preserve">Validation and recovery: </w:t>
      </w:r>
      <w:r>
        <w:rPr>
          <w:b w:val="0"/>
          <w:i w:val="0"/>
        </w:rPr>
        <w:t>Repeated taps reuse operation identity. Closing a browser with unsaved changes warns; a server timeout enters confirmation pending, not a new submission.</w:t>
      </w:r>
    </w:p>
    <w:p>
      <w:pPr>
        <w:spacing w:after="60"/>
      </w:pPr>
      <w:r>
        <w:rPr>
          <w:b/>
          <w:i w:val="0"/>
        </w:rPr>
        <w:t xml:space="preserve">Acceptance FT-FRM-006: </w:t>
      </w:r>
      <w:r>
        <w:rPr>
          <w:b w:val="0"/>
          <w:i w:val="0"/>
        </w:rPr>
        <w:t>Interrupt during final submit, reopen and retry; the receipt resolves to one submission and the local draft remains until server acceptance is confirmed.</w:t>
      </w:r>
    </w:p>
    <w:p>
      <w:bookmarkStart w:id="108" w:name="req_FR_FRM_007"/>
      <w:pPr>
        <w:keepNext/>
        <w:spacing w:before="180" w:after="40"/>
      </w:pPr>
      <w:r>
        <w:rPr>
          <w:b/>
          <w:i w:val="0"/>
        </w:rPr>
        <w:t>FR-FRM-007   Media and location evidence</w:t>
      </w:r>
      <w:bookmarkEnd w:id="108"/>
    </w:p>
    <w:p>
      <w:pPr>
        <w:keepNext/>
        <w:spacing w:after="60"/>
      </w:pPr>
      <w:r>
        <w:rPr>
          <w:b w:val="0"/>
          <w:i w:val="0"/>
          <w:sz w:val="19"/>
        </w:rPr>
        <w:t>Parent BR-FRM-007   |   P1   |   R1</w:t>
      </w:r>
    </w:p>
    <w:p>
      <w:pPr>
        <w:spacing w:after="60"/>
      </w:pPr>
      <w:r>
        <w:rPr>
          <w:b/>
          <w:i w:val="0"/>
        </w:rPr>
        <w:t xml:space="preserve">Behaviour: </w:t>
      </w:r>
      <w:r>
        <w:rPr>
          <w:b w:val="0"/>
          <w:i w:val="0"/>
        </w:rPr>
        <w:t>Media capture displays necessity, consent and size limits before recording. Each attachment has upload progress, safety state and evidence requirement. Optional GPS refusal records unavailable or declined; mandatory justified GPS follows an explicit exception path.</w:t>
      </w:r>
    </w:p>
    <w:p>
      <w:pPr>
        <w:spacing w:after="60"/>
      </w:pPr>
      <w:r>
        <w:rPr>
          <w:b/>
          <w:i w:val="0"/>
        </w:rPr>
        <w:t xml:space="preserve">Validation and recovery: </w:t>
      </w:r>
      <w:r>
        <w:rPr>
          <w:b w:val="0"/>
          <w:i w:val="0"/>
        </w:rPr>
        <w:t>Strip prohibited embedded metadata before approved disclosure while retaining permitted source provenance. Scanning incomplete or unsafe files prevents evidence completeness and approval.</w:t>
      </w:r>
    </w:p>
    <w:p>
      <w:pPr>
        <w:spacing w:after="60"/>
      </w:pPr>
      <w:r>
        <w:rPr>
          <w:b/>
          <w:i w:val="0"/>
        </w:rPr>
        <w:t xml:space="preserve">Acceptance FT-FRM-007: </w:t>
      </w:r>
      <w:r>
        <w:rPr>
          <w:b w:val="0"/>
          <w:i w:val="0"/>
        </w:rPr>
        <w:t>Upload a photo with embedded coordinates while location disclosure is prohibited; the external artifact contains no recoverable coordinate metadata.</w:t>
      </w:r>
    </w:p>
    <w:p>
      <w:bookmarkStart w:id="109" w:name="req_FR_FRM_008"/>
      <w:pPr>
        <w:keepNext/>
        <w:spacing w:before="180" w:after="40"/>
      </w:pPr>
      <w:r>
        <w:rPr>
          <w:b/>
          <w:i w:val="0"/>
        </w:rPr>
        <w:t>FR-FRM-008   Respondent and public forms</w:t>
      </w:r>
      <w:bookmarkEnd w:id="109"/>
    </w:p>
    <w:p>
      <w:pPr>
        <w:keepNext/>
        <w:spacing w:after="60"/>
      </w:pPr>
      <w:r>
        <w:rPr>
          <w:b w:val="0"/>
          <w:i w:val="0"/>
          <w:sz w:val="19"/>
        </w:rPr>
        <w:t>Parent BR-FRM-008   |   P1   |   R2</w:t>
      </w:r>
    </w:p>
    <w:p>
      <w:pPr>
        <w:spacing w:after="60"/>
      </w:pPr>
      <w:r>
        <w:rPr>
          <w:b/>
          <w:i w:val="0"/>
        </w:rPr>
        <w:t xml:space="preserve">Behaviour: </w:t>
      </w:r>
      <w:r>
        <w:rPr>
          <w:b w:val="0"/>
          <w:i w:val="0"/>
        </w:rPr>
        <w:t>Self completion uses a public form or a scoped single response token with notice, expiry and permitted resume behaviour. The form exposes no participant directory. Default token permits one final submission and optional authenticated or token bound draft resume until expiry.</w:t>
      </w:r>
    </w:p>
    <w:p>
      <w:pPr>
        <w:spacing w:after="60"/>
      </w:pPr>
      <w:r>
        <w:rPr>
          <w:b/>
          <w:i w:val="0"/>
        </w:rPr>
        <w:t xml:space="preserve">Validation and recovery: </w:t>
      </w:r>
      <w:r>
        <w:rPr>
          <w:b w:val="0"/>
          <w:i w:val="0"/>
        </w:rPr>
        <w:t>Apply accessible abuse controls and rate limits. Receipt confirms successful submission without returning other respondents' details. Token replay cannot create duplicate results.</w:t>
      </w:r>
    </w:p>
    <w:p>
      <w:pPr>
        <w:spacing w:after="60"/>
      </w:pPr>
      <w:r>
        <w:rPr>
          <w:b/>
          <w:i w:val="0"/>
        </w:rPr>
        <w:t xml:space="preserve">Acceptance FT-FRM-008: </w:t>
      </w:r>
      <w:r>
        <w:rPr>
          <w:b w:val="0"/>
          <w:i w:val="0"/>
        </w:rPr>
        <w:t>Submit once with a token and request a different response ID; replay is idempotent or unavailable and the other response is never shown.</w:t>
      </w:r>
    </w:p>
    <w:p>
      <w:bookmarkStart w:id="110" w:name="req_FR_FRM_009"/>
      <w:pPr>
        <w:keepNext/>
        <w:spacing w:before="180" w:after="40"/>
      </w:pPr>
      <w:r>
        <w:rPr>
          <w:b/>
          <w:i w:val="0"/>
        </w:rPr>
        <w:t>FR-FRM-009   Longitudinal and repeat visits</w:t>
      </w:r>
      <w:bookmarkEnd w:id="110"/>
    </w:p>
    <w:p>
      <w:pPr>
        <w:keepNext/>
        <w:spacing w:after="60"/>
      </w:pPr>
      <w:r>
        <w:rPr>
          <w:b w:val="0"/>
          <w:i w:val="0"/>
          <w:sz w:val="19"/>
        </w:rPr>
        <w:t>Parent BR-FRM-009   |   P1   |   R2</w:t>
      </w:r>
    </w:p>
    <w:p>
      <w:pPr>
        <w:spacing w:after="60"/>
      </w:pPr>
      <w:r>
        <w:rPr>
          <w:b/>
          <w:i w:val="0"/>
        </w:rPr>
        <w:t xml:space="preserve">Behaviour: </w:t>
      </w:r>
      <w:r>
        <w:rPr>
          <w:b w:val="0"/>
          <w:i w:val="0"/>
        </w:rPr>
        <w:t>Repeat visit templates declare entity scope, visit type, baseline reference, expected interval and observation window. Each visit is a separate event. Permitted prior responses may be shown with their date and source, never copied as current answers by default.</w:t>
      </w:r>
    </w:p>
    <w:p>
      <w:pPr>
        <w:spacing w:after="60"/>
      </w:pPr>
      <w:r>
        <w:rPr>
          <w:b/>
          <w:i w:val="0"/>
        </w:rPr>
        <w:t xml:space="preserve">Validation and recovery: </w:t>
      </w:r>
      <w:r>
        <w:rPr>
          <w:b w:val="0"/>
          <w:i w:val="0"/>
        </w:rPr>
        <w:t>Outside-window visits require a reason and an analysis eligibility decision. Missing follow up, withdrawal and death remain distinct from zero outcomes.</w:t>
      </w:r>
    </w:p>
    <w:p>
      <w:pPr>
        <w:spacing w:after="60"/>
      </w:pPr>
      <w:r>
        <w:rPr>
          <w:b/>
          <w:i w:val="0"/>
        </w:rPr>
        <w:t xml:space="preserve">Acceptance FT-FRM-009: </w:t>
      </w:r>
      <w:r>
        <w:rPr>
          <w:b w:val="0"/>
          <w:i w:val="0"/>
        </w:rPr>
        <w:t>Record a baseline and two follow ups for one person; the analysis selects the designated window without counting all three as different participants.</w:t>
      </w:r>
    </w:p>
    <w:p>
      <w:bookmarkStart w:id="111" w:name="req_FR_FRM_010"/>
      <w:pPr>
        <w:keepNext/>
        <w:spacing w:before="180" w:after="40"/>
      </w:pPr>
      <w:r>
        <w:rPr>
          <w:b/>
          <w:i w:val="0"/>
        </w:rPr>
        <w:t>FR-FRM-010   Instrument testing and reuse</w:t>
      </w:r>
      <w:bookmarkEnd w:id="111"/>
    </w:p>
    <w:p>
      <w:pPr>
        <w:keepNext/>
        <w:spacing w:after="60"/>
      </w:pPr>
      <w:r>
        <w:rPr>
          <w:b w:val="0"/>
          <w:i w:val="0"/>
          <w:sz w:val="19"/>
        </w:rPr>
        <w:t>Parent BR-FRM-010   |   P1   |   R1</w:t>
      </w:r>
    </w:p>
    <w:p>
      <w:pPr>
        <w:spacing w:after="60"/>
      </w:pPr>
      <w:r>
        <w:rPr>
          <w:b/>
          <w:i w:val="0"/>
        </w:rPr>
        <w:t xml:space="preserve">Behaviour: </w:t>
      </w:r>
      <w:r>
        <w:rPr>
          <w:b w:val="0"/>
          <w:i w:val="0"/>
        </w:rPr>
        <w:t>Form testing uses synthetic submissions, branch coverage, boundary answers, translations and device previews. Results identify unvisited logic branches and validation failures. Copying a question library pins the selected version and allows permitted local adaptation.</w:t>
      </w:r>
    </w:p>
    <w:p>
      <w:pPr>
        <w:spacing w:after="60"/>
      </w:pPr>
      <w:r>
        <w:rPr>
          <w:b/>
          <w:i w:val="0"/>
        </w:rPr>
        <w:t xml:space="preserve">Validation and recovery: </w:t>
      </w:r>
      <w:r>
        <w:rPr>
          <w:b w:val="0"/>
          <w:i w:val="0"/>
        </w:rPr>
        <w:t>No test submission may enter official datasets or trigger real respondent messages. Publish requires passing mandatory path checks and independent instrument review.</w:t>
      </w:r>
    </w:p>
    <w:p>
      <w:pPr>
        <w:spacing w:after="60"/>
      </w:pPr>
      <w:r>
        <w:rPr>
          <w:b/>
          <w:i w:val="0"/>
        </w:rPr>
        <w:t xml:space="preserve">Acceptance FT-FRM-010: </w:t>
      </w:r>
      <w:r>
        <w:rPr>
          <w:b w:val="0"/>
          <w:i w:val="0"/>
        </w:rPr>
        <w:t>Exercise two skip branches and one repeat boundary, publish the form and verify all synthetic responses remain outside production counts.</w:t>
      </w:r>
    </w:p>
    <w:p>
      <w:bookmarkStart w:id="112" w:name="sec_15"/>
      <w:pPr>
        <w:pStyle w:val="Heading1"/>
      </w:pPr>
      <w:r>
        <w:rPr>
          <w:b w:val="0"/>
          <w:i w:val="0"/>
        </w:rPr>
        <w:t>15 Offline capture and synchronisation</w:t>
      </w:r>
      <w:bookmarkEnd w:id="112"/>
    </w:p>
    <w:p>
      <w:pPr>
        <w:spacing w:after="140"/>
      </w:pPr>
      <w:r>
        <w:rPr>
          <w:b w:val="0"/>
          <w:i/>
          <w:sz w:val="21"/>
        </w:rPr>
        <w:t>Primary actors: Assigned collector and supervisor. Interfaces: UI12 UI13 UI14. Logical entities: D14 D16 D17 D20.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13" w:name="req_FR_OFF_001"/>
      <w:pPr>
        <w:keepNext/>
        <w:spacing w:before="180" w:after="40"/>
      </w:pPr>
      <w:r>
        <w:rPr>
          <w:b/>
          <w:i w:val="0"/>
        </w:rPr>
        <w:t>FR-OFF-001   Offline task packages</w:t>
      </w:r>
      <w:bookmarkEnd w:id="113"/>
    </w:p>
    <w:p>
      <w:pPr>
        <w:keepNext/>
        <w:spacing w:after="60"/>
      </w:pPr>
      <w:r>
        <w:rPr>
          <w:b w:val="0"/>
          <w:i w:val="0"/>
          <w:sz w:val="19"/>
        </w:rPr>
        <w:t>Parent BR-OFF-001   |   P0   |   R1</w:t>
      </w:r>
    </w:p>
    <w:p>
      <w:pPr>
        <w:spacing w:after="60"/>
      </w:pPr>
      <w:r>
        <w:rPr>
          <w:b/>
          <w:i w:val="0"/>
        </w:rPr>
        <w:t xml:space="preserve">Behaviour: </w:t>
      </w:r>
      <w:r>
        <w:rPr>
          <w:b w:val="0"/>
          <w:i w:val="0"/>
        </w:rPr>
        <w:t>An authenticated collector selects assigned work to package. Preview lists form versions, minimal reference fields, media size and expiry. The download binds actor, tenant, device workspace and policy version; successful local preparation is confirmed before field departure.</w:t>
      </w:r>
    </w:p>
    <w:p>
      <w:pPr>
        <w:spacing w:after="60"/>
      </w:pPr>
      <w:r>
        <w:rPr>
          <w:b/>
          <w:i w:val="0"/>
        </w:rPr>
        <w:t xml:space="preserve">Validation and recovery: </w:t>
      </w:r>
      <w:r>
        <w:rPr>
          <w:b w:val="0"/>
          <w:i w:val="0"/>
        </w:rPr>
        <w:t>No full project registry download by default. Package renewal needs online policy verification. Expired assignments are excluded even if still visible in an old task list.</w:t>
      </w:r>
    </w:p>
    <w:p>
      <w:pPr>
        <w:spacing w:after="60"/>
      </w:pPr>
      <w:r>
        <w:rPr>
          <w:b/>
          <w:i w:val="0"/>
        </w:rPr>
        <w:t xml:space="preserve">Acceptance FT-OFF-001: </w:t>
      </w:r>
      <w:r>
        <w:rPr>
          <w:b w:val="0"/>
          <w:i w:val="0"/>
        </w:rPr>
        <w:t>Download three assigned households and go offline; the collector can complete those forms but cannot browse a fourth unassigned household.</w:t>
      </w:r>
    </w:p>
    <w:p>
      <w:bookmarkStart w:id="114" w:name="req_FR_OFF_002"/>
      <w:pPr>
        <w:keepNext/>
        <w:spacing w:before="180" w:after="40"/>
      </w:pPr>
      <w:r>
        <w:rPr>
          <w:b/>
          <w:i w:val="0"/>
        </w:rPr>
        <w:t>FR-OFF-002   Durable local capture</w:t>
      </w:r>
      <w:bookmarkEnd w:id="114"/>
    </w:p>
    <w:p>
      <w:pPr>
        <w:keepNext/>
        <w:spacing w:after="60"/>
      </w:pPr>
      <w:r>
        <w:rPr>
          <w:b w:val="0"/>
          <w:i w:val="0"/>
          <w:sz w:val="19"/>
        </w:rPr>
        <w:t>Parent BR-OFF-002   |   P0   |   R1</w:t>
      </w:r>
    </w:p>
    <w:p>
      <w:pPr>
        <w:spacing w:after="60"/>
      </w:pPr>
      <w:r>
        <w:rPr>
          <w:b/>
          <w:i w:val="0"/>
        </w:rPr>
        <w:t xml:space="preserve">Behaviour: </w:t>
      </w:r>
      <w:r>
        <w:rPr>
          <w:b w:val="0"/>
          <w:i w:val="0"/>
        </w:rPr>
        <w:t>Every local save returns a device receipt and safe status. The client persists drafts, stable IDs and attachment references within the qualified device profile. Restart recovery lists recovered work and any incomplete local writes; storage warnings appear before capture becomes unsafe.</w:t>
      </w:r>
    </w:p>
    <w:p>
      <w:pPr>
        <w:spacing w:after="60"/>
      </w:pPr>
      <w:r>
        <w:rPr>
          <w:b/>
          <w:i w:val="0"/>
        </w:rPr>
        <w:t xml:space="preserve">Validation and recovery: </w:t>
      </w:r>
      <w:r>
        <w:rPr>
          <w:b w:val="0"/>
          <w:i w:val="0"/>
        </w:rPr>
        <w:t>A local acknowledgement is not server durability. If secure durable storage cannot be qualified on a client, disable sensitive offline collection and show the supported alternative.</w:t>
      </w:r>
    </w:p>
    <w:p>
      <w:pPr>
        <w:spacing w:after="60"/>
      </w:pPr>
      <w:r>
        <w:rPr>
          <w:b/>
          <w:i w:val="0"/>
        </w:rPr>
        <w:t xml:space="preserve">Acceptance FT-OFF-002: </w:t>
      </w:r>
      <w:r>
        <w:rPr>
          <w:b w:val="0"/>
          <w:i w:val="0"/>
        </w:rPr>
        <w:t>Restart during an attachment save and confirm the saved answers survive, the incomplete file is flagged and no false server received status appears.</w:t>
      </w:r>
    </w:p>
    <w:p>
      <w:bookmarkStart w:id="115" w:name="req_FR_OFF_003"/>
      <w:pPr>
        <w:keepNext/>
        <w:spacing w:before="180" w:after="40"/>
      </w:pPr>
      <w:r>
        <w:rPr>
          <w:b/>
          <w:i w:val="0"/>
        </w:rPr>
        <w:t>FR-OFF-003   Idempotent synchronisation</w:t>
      </w:r>
      <w:bookmarkEnd w:id="115"/>
    </w:p>
    <w:p>
      <w:pPr>
        <w:keepNext/>
        <w:spacing w:after="60"/>
      </w:pPr>
      <w:r>
        <w:rPr>
          <w:b w:val="0"/>
          <w:i w:val="0"/>
          <w:sz w:val="19"/>
        </w:rPr>
        <w:t>Parent BR-OFF-003   |   P0   |   R1</w:t>
      </w:r>
    </w:p>
    <w:p>
      <w:pPr>
        <w:spacing w:after="60"/>
      </w:pPr>
      <w:r>
        <w:rPr>
          <w:b/>
          <w:i w:val="0"/>
        </w:rPr>
        <w:t xml:space="preserve">Behaviour: </w:t>
      </w:r>
      <w:r>
        <w:rPr>
          <w:b w:val="0"/>
          <w:i w:val="0"/>
        </w:rPr>
        <w:t>Sync uploads the submission identity, base revision, form version, grant context and media manifest. The server responds per item with accepted, duplicate, conflict, quarantined or rejected. Media chunks resume independently; final completeness waits for required files and checks.</w:t>
      </w:r>
    </w:p>
    <w:p>
      <w:pPr>
        <w:spacing w:after="60"/>
      </w:pPr>
      <w:r>
        <w:rPr>
          <w:b/>
          <w:i w:val="0"/>
        </w:rPr>
        <w:t xml:space="preserve">Validation and recovery: </w:t>
      </w:r>
      <w:r>
        <w:rPr>
          <w:b w:val="0"/>
          <w:i w:val="0"/>
        </w:rPr>
        <w:t>Retain local receipt until server reconciliation completes. Repeat identical submissions resolve to the same server object even after ordinary interactive operation receipts expire.</w:t>
      </w:r>
    </w:p>
    <w:p>
      <w:pPr>
        <w:spacing w:after="60"/>
      </w:pPr>
      <w:r>
        <w:rPr>
          <w:b/>
          <w:i w:val="0"/>
        </w:rPr>
        <w:t xml:space="preserve">Acceptance FT-OFF-003: </w:t>
      </w:r>
      <w:r>
        <w:rPr>
          <w:b w:val="0"/>
          <w:i w:val="0"/>
        </w:rPr>
        <w:t>Interrupt the same batch five times; each intended submission has one identity and missing media remains visibly incomplete.</w:t>
      </w:r>
    </w:p>
    <w:p>
      <w:bookmarkStart w:id="116" w:name="req_FR_OFF_004"/>
      <w:pPr>
        <w:keepNext/>
        <w:spacing w:before="180" w:after="40"/>
      </w:pPr>
      <w:r>
        <w:rPr>
          <w:b/>
          <w:i w:val="0"/>
        </w:rPr>
        <w:t>FR-OFF-004   Conflict handling</w:t>
      </w:r>
      <w:bookmarkEnd w:id="116"/>
    </w:p>
    <w:p>
      <w:pPr>
        <w:keepNext/>
        <w:spacing w:after="60"/>
      </w:pPr>
      <w:r>
        <w:rPr>
          <w:b w:val="0"/>
          <w:i w:val="0"/>
          <w:sz w:val="19"/>
        </w:rPr>
        <w:t>Parent BR-OFF-004   |   P0   |   R1</w:t>
      </w:r>
    </w:p>
    <w:p>
      <w:pPr>
        <w:spacing w:after="60"/>
      </w:pPr>
      <w:r>
        <w:rPr>
          <w:b/>
          <w:i w:val="0"/>
        </w:rPr>
        <w:t xml:space="preserve">Behaviour: </w:t>
      </w:r>
      <w:r>
        <w:rPr>
          <w:b w:val="0"/>
          <w:i w:val="0"/>
        </w:rPr>
        <w:t>On concurrent edits, the server preserves both candidate revisions and identifies the common base. An authorised resolver compares permitted fields, chooses values or creates a merged revision, supplies reason and resubmits through validation and approval.</w:t>
      </w:r>
    </w:p>
    <w:p>
      <w:pPr>
        <w:spacing w:after="60"/>
      </w:pPr>
      <w:r>
        <w:rPr>
          <w:b/>
          <w:i w:val="0"/>
        </w:rPr>
        <w:t xml:space="preserve">Validation and recovery: </w:t>
      </w:r>
      <w:r>
        <w:rPr>
          <w:b w:val="0"/>
          <w:i w:val="0"/>
        </w:rPr>
        <w:t>No automatic last device wins. Identity duplicates, reassigned tasks and obsolete forms use specific conflict categories; existing approved data is not overwritten.</w:t>
      </w:r>
    </w:p>
    <w:p>
      <w:pPr>
        <w:spacing w:after="60"/>
      </w:pPr>
      <w:r>
        <w:rPr>
          <w:b/>
          <w:i w:val="0"/>
        </w:rPr>
        <w:t xml:space="preserve">Acceptance FT-OFF-004: </w:t>
      </w:r>
      <w:r>
        <w:rPr>
          <w:b w:val="0"/>
          <w:i w:val="0"/>
        </w:rPr>
        <w:t>Two devices alter the same visit and one uses an obsolete form; both candidates remain visible to the resolver with their distinct versions.</w:t>
      </w:r>
    </w:p>
    <w:p>
      <w:bookmarkStart w:id="117" w:name="req_FR_OFF_005"/>
      <w:pPr>
        <w:keepNext/>
        <w:spacing w:before="180" w:after="40"/>
      </w:pPr>
      <w:r>
        <w:rPr>
          <w:b/>
          <w:i w:val="0"/>
        </w:rPr>
        <w:t>FR-OFF-005   Device protection and expiry</w:t>
      </w:r>
      <w:bookmarkEnd w:id="117"/>
    </w:p>
    <w:p>
      <w:pPr>
        <w:keepNext/>
        <w:spacing w:after="60"/>
      </w:pPr>
      <w:r>
        <w:rPr>
          <w:b w:val="0"/>
          <w:i w:val="0"/>
          <w:sz w:val="19"/>
        </w:rPr>
        <w:t>Parent BR-OFF-005   |   P0   |   R1</w:t>
      </w:r>
    </w:p>
    <w:p>
      <w:pPr>
        <w:spacing w:after="60"/>
      </w:pPr>
      <w:r>
        <w:rPr>
          <w:b/>
          <w:i w:val="0"/>
        </w:rPr>
        <w:t xml:space="preserve">Behaviour: </w:t>
      </w:r>
      <w:r>
        <w:rPr>
          <w:b w:val="0"/>
          <w:i w:val="0"/>
        </w:rPr>
        <w:t>Offline unlock requires the qualified local authentication policy. Expiry prevents further protected viewing or capture under that grant; reconnect applies current revocation before accepting new work. Package removal and remote wipe requests report requested, confirmed or unknown outcomes.</w:t>
      </w:r>
    </w:p>
    <w:p>
      <w:pPr>
        <w:spacing w:after="60"/>
      </w:pPr>
      <w:r>
        <w:rPr>
          <w:b/>
          <w:i w:val="0"/>
        </w:rPr>
        <w:t xml:space="preserve">Validation and recovery: </w:t>
      </w:r>
      <w:r>
        <w:rPr>
          <w:b w:val="0"/>
          <w:i w:val="0"/>
        </w:rPr>
        <w:t>Client clock rollback must not extend the verified authority window. Expired or revoked uploads enter restricted quarantine only under an approved recovery policy; they never become approved data automatically.</w:t>
      </w:r>
    </w:p>
    <w:p>
      <w:pPr>
        <w:spacing w:after="60"/>
      </w:pPr>
      <w:r>
        <w:rPr>
          <w:b/>
          <w:i w:val="0"/>
        </w:rPr>
        <w:t xml:space="preserve">Acceptance FT-OFF-005: </w:t>
      </w:r>
      <w:r>
        <w:rPr>
          <w:b w:val="0"/>
          <w:i w:val="0"/>
        </w:rPr>
        <w:t>Revoke a disconnected collector, advance beyond the grant expiry and reconnect; viewing is blocked locally and uploads are rejected or explicitly quarantined.</w:t>
      </w:r>
    </w:p>
    <w:p>
      <w:bookmarkStart w:id="118" w:name="req_FR_OFF_006"/>
      <w:pPr>
        <w:keepNext/>
        <w:spacing w:before="180" w:after="40"/>
      </w:pPr>
      <w:r>
        <w:rPr>
          <w:b/>
          <w:i w:val="0"/>
        </w:rPr>
        <w:t>FR-OFF-006   Shared device operation</w:t>
      </w:r>
      <w:bookmarkEnd w:id="118"/>
    </w:p>
    <w:p>
      <w:pPr>
        <w:keepNext/>
        <w:spacing w:after="60"/>
      </w:pPr>
      <w:r>
        <w:rPr>
          <w:b w:val="0"/>
          <w:i w:val="0"/>
          <w:sz w:val="19"/>
        </w:rPr>
        <w:t>Parent BR-OFF-006   |   P0   |   R1</w:t>
      </w:r>
    </w:p>
    <w:p>
      <w:pPr>
        <w:spacing w:after="60"/>
      </w:pPr>
      <w:r>
        <w:rPr>
          <w:b/>
          <w:i w:val="0"/>
        </w:rPr>
        <w:t xml:space="preserve">Behaviour: </w:t>
      </w:r>
      <w:r>
        <w:rPr>
          <w:b w:val="0"/>
          <w:i w:val="0"/>
        </w:rPr>
        <w:t>Each person uses a distinct protected local workspace. Switching accounts closes the previous workspace and displays its unsynchronised count without exposing content. Handover requires both eligible actors online or a separately qualified secure supervisor procedure.</w:t>
      </w:r>
    </w:p>
    <w:p>
      <w:pPr>
        <w:spacing w:after="60"/>
      </w:pPr>
      <w:r>
        <w:rPr>
          <w:b/>
          <w:i w:val="0"/>
        </w:rPr>
        <w:t xml:space="preserve">Validation and recovery: </w:t>
      </w:r>
      <w:r>
        <w:rPr>
          <w:b w:val="0"/>
          <w:i w:val="0"/>
        </w:rPr>
        <w:t>Never transfer author identity to the next collector. Logout may lock pending work for later recovery; deleting it requires an explicit loss warning and permitted confirmation.</w:t>
      </w:r>
    </w:p>
    <w:p>
      <w:pPr>
        <w:spacing w:after="60"/>
      </w:pPr>
      <w:r>
        <w:rPr>
          <w:b/>
          <w:i w:val="0"/>
        </w:rPr>
        <w:t xml:space="preserve">Acceptance FT-OFF-006: </w:t>
      </w:r>
      <w:r>
        <w:rPr>
          <w:b w:val="0"/>
          <w:i w:val="0"/>
        </w:rPr>
        <w:t>Collector B signs in after A leaves two unsynced forms; B sees neither answers nor participant names and A's authorship remains unchanged.</w:t>
      </w:r>
    </w:p>
    <w:p>
      <w:bookmarkStart w:id="119" w:name="req_FR_OFF_007"/>
      <w:pPr>
        <w:keepNext/>
        <w:spacing w:before="180" w:after="40"/>
      </w:pPr>
      <w:r>
        <w:rPr>
          <w:b/>
          <w:i w:val="0"/>
        </w:rPr>
        <w:t>FR-OFF-007   Sync and quality supervisor view</w:t>
      </w:r>
      <w:bookmarkEnd w:id="119"/>
    </w:p>
    <w:p>
      <w:pPr>
        <w:keepNext/>
        <w:spacing w:after="60"/>
      </w:pPr>
      <w:r>
        <w:rPr>
          <w:b w:val="0"/>
          <w:i w:val="0"/>
          <w:sz w:val="19"/>
        </w:rPr>
        <w:t>Parent BR-OFF-007   |   P1   |   R1</w:t>
      </w:r>
    </w:p>
    <w:p>
      <w:pPr>
        <w:spacing w:after="60"/>
      </w:pPr>
      <w:r>
        <w:rPr>
          <w:b/>
          <w:i w:val="0"/>
        </w:rPr>
        <w:t xml:space="preserve">Behaviour: </w:t>
      </w:r>
      <w:r>
        <w:rPr>
          <w:b w:val="0"/>
          <w:i w:val="0"/>
        </w:rPr>
        <w:t>The supervisor view shows last contact, last reported pending count, package version, expiry, known failures and unresolved conflicts. Each value is timestamped. Supervisors can request follow up or reassignment without claiming knowledge of unseen offline activity.</w:t>
      </w:r>
    </w:p>
    <w:p>
      <w:pPr>
        <w:spacing w:after="60"/>
      </w:pPr>
      <w:r>
        <w:rPr>
          <w:b/>
          <w:i w:val="0"/>
        </w:rPr>
        <w:t xml:space="preserve">Validation and recovery: </w:t>
      </w:r>
      <w:r>
        <w:rPr>
          <w:b w:val="0"/>
          <w:i w:val="0"/>
        </w:rPr>
        <w:t>A disconnected device has unknown current progress. It is not recorded as zero completed or guaranteed wiped. Counts and locations remain within supervisor scope.</w:t>
      </w:r>
    </w:p>
    <w:p>
      <w:pPr>
        <w:spacing w:after="60"/>
      </w:pPr>
      <w:r>
        <w:rPr>
          <w:b/>
          <w:i w:val="0"/>
        </w:rPr>
        <w:t xml:space="preserve">Acceptance FT-OFF-007: </w:t>
      </w:r>
      <w:r>
        <w:rPr>
          <w:b w:val="0"/>
          <w:i w:val="0"/>
        </w:rPr>
        <w:t>Disconnect a device after it reported two pending forms; the view says two at last contact and unknown current state, not a live count.</w:t>
      </w:r>
    </w:p>
    <w:p>
      <w:bookmarkStart w:id="120" w:name="req_FR_OFF_008"/>
      <w:pPr>
        <w:keepNext/>
        <w:spacing w:before="180" w:after="40"/>
      </w:pPr>
      <w:r>
        <w:rPr>
          <w:b/>
          <w:i w:val="0"/>
        </w:rPr>
        <w:t>FR-OFF-008   Constrained connectivity</w:t>
      </w:r>
      <w:bookmarkEnd w:id="120"/>
    </w:p>
    <w:p>
      <w:pPr>
        <w:keepNext/>
        <w:spacing w:after="60"/>
      </w:pPr>
      <w:r>
        <w:rPr>
          <w:b w:val="0"/>
          <w:i w:val="0"/>
          <w:sz w:val="19"/>
        </w:rPr>
        <w:t>Parent BR-OFF-008   |   P0   |   R1</w:t>
      </w:r>
    </w:p>
    <w:p>
      <w:pPr>
        <w:spacing w:after="60"/>
      </w:pPr>
      <w:r>
        <w:rPr>
          <w:b/>
          <w:i w:val="0"/>
        </w:rPr>
        <w:t xml:space="preserve">Behaviour: </w:t>
      </w:r>
      <w:r>
        <w:rPr>
          <w:b w:val="0"/>
          <w:i w:val="0"/>
        </w:rPr>
        <w:t>Before field departure, clients download approved languages, reference lists and form logic. Manual sync and text first upload are supported; media transfer may be deferred if policy permits. Large downloads require size disclosure and user control.</w:t>
      </w:r>
    </w:p>
    <w:p>
      <w:pPr>
        <w:spacing w:after="60"/>
      </w:pPr>
      <w:r>
        <w:rPr>
          <w:b/>
          <w:i w:val="0"/>
        </w:rPr>
        <w:t xml:space="preserve">Validation and recovery: </w:t>
      </w:r>
      <w:r>
        <w:rPr>
          <w:b w:val="0"/>
          <w:i w:val="0"/>
        </w:rPr>
        <w:t>Do not auto-download large media on constrained connections. Form logic that requires a live external lookup is labelled online only and cannot masquerade as offline capable.</w:t>
      </w:r>
    </w:p>
    <w:p>
      <w:pPr>
        <w:spacing w:after="60"/>
      </w:pPr>
      <w:r>
        <w:rPr>
          <w:b/>
          <w:i w:val="0"/>
        </w:rPr>
        <w:t xml:space="preserve">Acceptance FT-OFF-008: </w:t>
      </w:r>
      <w:r>
        <w:rPr>
          <w:b w:val="0"/>
          <w:i w:val="0"/>
        </w:rPr>
        <w:t>Complete a form under 1 Mbps and intermittent loss; answers persist and permitted delayed media upload does not create a false complete submission.</w:t>
      </w:r>
    </w:p>
    <w:p>
      <w:bookmarkStart w:id="121" w:name="sec_16"/>
      <w:pPr>
        <w:pStyle w:val="Heading1"/>
      </w:pPr>
      <w:r>
        <w:rPr>
          <w:b w:val="0"/>
          <w:i w:val="0"/>
        </w:rPr>
        <w:t>16 Data ingestion transformation and lineage</w:t>
      </w:r>
      <w:bookmarkEnd w:id="121"/>
    </w:p>
    <w:p>
      <w:pPr>
        <w:spacing w:after="140"/>
      </w:pPr>
      <w:r>
        <w:rPr>
          <w:b w:val="0"/>
          <w:i/>
          <w:sz w:val="21"/>
        </w:rPr>
        <w:t>Primary actors: Data steward and source owner. Interfaces: UI15 UI16 UI17. Logical entities: D12 D21 D22 D23.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22" w:name="req_FR_DAT_001"/>
      <w:pPr>
        <w:keepNext/>
        <w:spacing w:before="180" w:after="40"/>
      </w:pPr>
      <w:r>
        <w:rPr>
          <w:b/>
          <w:i w:val="0"/>
        </w:rPr>
        <w:t>FR-DAT-001   File ingestion</w:t>
      </w:r>
      <w:bookmarkEnd w:id="122"/>
    </w:p>
    <w:p>
      <w:pPr>
        <w:keepNext/>
        <w:spacing w:after="60"/>
      </w:pPr>
      <w:r>
        <w:rPr>
          <w:b w:val="0"/>
          <w:i w:val="0"/>
          <w:sz w:val="19"/>
        </w:rPr>
        <w:t>Parent BR-DAT-001   |   P0   |   R1</w:t>
      </w:r>
    </w:p>
    <w:p>
      <w:pPr>
        <w:spacing w:after="60"/>
      </w:pPr>
      <w:r>
        <w:rPr>
          <w:b/>
          <w:i w:val="0"/>
        </w:rPr>
        <w:t xml:space="preserve">Behaviour: </w:t>
      </w:r>
      <w:r>
        <w:rPr>
          <w:b w:val="0"/>
          <w:i w:val="0"/>
        </w:rPr>
        <w:t>The import wizard chooses file, sheet, encoding, delimiter, header row, locale, date pattern and source key. It previews raw and interpreted values side by side before applying conversions. Identifiers default to text; formulas are imported as permitted values or rejected by declared mode.</w:t>
      </w:r>
    </w:p>
    <w:p>
      <w:pPr>
        <w:spacing w:after="60"/>
      </w:pPr>
      <w:r>
        <w:rPr>
          <w:b/>
          <w:i w:val="0"/>
        </w:rPr>
        <w:t xml:space="preserve">Validation and recovery: </w:t>
      </w:r>
      <w:r>
        <w:rPr>
          <w:b w:val="0"/>
          <w:i w:val="0"/>
        </w:rPr>
        <w:t>Ambiguous dates require an explicit pattern. Mixed types produce row errors; leading zeros and long IDs are preserved. File safety checks precede parsing.</w:t>
      </w:r>
    </w:p>
    <w:p>
      <w:pPr>
        <w:spacing w:after="60"/>
      </w:pPr>
      <w:r>
        <w:rPr>
          <w:b/>
          <w:i w:val="0"/>
        </w:rPr>
        <w:t xml:space="preserve">Acceptance FT-DAT-001: </w:t>
      </w:r>
      <w:r>
        <w:rPr>
          <w:b w:val="0"/>
          <w:i w:val="0"/>
        </w:rPr>
        <w:t>Import 00123, a 20 digit ID, 03/04/2026 and a quoted comma; show each exact interpretation before commit.</w:t>
      </w:r>
    </w:p>
    <w:p>
      <w:bookmarkStart w:id="123" w:name="req_FR_DAT_002"/>
      <w:pPr>
        <w:keepNext/>
        <w:spacing w:before="180" w:after="40"/>
      </w:pPr>
      <w:r>
        <w:rPr>
          <w:b/>
          <w:i w:val="0"/>
        </w:rPr>
        <w:t>FR-DAT-002   Mapping and preview</w:t>
      </w:r>
      <w:bookmarkEnd w:id="123"/>
    </w:p>
    <w:p>
      <w:pPr>
        <w:keepNext/>
        <w:spacing w:after="60"/>
      </w:pPr>
      <w:r>
        <w:rPr>
          <w:b w:val="0"/>
          <w:i w:val="0"/>
          <w:sz w:val="19"/>
        </w:rPr>
        <w:t>Parent BR-DAT-002   |   P0   |   R1</w:t>
      </w:r>
    </w:p>
    <w:p>
      <w:pPr>
        <w:spacing w:after="60"/>
      </w:pPr>
      <w:r>
        <w:rPr>
          <w:b/>
          <w:i w:val="0"/>
        </w:rPr>
        <w:t xml:space="preserve">Behaviour: </w:t>
      </w:r>
      <w:r>
        <w:rPr>
          <w:b w:val="0"/>
          <w:i w:val="0"/>
        </w:rPr>
        <w:t>A mapping version binds source field identity to destination field, type, unit and transformation. Preview shows unmatched required fields, dropped columns, conversion errors and sample outcomes. AI suggestions remain unchecked proposals until individually accepted or edited.</w:t>
      </w:r>
    </w:p>
    <w:p>
      <w:pPr>
        <w:spacing w:after="60"/>
      </w:pPr>
      <w:r>
        <w:rPr>
          <w:b/>
          <w:i w:val="0"/>
        </w:rPr>
        <w:t xml:space="preserve">Validation and recovery: </w:t>
      </w:r>
      <w:r>
        <w:rPr>
          <w:b w:val="0"/>
          <w:i w:val="0"/>
        </w:rPr>
        <w:t>A renamed or type changed source column requires reviewed remapping; positional column order alone is never stable identity. Preview expires when source or mapping changes.</w:t>
      </w:r>
    </w:p>
    <w:p>
      <w:pPr>
        <w:spacing w:after="60"/>
      </w:pPr>
      <w:r>
        <w:rPr>
          <w:b/>
          <w:i w:val="0"/>
        </w:rPr>
        <w:t xml:space="preserve">Acceptance FT-DAT-002: </w:t>
      </w:r>
      <w:r>
        <w:rPr>
          <w:b w:val="0"/>
          <w:i w:val="0"/>
        </w:rPr>
        <w:t>Reorder columns and rename one numeric field; the system preserves known bindings and pauses the unknown mapping instead of shifting values.</w:t>
      </w:r>
    </w:p>
    <w:p>
      <w:bookmarkStart w:id="124" w:name="req_FR_DAT_003"/>
      <w:pPr>
        <w:keepNext/>
        <w:spacing w:before="180" w:after="40"/>
      </w:pPr>
      <w:r>
        <w:rPr>
          <w:b/>
          <w:i w:val="0"/>
        </w:rPr>
        <w:t>FR-DAT-003   Import mode and identity</w:t>
      </w:r>
      <w:bookmarkEnd w:id="124"/>
    </w:p>
    <w:p>
      <w:pPr>
        <w:keepNext/>
        <w:spacing w:after="60"/>
      </w:pPr>
      <w:r>
        <w:rPr>
          <w:b w:val="0"/>
          <w:i w:val="0"/>
          <w:sz w:val="19"/>
        </w:rPr>
        <w:t>Parent BR-DAT-003   |   P0   |   R1</w:t>
      </w:r>
    </w:p>
    <w:p>
      <w:pPr>
        <w:spacing w:after="60"/>
      </w:pPr>
      <w:r>
        <w:rPr>
          <w:b/>
          <w:i w:val="0"/>
        </w:rPr>
        <w:t xml:space="preserve">Behaviour: </w:t>
      </w:r>
      <w:r>
        <w:rPr>
          <w:b w:val="0"/>
          <w:i w:val="0"/>
        </w:rPr>
        <w:t>The user selects append, keyed update or controlled replacement and identifies the source namespace and stable key. Preview computes inserts, revisions, unchanged duplicates and removals. Commit records original and resulting revision references for every effect.</w:t>
      </w:r>
    </w:p>
    <w:p>
      <w:pPr>
        <w:spacing w:after="60"/>
      </w:pPr>
      <w:r>
        <w:rPr>
          <w:b/>
          <w:i w:val="0"/>
        </w:rPr>
        <w:t xml:space="preserve">Validation and recovery: </w:t>
      </w:r>
      <w:r>
        <w:rPr>
          <w:b w:val="0"/>
          <w:i w:val="0"/>
        </w:rPr>
        <w:t>Append without reliable keys warns that deduplication cannot establish entity uniqueness. Replacement needs explicit scope and deletion impact approval; absence from a partial file never implies deletion.</w:t>
      </w:r>
    </w:p>
    <w:p>
      <w:pPr>
        <w:spacing w:after="60"/>
      </w:pPr>
      <w:r>
        <w:rPr>
          <w:b/>
          <w:i w:val="0"/>
        </w:rPr>
        <w:t xml:space="preserve">Acceptance FT-DAT-003: </w:t>
      </w:r>
      <w:r>
        <w:rPr>
          <w:b w:val="0"/>
          <w:i w:val="0"/>
        </w:rPr>
        <w:t>Load a keyed file twice, then revise one row; the second run has no new achievement and the third creates one correction revision.</w:t>
      </w:r>
    </w:p>
    <w:p>
      <w:bookmarkStart w:id="125" w:name="req_FR_DAT_004"/>
      <w:pPr>
        <w:keepNext/>
        <w:spacing w:before="180" w:after="40"/>
      </w:pPr>
      <w:r>
        <w:rPr>
          <w:b/>
          <w:i w:val="0"/>
        </w:rPr>
        <w:t>FR-DAT-004   Validation and quarantine</w:t>
      </w:r>
      <w:bookmarkEnd w:id="125"/>
    </w:p>
    <w:p>
      <w:pPr>
        <w:keepNext/>
        <w:spacing w:after="60"/>
      </w:pPr>
      <w:r>
        <w:rPr>
          <w:b w:val="0"/>
          <w:i w:val="0"/>
          <w:sz w:val="19"/>
        </w:rPr>
        <w:t>Parent BR-DAT-004   |   P0   |   R1</w:t>
      </w:r>
    </w:p>
    <w:p>
      <w:pPr>
        <w:spacing w:after="60"/>
      </w:pPr>
      <w:r>
        <w:rPr>
          <w:b/>
          <w:i w:val="0"/>
        </w:rPr>
        <w:t xml:space="preserve">Behaviour: </w:t>
      </w:r>
      <w:r>
        <w:rPr>
          <w:b w:val="0"/>
          <w:i w:val="0"/>
        </w:rPr>
        <w:t>Validation classifies every input row as accepted insert, accepted update, unchanged duplicate, rejected, quarantined or unprocessed. Atomic mode commits no rows if any blocking row fails; partial mode commits eligible items and returns the exact manifest.</w:t>
      </w:r>
    </w:p>
    <w:p>
      <w:pPr>
        <w:spacing w:after="60"/>
      </w:pPr>
      <w:r>
        <w:rPr>
          <w:b/>
          <w:i w:val="0"/>
        </w:rPr>
        <w:t xml:space="preserve">Validation and recovery: </w:t>
      </w:r>
      <w:r>
        <w:rPr>
          <w:b w:val="0"/>
          <w:i w:val="0"/>
        </w:rPr>
        <w:t>Mode is selected before execution. Rejected rows carry safe field errors; raw input remains unchanged. Cancelled jobs identify committed rows and never claim full rollback.</w:t>
      </w:r>
    </w:p>
    <w:p>
      <w:pPr>
        <w:spacing w:after="60"/>
      </w:pPr>
      <w:r>
        <w:rPr>
          <w:b/>
          <w:i w:val="0"/>
        </w:rPr>
        <w:t xml:space="preserve">Acceptance FT-DAT-004: </w:t>
      </w:r>
      <w:r>
        <w:rPr>
          <w:b w:val="0"/>
          <w:i w:val="0"/>
        </w:rPr>
        <w:t>Load 100 rows with 90 valid, five duplicates and five invalid in partial mode; reconcile all 100 outcomes and retry only the corrected five.</w:t>
      </w:r>
    </w:p>
    <w:p>
      <w:bookmarkStart w:id="126" w:name="req_FR_DAT_005"/>
      <w:pPr>
        <w:keepNext/>
        <w:spacing w:before="180" w:after="40"/>
      </w:pPr>
      <w:r>
        <w:rPr>
          <w:b/>
          <w:i w:val="0"/>
        </w:rPr>
        <w:t>FR-DAT-005   Immutable raw source</w:t>
      </w:r>
      <w:bookmarkEnd w:id="126"/>
    </w:p>
    <w:p>
      <w:pPr>
        <w:keepNext/>
        <w:spacing w:after="60"/>
      </w:pPr>
      <w:r>
        <w:rPr>
          <w:b w:val="0"/>
          <w:i w:val="0"/>
          <w:sz w:val="19"/>
        </w:rPr>
        <w:t>Parent BR-DAT-005   |   P0   |   R1</w:t>
      </w:r>
    </w:p>
    <w:p>
      <w:pPr>
        <w:spacing w:after="60"/>
      </w:pPr>
      <w:r>
        <w:rPr>
          <w:b/>
          <w:i w:val="0"/>
        </w:rPr>
        <w:t xml:space="preserve">Behaviour: </w:t>
      </w:r>
      <w:r>
        <w:rPr>
          <w:b w:val="0"/>
          <w:i w:val="0"/>
        </w:rPr>
        <w:t>Receipt records the source file integrity reference, receipt time, source owner and import settings. Raw values are retained under the chosen policy separately from derived values. Lineage resolves a result to source file, sheet or payload and row key.</w:t>
      </w:r>
    </w:p>
    <w:p>
      <w:pPr>
        <w:spacing w:after="60"/>
      </w:pPr>
      <w:r>
        <w:rPr>
          <w:b/>
          <w:i w:val="0"/>
        </w:rPr>
        <w:t xml:space="preserve">Validation and recovery: </w:t>
      </w:r>
      <w:r>
        <w:rPr>
          <w:b w:val="0"/>
          <w:i w:val="0"/>
        </w:rPr>
        <w:t>Raw storage is not an exemption from privacy deletion or retention. Restricted previews inherit source classification and access; original files are not broadly downloadable.</w:t>
      </w:r>
    </w:p>
    <w:p>
      <w:pPr>
        <w:spacing w:after="60"/>
      </w:pPr>
      <w:r>
        <w:rPr>
          <w:b/>
          <w:i w:val="0"/>
        </w:rPr>
        <w:t xml:space="preserve">Acceptance FT-DAT-005: </w:t>
      </w:r>
      <w:r>
        <w:rPr>
          <w:b w:val="0"/>
          <w:i w:val="0"/>
        </w:rPr>
        <w:t>Correct an interpreted date and trace the result back to the unchanged raw text and the mapping version that produced each interpretation.</w:t>
      </w:r>
    </w:p>
    <w:p>
      <w:bookmarkStart w:id="127" w:name="req_FR_DAT_006"/>
      <w:pPr>
        <w:keepNext/>
        <w:spacing w:before="180" w:after="40"/>
      </w:pPr>
      <w:r>
        <w:rPr>
          <w:b/>
          <w:i w:val="0"/>
        </w:rPr>
        <w:t>FR-DAT-006   Governed transformations</w:t>
      </w:r>
      <w:bookmarkEnd w:id="127"/>
    </w:p>
    <w:p>
      <w:pPr>
        <w:keepNext/>
        <w:spacing w:after="60"/>
      </w:pPr>
      <w:r>
        <w:rPr>
          <w:b w:val="0"/>
          <w:i w:val="0"/>
          <w:sz w:val="19"/>
        </w:rPr>
        <w:t>Parent BR-DAT-006   |   P1   |   R1</w:t>
      </w:r>
    </w:p>
    <w:p>
      <w:pPr>
        <w:spacing w:after="60"/>
      </w:pPr>
      <w:r>
        <w:rPr>
          <w:b/>
          <w:i w:val="0"/>
        </w:rPr>
        <w:t xml:space="preserve">Behaviour: </w:t>
      </w:r>
      <w:r>
        <w:rPr>
          <w:b w:val="0"/>
          <w:i w:val="0"/>
        </w:rPr>
        <w:t>Transformation authoring supports bounded recode, derive, filter, join and reshape operations with typed schemas. Preview reports input and output counts, unmatched keys, duplicates and join cardinality. Publishing pins rule and source versions.</w:t>
      </w:r>
    </w:p>
    <w:p>
      <w:pPr>
        <w:spacing w:after="60"/>
      </w:pPr>
      <w:r>
        <w:rPr>
          <w:b/>
          <w:i w:val="0"/>
        </w:rPr>
        <w:t xml:space="preserve">Validation and recovery: </w:t>
      </w:r>
      <w:r>
        <w:rPr>
          <w:b w:val="0"/>
          <w:i w:val="0"/>
        </w:rPr>
        <w:t>R1 joins require declared one to one, one to many or many to one intent; many to many needs explicit reviewed justification. No unrestricted code execution through expressions.</w:t>
      </w:r>
    </w:p>
    <w:p>
      <w:pPr>
        <w:spacing w:after="60"/>
      </w:pPr>
      <w:r>
        <w:rPr>
          <w:b/>
          <w:i w:val="0"/>
        </w:rPr>
        <w:t xml:space="preserve">Acceptance FT-DAT-006: </w:t>
      </w:r>
      <w:r>
        <w:rPr>
          <w:b w:val="0"/>
          <w:i w:val="0"/>
        </w:rPr>
        <w:t>Join one participant to three visits; preview shows three output rows and distinct participant count one, preventing accidental unique reach inflation.</w:t>
      </w:r>
    </w:p>
    <w:p>
      <w:bookmarkStart w:id="128" w:name="req_FR_DAT_007"/>
      <w:pPr>
        <w:keepNext/>
        <w:spacing w:before="180" w:after="40"/>
      </w:pPr>
      <w:r>
        <w:rPr>
          <w:b/>
          <w:i w:val="0"/>
        </w:rPr>
        <w:t>FR-DAT-007   Schema drift</w:t>
      </w:r>
      <w:bookmarkEnd w:id="128"/>
    </w:p>
    <w:p>
      <w:pPr>
        <w:keepNext/>
        <w:spacing w:after="60"/>
      </w:pPr>
      <w:r>
        <w:rPr>
          <w:b w:val="0"/>
          <w:i w:val="0"/>
          <w:sz w:val="19"/>
        </w:rPr>
        <w:t>Parent BR-DAT-007   |   P0   |   R1</w:t>
      </w:r>
    </w:p>
    <w:p>
      <w:pPr>
        <w:spacing w:after="60"/>
      </w:pPr>
      <w:r>
        <w:rPr>
          <w:b/>
          <w:i w:val="0"/>
        </w:rPr>
        <w:t xml:space="preserve">Behaviour: </w:t>
      </w:r>
      <w:r>
        <w:rPr>
          <w:b w:val="0"/>
          <w:i w:val="0"/>
        </w:rPr>
        <w:t>Recurring loads compare the incoming schema with the approved source contract. Added optional fields may be ignored with notice; missing required, renamed, type changed or unit changed fields pause affected processing for review.</w:t>
      </w:r>
    </w:p>
    <w:p>
      <w:pPr>
        <w:spacing w:after="60"/>
      </w:pPr>
      <w:r>
        <w:rPr>
          <w:b/>
          <w:i w:val="0"/>
        </w:rPr>
        <w:t xml:space="preserve">Validation and recovery: </w:t>
      </w:r>
      <w:r>
        <w:rPr>
          <w:b w:val="0"/>
          <w:i w:val="0"/>
        </w:rPr>
        <w:t>Do not treat incompatible text as zero or silently infer a new date locale. Unaffected validated data may proceed only when partial mode was approved.</w:t>
      </w:r>
    </w:p>
    <w:p>
      <w:pPr>
        <w:spacing w:after="60"/>
      </w:pPr>
      <w:r>
        <w:rPr>
          <w:b/>
          <w:i w:val="0"/>
        </w:rPr>
        <w:t xml:space="preserve">Acceptance FT-DAT-007: </w:t>
      </w:r>
      <w:r>
        <w:rPr>
          <w:b w:val="0"/>
          <w:i w:val="0"/>
        </w:rPr>
        <w:t>Change a numerator column from decimal to free text; dependent result freshness becomes failed or stale until a reviewed mapping resolves it.</w:t>
      </w:r>
    </w:p>
    <w:p>
      <w:bookmarkStart w:id="129" w:name="req_FR_DAT_008"/>
      <w:pPr>
        <w:keepNext/>
        <w:spacing w:before="180" w:after="40"/>
      </w:pPr>
      <w:r>
        <w:rPr>
          <w:b/>
          <w:i w:val="0"/>
        </w:rPr>
        <w:t>FR-DAT-008   Data catalogue and lineage</w:t>
      </w:r>
      <w:bookmarkEnd w:id="129"/>
    </w:p>
    <w:p>
      <w:pPr>
        <w:keepNext/>
        <w:spacing w:after="60"/>
      </w:pPr>
      <w:r>
        <w:rPr>
          <w:b w:val="0"/>
          <w:i w:val="0"/>
          <w:sz w:val="19"/>
        </w:rPr>
        <w:t>Parent BR-DAT-008   |   P1   |   R1</w:t>
      </w:r>
    </w:p>
    <w:p>
      <w:pPr>
        <w:spacing w:after="60"/>
      </w:pPr>
      <w:r>
        <w:rPr>
          <w:b/>
          <w:i w:val="0"/>
        </w:rPr>
        <w:t xml:space="preserve">Behaviour: </w:t>
      </w:r>
      <w:r>
        <w:rPr>
          <w:b w:val="0"/>
          <w:i w:val="0"/>
        </w:rPr>
        <w:t>Catalogue results contain permitted name, owner, purpose, schema, coverage, classification, quality and freshness. Lineage traversal follows authorised source, transformation, result and report dependencies. A user can inspect impact before correction or retirement.</w:t>
      </w:r>
    </w:p>
    <w:p>
      <w:pPr>
        <w:spacing w:after="60"/>
      </w:pPr>
      <w:r>
        <w:rPr>
          <w:b/>
          <w:i w:val="0"/>
        </w:rPr>
        <w:t xml:space="preserve">Validation and recovery: </w:t>
      </w:r>
      <w:r>
        <w:rPr>
          <w:b w:val="0"/>
          <w:i w:val="0"/>
        </w:rPr>
        <w:t>Do not reveal hidden source names or counts through lineage edges. A permitted derivative may show a withheld source reference under its disclosure contract.</w:t>
      </w:r>
    </w:p>
    <w:p>
      <w:pPr>
        <w:spacing w:after="60"/>
      </w:pPr>
      <w:r>
        <w:rPr>
          <w:b/>
          <w:i w:val="0"/>
        </w:rPr>
        <w:t xml:space="preserve">Acceptance FT-DAT-008: </w:t>
      </w:r>
      <w:r>
        <w:rPr>
          <w:b w:val="0"/>
          <w:i w:val="0"/>
        </w:rPr>
        <w:t>Select a stale dataset and identify affected authorised reports without exposing a restricted programme that also consumes the source.</w:t>
      </w:r>
    </w:p>
    <w:p>
      <w:bookmarkStart w:id="130" w:name="req_FR_DAT_009"/>
      <w:pPr>
        <w:keepNext/>
        <w:spacing w:before="180" w:after="40"/>
      </w:pPr>
      <w:r>
        <w:rPr>
          <w:b/>
          <w:i w:val="0"/>
        </w:rPr>
        <w:t>FR-DAT-009   Data editing and amendments</w:t>
      </w:r>
      <w:bookmarkEnd w:id="130"/>
    </w:p>
    <w:p>
      <w:pPr>
        <w:keepNext/>
        <w:spacing w:after="60"/>
      </w:pPr>
      <w:r>
        <w:rPr>
          <w:b w:val="0"/>
          <w:i w:val="0"/>
          <w:sz w:val="19"/>
        </w:rPr>
        <w:t>Parent BR-DAT-009   |   P0   |   R1</w:t>
      </w:r>
    </w:p>
    <w:p>
      <w:pPr>
        <w:spacing w:after="60"/>
      </w:pPr>
      <w:r>
        <w:rPr>
          <w:b/>
          <w:i w:val="0"/>
        </w:rPr>
        <w:t xml:space="preserve">Behaviour: </w:t>
      </w:r>
      <w:r>
        <w:rPr>
          <w:b w:val="0"/>
          <w:i w:val="0"/>
        </w:rPr>
        <w:t>An amendment captures object revision, proposed values, reason and scope. Approved source changes retain earlier values where lawful and create a new revision requiring the relevant review. Bulk correction uses itemised preview and outcome receipts.</w:t>
      </w:r>
    </w:p>
    <w:p>
      <w:pPr>
        <w:spacing w:after="60"/>
      </w:pPr>
      <w:r>
        <w:rPr>
          <w:b/>
          <w:i w:val="0"/>
        </w:rPr>
        <w:t xml:space="preserve">Validation and recovery: </w:t>
      </w:r>
      <w:r>
        <w:rPr>
          <w:b w:val="0"/>
          <w:i w:val="0"/>
        </w:rPr>
        <w:t>A user cannot edit calculated actuals through dataset correction. Deletion or minimisation policy may retain only a permitted change marker instead of sensitive before and after values.</w:t>
      </w:r>
    </w:p>
    <w:p>
      <w:pPr>
        <w:spacing w:after="60"/>
      </w:pPr>
      <w:r>
        <w:rPr>
          <w:b/>
          <w:i w:val="0"/>
        </w:rPr>
        <w:t xml:space="preserve">Acceptance FT-DAT-009: </w:t>
      </w:r>
      <w:r>
        <w:rPr>
          <w:b w:val="0"/>
          <w:i w:val="0"/>
        </w:rPr>
        <w:t>Correct an approved unit from kilograms to tonnes and verify impacted indicators are recalculated under reviewed semantics, with old reports frozen.</w:t>
      </w:r>
    </w:p>
    <w:p>
      <w:bookmarkStart w:id="131" w:name="req_FR_DAT_010"/>
      <w:pPr>
        <w:keepNext/>
        <w:spacing w:before="180" w:after="40"/>
      </w:pPr>
      <w:r>
        <w:rPr>
          <w:b/>
          <w:i w:val="0"/>
        </w:rPr>
        <w:t>FR-DAT-010   Refresh scheduling and freshness</w:t>
      </w:r>
      <w:bookmarkEnd w:id="131"/>
    </w:p>
    <w:p>
      <w:pPr>
        <w:keepNext/>
        <w:spacing w:after="60"/>
      </w:pPr>
      <w:r>
        <w:rPr>
          <w:b w:val="0"/>
          <w:i w:val="0"/>
          <w:sz w:val="19"/>
        </w:rPr>
        <w:t>Parent BR-DAT-010   |   P1   |   R1</w:t>
      </w:r>
    </w:p>
    <w:p>
      <w:pPr>
        <w:spacing w:after="60"/>
      </w:pPr>
      <w:r>
        <w:rPr>
          <w:b/>
          <w:i w:val="0"/>
        </w:rPr>
        <w:t xml:space="preserve">Behaviour: </w:t>
      </w:r>
      <w:r>
        <w:rPr>
          <w:b w:val="0"/>
          <w:i w:val="0"/>
        </w:rPr>
        <w:t>Each source records cadence, zone, next run, last received, last validated and last approved data times. Schedule changes preview affected runs. Dashboards display the relevant freshness stage rather than equating a successful fetch with usable data.</w:t>
      </w:r>
    </w:p>
    <w:p>
      <w:pPr>
        <w:spacing w:after="60"/>
      </w:pPr>
      <w:r>
        <w:rPr>
          <w:b/>
          <w:i w:val="0"/>
        </w:rPr>
        <w:t xml:space="preserve">Validation and recovery: </w:t>
      </w:r>
      <w:r>
        <w:rPr>
          <w:b w:val="0"/>
          <w:i w:val="0"/>
        </w:rPr>
        <w:t>Missed or failed refresh does not clear the last known result. It labels it stale and links to the authorised failure owner. Overlapping scheduled runs follow one declared checkpoint sequence.</w:t>
      </w:r>
    </w:p>
    <w:p>
      <w:pPr>
        <w:spacing w:after="60"/>
      </w:pPr>
      <w:r>
        <w:rPr>
          <w:b/>
          <w:i w:val="0"/>
        </w:rPr>
        <w:t xml:space="preserve">Acceptance FT-DAT-010: </w:t>
      </w:r>
      <w:r>
        <w:rPr>
          <w:b w:val="0"/>
          <w:i w:val="0"/>
        </w:rPr>
        <w:t>Fetch succeeds but validation fails; source health distinguishes the two and dependent dashboards do not show a fresh approved result.</w:t>
      </w:r>
    </w:p>
    <w:p>
      <w:bookmarkStart w:id="132" w:name="req_FR_DAT_011"/>
      <w:pPr>
        <w:keepNext/>
        <w:spacing w:before="180" w:after="40"/>
      </w:pPr>
      <w:r>
        <w:rPr>
          <w:b/>
          <w:i w:val="0"/>
        </w:rPr>
        <w:t>FR-DAT-011   Data exports and portability</w:t>
      </w:r>
      <w:bookmarkEnd w:id="132"/>
    </w:p>
    <w:p>
      <w:pPr>
        <w:keepNext/>
        <w:spacing w:after="60"/>
      </w:pPr>
      <w:r>
        <w:rPr>
          <w:b w:val="0"/>
          <w:i w:val="0"/>
          <w:sz w:val="19"/>
        </w:rPr>
        <w:t>Parent BR-DAT-011   |   P0   |   R1</w:t>
      </w:r>
    </w:p>
    <w:p>
      <w:pPr>
        <w:spacing w:after="60"/>
      </w:pPr>
      <w:r>
        <w:rPr>
          <w:b/>
          <w:i w:val="0"/>
        </w:rPr>
        <w:t xml:space="preserve">Behaviour: </w:t>
      </w:r>
      <w:r>
        <w:rPr>
          <w:b w:val="0"/>
          <w:i w:val="0"/>
        </w:rPr>
        <w:t>Export selects authorised rows and fields, format and semantic metadata. Include stable IDs, type dictionary, code lists, units, time zone, source versions and value states. Large exports follow job and revocation controls.</w:t>
      </w:r>
    </w:p>
    <w:p>
      <w:pPr>
        <w:spacing w:after="60"/>
      </w:pPr>
      <w:r>
        <w:rPr>
          <w:b/>
          <w:i w:val="0"/>
        </w:rPr>
        <w:t xml:space="preserve">Validation and recovery: </w:t>
      </w:r>
      <w:r>
        <w:rPr>
          <w:b w:val="0"/>
          <w:i w:val="0"/>
        </w:rPr>
        <w:t>Neutralise spreadsheet formula-like text without silently changing its represented meaning; document the safe export encoding. No hidden unselected columns or private raw values in metadata.</w:t>
      </w:r>
    </w:p>
    <w:p>
      <w:pPr>
        <w:spacing w:after="60"/>
      </w:pPr>
      <w:r>
        <w:rPr>
          <w:b/>
          <w:i w:val="0"/>
        </w:rPr>
        <w:t xml:space="preserve">Acceptance FT-DAT-011: </w:t>
      </w:r>
      <w:r>
        <w:rPr>
          <w:b w:val="0"/>
          <w:i w:val="0"/>
        </w:rPr>
        <w:t>Export text beginning with an equals sign and a leading-zero ID; opening the file does not execute a formula and the ID remains text.</w:t>
      </w:r>
    </w:p>
    <w:p>
      <w:bookmarkStart w:id="133" w:name="req_FR_DAT_012"/>
      <w:pPr>
        <w:keepNext/>
        <w:spacing w:before="180" w:after="40"/>
      </w:pPr>
      <w:r>
        <w:rPr>
          <w:b/>
          <w:i w:val="0"/>
        </w:rPr>
        <w:t>FR-DAT-012   Data retention and dependency review</w:t>
      </w:r>
      <w:bookmarkEnd w:id="133"/>
    </w:p>
    <w:p>
      <w:pPr>
        <w:keepNext/>
        <w:spacing w:after="60"/>
      </w:pPr>
      <w:r>
        <w:rPr>
          <w:b w:val="0"/>
          <w:i w:val="0"/>
          <w:sz w:val="19"/>
        </w:rPr>
        <w:t>Parent BR-DAT-012   |   P0   |   R1</w:t>
      </w:r>
    </w:p>
    <w:p>
      <w:pPr>
        <w:spacing w:after="60"/>
      </w:pPr>
      <w:r>
        <w:rPr>
          <w:b/>
          <w:i w:val="0"/>
        </w:rPr>
        <w:t xml:space="preserve">Behaviour: </w:t>
      </w:r>
      <w:r>
        <w:rPr>
          <w:b w:val="0"/>
          <w:i w:val="0"/>
        </w:rPr>
        <w:t>Dataset archival or deletion starts with dependency and retention review. The preview separates live inputs, retained snapshots, indexes, AI references and external disclosures. Execution produces an itemised restriction or deletion manifest with holds and retryable failures.</w:t>
      </w:r>
    </w:p>
    <w:p>
      <w:pPr>
        <w:spacing w:after="60"/>
      </w:pPr>
      <w:r>
        <w:rPr>
          <w:b/>
          <w:i w:val="0"/>
        </w:rPr>
        <w:t xml:space="preserve">Validation and recovery: </w:t>
      </w:r>
      <w:r>
        <w:rPr>
          <w:b w:val="0"/>
          <w:i w:val="0"/>
        </w:rPr>
        <w:t>Do not leave readable orphan artifacts. A lawful retained snapshot is explicitly restricted and labelled, while historical publication may be withdrawn if its continued exposure is no longer permitted.</w:t>
      </w:r>
    </w:p>
    <w:p>
      <w:pPr>
        <w:spacing w:after="60"/>
      </w:pPr>
      <w:r>
        <w:rPr>
          <w:b/>
          <w:i w:val="0"/>
        </w:rPr>
        <w:t xml:space="preserve">Acceptance FT-DAT-012: </w:t>
      </w:r>
      <w:r>
        <w:rPr>
          <w:b w:val="0"/>
          <w:i w:val="0"/>
        </w:rPr>
        <w:t>Delete an eligible source and verify search, AI and generated private exports cannot recover it; held evidence appears only in the authorised hold inventory.</w:t>
      </w:r>
    </w:p>
    <w:p>
      <w:bookmarkStart w:id="134" w:name="sec_17"/>
      <w:pPr>
        <w:pStyle w:val="Heading1"/>
      </w:pPr>
      <w:r>
        <w:rPr>
          <w:b w:val="0"/>
          <w:i w:val="0"/>
        </w:rPr>
        <w:t>17 Data quality and completeness</w:t>
      </w:r>
      <w:bookmarkEnd w:id="134"/>
    </w:p>
    <w:p>
      <w:pPr>
        <w:spacing w:after="140"/>
      </w:pPr>
      <w:r>
        <w:rPr>
          <w:b w:val="0"/>
          <w:i/>
          <w:sz w:val="21"/>
        </w:rPr>
        <w:t>Primary actors: Data steward quality owner and reviewer. Interfaces: UI10 UI17 UI21. Logical entities: D12 D13 D22 D23.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35" w:name="req_FR_DQ_001"/>
      <w:pPr>
        <w:keepNext/>
        <w:spacing w:before="180" w:after="40"/>
      </w:pPr>
      <w:r>
        <w:rPr>
          <w:b/>
          <w:i w:val="0"/>
        </w:rPr>
        <w:t>FR-DQ-001   Quality rule catalogue</w:t>
      </w:r>
      <w:bookmarkEnd w:id="135"/>
    </w:p>
    <w:p>
      <w:pPr>
        <w:keepNext/>
        <w:spacing w:after="60"/>
      </w:pPr>
      <w:r>
        <w:rPr>
          <w:b w:val="0"/>
          <w:i w:val="0"/>
          <w:sz w:val="19"/>
        </w:rPr>
        <w:t>Parent BR-DQ-001   |   P0   |   R1</w:t>
      </w:r>
    </w:p>
    <w:p>
      <w:pPr>
        <w:spacing w:after="60"/>
      </w:pPr>
      <w:r>
        <w:rPr>
          <w:b/>
          <w:i w:val="0"/>
        </w:rPr>
        <w:t xml:space="preserve">Behaviour: </w:t>
      </w:r>
      <w:r>
        <w:rPr>
          <w:b w:val="0"/>
          <w:i w:val="0"/>
        </w:rPr>
        <w:t>The quality editor selects rule type, target fields, scope, severity, owner and effective version. Supported checks cover requiredness, uniqueness, range, references, dates, cross field logic and control totals. Preview reports failures against a permitted sample before activation.</w:t>
      </w:r>
    </w:p>
    <w:p>
      <w:pPr>
        <w:spacing w:after="60"/>
      </w:pPr>
      <w:r>
        <w:rPr>
          <w:b/>
          <w:i w:val="0"/>
        </w:rPr>
        <w:t xml:space="preserve">Validation and recovery: </w:t>
      </w:r>
      <w:r>
        <w:rPr>
          <w:b w:val="0"/>
          <w:i w:val="0"/>
        </w:rPr>
        <w:t>Rule updates apply prospectively unless a reviewed revalidation job is requested. A rule cannot read a field outside its authorised processing scope.</w:t>
      </w:r>
    </w:p>
    <w:p>
      <w:pPr>
        <w:spacing w:after="60"/>
      </w:pPr>
      <w:r>
        <w:rPr>
          <w:b/>
          <w:i w:val="0"/>
        </w:rPr>
        <w:t xml:space="preserve">Acceptance FT-DQ-001: </w:t>
      </w:r>
      <w:r>
        <w:rPr>
          <w:b w:val="0"/>
          <w:i w:val="0"/>
        </w:rPr>
        <w:t>Activate a visit date after birth date check and inspect the failing record's exact rule version and safe field message.</w:t>
      </w:r>
    </w:p>
    <w:p>
      <w:bookmarkStart w:id="136" w:name="req_FR_DQ_002"/>
      <w:pPr>
        <w:keepNext/>
        <w:spacing w:before="180" w:after="40"/>
      </w:pPr>
      <w:r>
        <w:rPr>
          <w:b/>
          <w:i w:val="0"/>
        </w:rPr>
        <w:t>FR-DQ-002   Blocking and warning behaviour</w:t>
      </w:r>
      <w:bookmarkEnd w:id="136"/>
    </w:p>
    <w:p>
      <w:pPr>
        <w:keepNext/>
        <w:spacing w:after="60"/>
      </w:pPr>
      <w:r>
        <w:rPr>
          <w:b w:val="0"/>
          <w:i w:val="0"/>
          <w:sz w:val="19"/>
        </w:rPr>
        <w:t>Parent BR-DQ-002   |   P0   |   R1</w:t>
      </w:r>
    </w:p>
    <w:p>
      <w:pPr>
        <w:spacing w:after="60"/>
      </w:pPr>
      <w:r>
        <w:rPr>
          <w:b/>
          <w:i w:val="0"/>
        </w:rPr>
        <w:t xml:space="preserve">Behaviour: </w:t>
      </w:r>
      <w:r>
        <w:rPr>
          <w:b w:val="0"/>
          <w:i w:val="0"/>
        </w:rPr>
        <w:t>A blocking error prevents progression; a review warning requires explicit disposition; informational findings do not block. Exception requests include rule, affected revision, reason, authority and expiry. Revalidation, correction and exception are separate actions.</w:t>
      </w:r>
    </w:p>
    <w:p>
      <w:pPr>
        <w:spacing w:after="60"/>
      </w:pPr>
      <w:r>
        <w:rPr>
          <w:b/>
          <w:i w:val="0"/>
        </w:rPr>
        <w:t xml:space="preserve">Validation and recovery: </w:t>
      </w:r>
      <w:r>
        <w:rPr>
          <w:b w:val="0"/>
          <w:i w:val="0"/>
        </w:rPr>
        <w:t>Dismissing a notification never resolves the underlying issue. Security restrictions, impossible calculations and self approval are nonwaivable.</w:t>
      </w:r>
    </w:p>
    <w:p>
      <w:pPr>
        <w:spacing w:after="60"/>
      </w:pPr>
      <w:r>
        <w:rPr>
          <w:b/>
          <w:i w:val="0"/>
        </w:rPr>
        <w:t xml:space="preserve">Acceptance FT-DQ-002: </w:t>
      </w:r>
      <w:r>
        <w:rPr>
          <w:b w:val="0"/>
          <w:i w:val="0"/>
        </w:rPr>
        <w:t>Attempt approval with a blocking duplicate event; it stays blocked until corrected, while a permitted warning can proceed only with its recorded exception.</w:t>
      </w:r>
    </w:p>
    <w:p>
      <w:bookmarkStart w:id="137" w:name="req_FR_DQ_003"/>
      <w:pPr>
        <w:keepNext/>
        <w:spacing w:before="180" w:after="40"/>
      </w:pPr>
      <w:r>
        <w:rPr>
          <w:b/>
          <w:i w:val="0"/>
        </w:rPr>
        <w:t>FR-DQ-003   Duplicate detection</w:t>
      </w:r>
      <w:bookmarkEnd w:id="137"/>
    </w:p>
    <w:p>
      <w:pPr>
        <w:keepNext/>
        <w:spacing w:after="60"/>
      </w:pPr>
      <w:r>
        <w:rPr>
          <w:b w:val="0"/>
          <w:i w:val="0"/>
          <w:sz w:val="19"/>
        </w:rPr>
        <w:t>Parent BR-DQ-003   |   P0   |   R1</w:t>
      </w:r>
    </w:p>
    <w:p>
      <w:pPr>
        <w:spacing w:after="60"/>
      </w:pPr>
      <w:r>
        <w:rPr>
          <w:b/>
          <w:i w:val="0"/>
        </w:rPr>
        <w:t xml:space="preserve">Behaviour: </w:t>
      </w:r>
      <w:r>
        <w:rPr>
          <w:b w:val="0"/>
          <w:i w:val="0"/>
        </w:rPr>
        <w:t>Exact duplicate detection uses declared business keys. Fuzzy matching generates candidate pairs with permitted evidence and match rationale. A reviewer chooses distinct, merge or further investigation; merge maps source identities to a canonical record and preserves provenance.</w:t>
      </w:r>
    </w:p>
    <w:p>
      <w:pPr>
        <w:spacing w:after="60"/>
      </w:pPr>
      <w:r>
        <w:rPr>
          <w:b/>
          <w:i w:val="0"/>
        </w:rPr>
        <w:t xml:space="preserve">Validation and recovery: </w:t>
      </w:r>
      <w:r>
        <w:rPr>
          <w:b w:val="0"/>
          <w:i w:val="0"/>
        </w:rPr>
        <w:t>Do not merge solely on a shared name. Unmerge or corrective split must restore affected relationships and recalculate counts; source confidentiality survives a merge.</w:t>
      </w:r>
    </w:p>
    <w:p>
      <w:pPr>
        <w:spacing w:after="60"/>
      </w:pPr>
      <w:r>
        <w:rPr>
          <w:b/>
          <w:i w:val="0"/>
        </w:rPr>
        <w:t xml:space="preserve">Acceptance FT-DQ-003: </w:t>
      </w:r>
      <w:r>
        <w:rPr>
          <w:b w:val="0"/>
          <w:i w:val="0"/>
        </w:rPr>
        <w:t>Two participants named Asha remain separate until reviewed evidence supports identity equivalence; a rejected match does not silently reappear as confirmed.</w:t>
      </w:r>
    </w:p>
    <w:p>
      <w:bookmarkStart w:id="138" w:name="req_FR_DQ_004"/>
      <w:pPr>
        <w:keepNext/>
        <w:spacing w:before="180" w:after="40"/>
      </w:pPr>
      <w:r>
        <w:rPr>
          <w:b/>
          <w:i w:val="0"/>
        </w:rPr>
        <w:t>FR-DQ-004   Reconciliation checks</w:t>
      </w:r>
      <w:bookmarkEnd w:id="138"/>
    </w:p>
    <w:p>
      <w:pPr>
        <w:keepNext/>
        <w:spacing w:after="60"/>
      </w:pPr>
      <w:r>
        <w:rPr>
          <w:b w:val="0"/>
          <w:i w:val="0"/>
          <w:sz w:val="19"/>
        </w:rPr>
        <w:t>Parent BR-DQ-004   |   P0   |   R1</w:t>
      </w:r>
    </w:p>
    <w:p>
      <w:pPr>
        <w:spacing w:after="60"/>
      </w:pPr>
      <w:r>
        <w:rPr>
          <w:b/>
          <w:i w:val="0"/>
        </w:rPr>
        <w:t xml:space="preserve">Behaviour: </w:t>
      </w:r>
      <w:r>
        <w:rPr>
          <w:b w:val="0"/>
          <w:i w:val="0"/>
        </w:rPr>
        <w:t>Reconciliation rules declare the expected equation and category semantics. For exclusive exhaustive breakdowns, compare component sum to total at the stated precision. For overlapping categories, compare distinct entities or use a labelled nonadditive check.</w:t>
      </w:r>
    </w:p>
    <w:p>
      <w:pPr>
        <w:spacing w:after="60"/>
      </w:pPr>
      <w:r>
        <w:rPr>
          <w:b/>
          <w:i w:val="0"/>
        </w:rPr>
        <w:t xml:space="preserve">Validation and recovery: </w:t>
      </w:r>
      <w:r>
        <w:rPr>
          <w:b w:val="0"/>
          <w:i w:val="0"/>
        </w:rPr>
        <w:t>Suppressed values may be evaluated privately but never exposed in public reconciliation detail. Missing components make the check incomplete rather than automatically failed or passed.</w:t>
      </w:r>
    </w:p>
    <w:p>
      <w:pPr>
        <w:spacing w:after="60"/>
      </w:pPr>
      <w:r>
        <w:rPr>
          <w:b/>
          <w:i w:val="0"/>
        </w:rPr>
        <w:t xml:space="preserve">Acceptance FT-DQ-004: </w:t>
      </w:r>
      <w:r>
        <w:rPr>
          <w:b w:val="0"/>
          <w:i w:val="0"/>
        </w:rPr>
        <w:t>A total of ten with exclusive components six and four passes; two overlapping service categories six and seven are not incorrectly required to sum to ten.</w:t>
      </w:r>
    </w:p>
    <w:p>
      <w:bookmarkStart w:id="139" w:name="req_FR_DQ_005"/>
      <w:pPr>
        <w:keepNext/>
        <w:spacing w:before="180" w:after="40"/>
      </w:pPr>
      <w:r>
        <w:rPr>
          <w:b/>
          <w:i w:val="0"/>
        </w:rPr>
        <w:t>FR-DQ-005   Quality issue workflow</w:t>
      </w:r>
      <w:bookmarkEnd w:id="139"/>
    </w:p>
    <w:p>
      <w:pPr>
        <w:keepNext/>
        <w:spacing w:after="60"/>
      </w:pPr>
      <w:r>
        <w:rPr>
          <w:b w:val="0"/>
          <w:i w:val="0"/>
          <w:sz w:val="19"/>
        </w:rPr>
        <w:t>Parent BR-DQ-005   |   P0   |   R1</w:t>
      </w:r>
    </w:p>
    <w:p>
      <w:pPr>
        <w:spacing w:after="60"/>
      </w:pPr>
      <w:r>
        <w:rPr>
          <w:b/>
          <w:i w:val="0"/>
        </w:rPr>
        <w:t xml:space="preserve">Behaviour: </w:t>
      </w:r>
      <w:r>
        <w:rPr>
          <w:b w:val="0"/>
          <w:i w:val="0"/>
        </w:rPr>
        <w:t>A quality issue binds the failing object revision, rule, severity, owner and due time. Correction opens a linked revision; revalidation confirms the new outcome. Closure records evidence, while an unresolved material issue remains attached to dependent results.</w:t>
      </w:r>
    </w:p>
    <w:p>
      <w:pPr>
        <w:spacing w:after="60"/>
      </w:pPr>
      <w:r>
        <w:rPr>
          <w:b/>
          <w:i w:val="0"/>
        </w:rPr>
        <w:t xml:space="preserve">Validation and recovery: </w:t>
      </w:r>
      <w:r>
        <w:rPr>
          <w:b w:val="0"/>
          <w:i w:val="0"/>
        </w:rPr>
        <w:t>Changing owner or marking a comment resolved cannot close the issue. A new recurrence links to prior history without erasing the earlier fix.</w:t>
      </w:r>
    </w:p>
    <w:p>
      <w:pPr>
        <w:spacing w:after="60"/>
      </w:pPr>
      <w:r>
        <w:rPr>
          <w:b/>
          <w:i w:val="0"/>
        </w:rPr>
        <w:t xml:space="preserve">Acceptance FT-DQ-005: </w:t>
      </w:r>
      <w:r>
        <w:rPr>
          <w:b w:val="0"/>
          <w:i w:val="0"/>
        </w:rPr>
        <w:t>Follow a malformed date from import rejection through correction and revalidation; the reporting delay and final accepted revision remain traceable.</w:t>
      </w:r>
    </w:p>
    <w:p>
      <w:bookmarkStart w:id="140" w:name="req_FR_DQ_006"/>
      <w:pPr>
        <w:keepNext/>
        <w:spacing w:before="180" w:after="40"/>
      </w:pPr>
      <w:r>
        <w:rPr>
          <w:b/>
          <w:i w:val="0"/>
        </w:rPr>
        <w:t>FR-DQ-006   Completeness and timeliness</w:t>
      </w:r>
      <w:bookmarkEnd w:id="140"/>
    </w:p>
    <w:p>
      <w:pPr>
        <w:keepNext/>
        <w:spacing w:after="60"/>
      </w:pPr>
      <w:r>
        <w:rPr>
          <w:b w:val="0"/>
          <w:i w:val="0"/>
          <w:sz w:val="19"/>
        </w:rPr>
        <w:t>Parent BR-DQ-006   |   P0   |   R1</w:t>
      </w:r>
    </w:p>
    <w:p>
      <w:pPr>
        <w:spacing w:after="60"/>
      </w:pPr>
      <w:r>
        <w:rPr>
          <w:b/>
          <w:i w:val="0"/>
        </w:rPr>
        <w:t xml:space="preserve">Behaviour: </w:t>
      </w:r>
      <w:r>
        <w:rPr>
          <w:b w:val="0"/>
          <w:i w:val="0"/>
        </w:rPr>
        <w:t>The completeness view uses the period's obligation snapshot and distinguishes expected, received, valid, approved, late and excepted. Each percentage exposes numerator and denominator; lateness uses first valid receipt or approval according to the declared metric.</w:t>
      </w:r>
    </w:p>
    <w:p>
      <w:pPr>
        <w:spacing w:after="60"/>
      </w:pPr>
      <w:r>
        <w:rPr>
          <w:b/>
          <w:i w:val="0"/>
        </w:rPr>
        <w:t xml:space="preserve">Validation and recovery: </w:t>
      </w:r>
      <w:r>
        <w:rPr>
          <w:b w:val="0"/>
          <w:i w:val="0"/>
        </w:rPr>
        <w:t>Changing current partner membership cannot rewrite older obligation denominators. Cancelled obligations require approved effective dates and reason.</w:t>
      </w:r>
    </w:p>
    <w:p>
      <w:pPr>
        <w:spacing w:after="60"/>
      </w:pPr>
      <w:r>
        <w:rPr>
          <w:b/>
          <w:i w:val="0"/>
        </w:rPr>
        <w:t xml:space="preserve">Acceptance FT-DQ-006: </w:t>
      </w:r>
      <w:r>
        <w:rPr>
          <w:b w:val="0"/>
          <w:i w:val="0"/>
        </w:rPr>
        <w:t>Retire a partner in July and verify its missing June submission remains counted while no August obligation is created.</w:t>
      </w:r>
    </w:p>
    <w:p>
      <w:bookmarkStart w:id="141" w:name="req_FR_DQ_007"/>
      <w:pPr>
        <w:keepNext/>
        <w:spacing w:before="180" w:after="40"/>
      </w:pPr>
      <w:r>
        <w:rPr>
          <w:b/>
          <w:i w:val="0"/>
        </w:rPr>
        <w:t>FR-DQ-007   Anomaly assistance</w:t>
      </w:r>
      <w:bookmarkEnd w:id="141"/>
    </w:p>
    <w:p>
      <w:pPr>
        <w:keepNext/>
        <w:spacing w:after="60"/>
      </w:pPr>
      <w:r>
        <w:rPr>
          <w:b w:val="0"/>
          <w:i w:val="0"/>
          <w:sz w:val="19"/>
        </w:rPr>
        <w:t>Parent BR-DQ-007   |   P1   |   R2</w:t>
      </w:r>
    </w:p>
    <w:p>
      <w:pPr>
        <w:spacing w:after="60"/>
      </w:pPr>
      <w:r>
        <w:rPr>
          <w:b/>
          <w:i w:val="0"/>
        </w:rPr>
        <w:t xml:space="preserve">Behaviour: </w:t>
      </w:r>
      <w:r>
        <w:rPr>
          <w:b w:val="0"/>
          <w:i w:val="0"/>
        </w:rPr>
        <w:t>An anomaly run records method version, eligible data, comparison window and explanation. Findings enter suggested state with severity and owner. Review can confirm an issue, dismiss with reason or defer; feedback informs later evaluated model changes.</w:t>
      </w:r>
    </w:p>
    <w:p>
      <w:pPr>
        <w:spacing w:after="60"/>
      </w:pPr>
      <w:r>
        <w:rPr>
          <w:b/>
          <w:i w:val="0"/>
        </w:rPr>
        <w:t xml:space="preserve">Validation and recovery: </w:t>
      </w:r>
      <w:r>
        <w:rPr>
          <w:b w:val="0"/>
          <w:i w:val="0"/>
        </w:rPr>
        <w:t>A flag never modifies data or labels a person fraudulent. False positive and missed issue evidence is retained under minimised policy.</w:t>
      </w:r>
    </w:p>
    <w:p>
      <w:pPr>
        <w:spacing w:after="60"/>
      </w:pPr>
      <w:r>
        <w:rPr>
          <w:b/>
          <w:i w:val="0"/>
        </w:rPr>
        <w:t xml:space="preserve">Acceptance FT-DQ-007: </w:t>
      </w:r>
      <w:r>
        <w:rPr>
          <w:b w:val="0"/>
          <w:i w:val="0"/>
        </w:rPr>
        <w:t>A seasonal spike is flagged, reviewed as expected and retained unchanged; the dismissed suggestion remains distinct from a confirmed quality defect.</w:t>
      </w:r>
    </w:p>
    <w:p>
      <w:bookmarkStart w:id="142" w:name="req_FR_DQ_008"/>
      <w:pPr>
        <w:keepNext/>
        <w:spacing w:before="180" w:after="40"/>
      </w:pPr>
      <w:r>
        <w:rPr>
          <w:b/>
          <w:i w:val="0"/>
        </w:rPr>
        <w:t>FR-DQ-008   Quality disclosure</w:t>
      </w:r>
      <w:bookmarkEnd w:id="142"/>
    </w:p>
    <w:p>
      <w:pPr>
        <w:keepNext/>
        <w:spacing w:after="60"/>
      </w:pPr>
      <w:r>
        <w:rPr>
          <w:b w:val="0"/>
          <w:i w:val="0"/>
          <w:sz w:val="19"/>
        </w:rPr>
        <w:t>Parent BR-DQ-008   |   P0   |   R1</w:t>
      </w:r>
    </w:p>
    <w:p>
      <w:pPr>
        <w:spacing w:after="60"/>
      </w:pPr>
      <w:r>
        <w:rPr>
          <w:b/>
          <w:i w:val="0"/>
        </w:rPr>
        <w:t xml:space="preserve">Behaviour: </w:t>
      </w:r>
      <w:r>
        <w:rPr>
          <w:b w:val="0"/>
          <w:i w:val="0"/>
        </w:rPr>
        <w:t>Every result carries required quality disclosures from its sources and approval exceptions. Dashboard styling, report templates and AI drafting must preserve material caveats. A disclosure may be shortened only through an approved equivalent wording template.</w:t>
      </w:r>
    </w:p>
    <w:p>
      <w:pPr>
        <w:spacing w:after="60"/>
      </w:pPr>
      <w:r>
        <w:rPr>
          <w:b/>
          <w:i w:val="0"/>
        </w:rPr>
        <w:t xml:space="preserve">Validation and recovery: </w:t>
      </w:r>
      <w:r>
        <w:rPr>
          <w:b w:val="0"/>
          <w:i w:val="0"/>
        </w:rPr>
        <w:t>Do not let authors hide partial coverage by removing a widget or exporting a bare number. Restricted detail may be withheld while the material limitation remains visible.</w:t>
      </w:r>
    </w:p>
    <w:p>
      <w:pPr>
        <w:spacing w:after="60"/>
      </w:pPr>
      <w:r>
        <w:rPr>
          <w:b/>
          <w:i w:val="0"/>
        </w:rPr>
        <w:t xml:space="preserve">Acceptance FT-DQ-008: </w:t>
      </w:r>
      <w:r>
        <w:rPr>
          <w:b w:val="0"/>
          <w:i w:val="0"/>
        </w:rPr>
        <w:t>Generate a report from three of five approved submissions; both chart and narrative export retain partial coverage and 60 percent approval completeness.</w:t>
      </w:r>
    </w:p>
    <w:p>
      <w:bookmarkStart w:id="143" w:name="sec_18"/>
      <w:pPr>
        <w:pStyle w:val="Heading1"/>
      </w:pPr>
      <w:r>
        <w:rPr>
          <w:b w:val="0"/>
          <w:i w:val="0"/>
        </w:rPr>
        <w:t>18 Participants institutions and service events</w:t>
      </w:r>
      <w:bookmarkEnd w:id="143"/>
    </w:p>
    <w:p>
      <w:pPr>
        <w:spacing w:after="140"/>
      </w:pPr>
      <w:r>
        <w:rPr>
          <w:b w:val="0"/>
          <w:i/>
          <w:sz w:val="21"/>
        </w:rPr>
        <w:t>Primary actors: Assigned programme staff and privacy officer. Interfaces: UI13 UI18 UI27. Logical entities: D18 D19 D20 D33.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44" w:name="req_FR_PAR_001"/>
      <w:pPr>
        <w:keepNext/>
        <w:spacing w:before="180" w:after="40"/>
      </w:pPr>
      <w:r>
        <w:rPr>
          <w:b/>
          <w:i w:val="0"/>
        </w:rPr>
        <w:t>FR-PAR-001   Optional registries</w:t>
      </w:r>
      <w:bookmarkEnd w:id="144"/>
    </w:p>
    <w:p>
      <w:pPr>
        <w:keepNext/>
        <w:spacing w:after="60"/>
      </w:pPr>
      <w:r>
        <w:rPr>
          <w:b w:val="0"/>
          <w:i w:val="0"/>
          <w:sz w:val="19"/>
        </w:rPr>
        <w:t>Parent BR-PAR-001   |   P1   |   R1</w:t>
      </w:r>
    </w:p>
    <w:p>
      <w:pPr>
        <w:spacing w:after="60"/>
      </w:pPr>
      <w:r>
        <w:rPr>
          <w:b/>
          <w:i w:val="0"/>
        </w:rPr>
        <w:t xml:space="preserve">Behaviour: </w:t>
      </w:r>
      <w:r>
        <w:rPr>
          <w:b w:val="0"/>
          <w:i w:val="0"/>
        </w:rPr>
        <w:t>Programme setup chooses aggregate-only or registry-enabled mode. Registry configuration selects entity types and necessary attributes. The system issues a programme pseudonym and supports participants, households, groups, institutions, facilities and sites without mandatory national identifiers.</w:t>
      </w:r>
    </w:p>
    <w:p>
      <w:pPr>
        <w:spacing w:after="60"/>
      </w:pPr>
      <w:r>
        <w:rPr>
          <w:b/>
          <w:i w:val="0"/>
        </w:rPr>
        <w:t xml:space="preserve">Validation and recovery: </w:t>
      </w:r>
      <w:r>
        <w:rPr>
          <w:b w:val="0"/>
          <w:i w:val="0"/>
        </w:rPr>
        <w:t>Switching to a registry requires privacy review and field configuration; aggregate-only setup cannot silently create empty personal records. Entity type and relationships are explicit.</w:t>
      </w:r>
    </w:p>
    <w:p>
      <w:pPr>
        <w:spacing w:after="60"/>
      </w:pPr>
      <w:r>
        <w:rPr>
          <w:b/>
          <w:i w:val="0"/>
        </w:rPr>
        <w:t xml:space="preserve">Acceptance FT-PAR-001: </w:t>
      </w:r>
      <w:r>
        <w:rPr>
          <w:b w:val="0"/>
          <w:i w:val="0"/>
        </w:rPr>
        <w:t>Create an aggregate-only education programme and a participant programme; only the latter exposes the configured registry workspace.</w:t>
      </w:r>
    </w:p>
    <w:p>
      <w:bookmarkStart w:id="145" w:name="req_FR_PAR_002"/>
      <w:pPr>
        <w:keepNext/>
        <w:spacing w:before="180" w:after="40"/>
      </w:pPr>
      <w:r>
        <w:rPr>
          <w:b/>
          <w:i w:val="0"/>
        </w:rPr>
        <w:t>FR-PAR-002   Purpose limited identity</w:t>
      </w:r>
      <w:bookmarkEnd w:id="145"/>
    </w:p>
    <w:p>
      <w:pPr>
        <w:keepNext/>
        <w:spacing w:after="60"/>
      </w:pPr>
      <w:r>
        <w:rPr>
          <w:b w:val="0"/>
          <w:i w:val="0"/>
          <w:sz w:val="19"/>
        </w:rPr>
        <w:t>Parent BR-PAR-002   |   P0   |   R1</w:t>
      </w:r>
    </w:p>
    <w:p>
      <w:pPr>
        <w:spacing w:after="60"/>
      </w:pPr>
      <w:r>
        <w:rPr>
          <w:b/>
          <w:i w:val="0"/>
        </w:rPr>
        <w:t xml:space="preserve">Behaviour: </w:t>
      </w:r>
      <w:r>
        <w:rPr>
          <w:b w:val="0"/>
          <w:i w:val="0"/>
        </w:rPr>
        <w:t>Direct identity fields use separate capabilities from analytical attributes. Pseudonyms are scoped to the approved programme or matching agreement. Longitudinal joins use those identifiers while hiding names from ordinary analysts.</w:t>
      </w:r>
    </w:p>
    <w:p>
      <w:pPr>
        <w:spacing w:after="60"/>
      </w:pPr>
      <w:r>
        <w:rPr>
          <w:b/>
          <w:i w:val="0"/>
        </w:rPr>
        <w:t xml:space="preserve">Validation and recovery: </w:t>
      </w:r>
      <w:r>
        <w:rPr>
          <w:b w:val="0"/>
          <w:i w:val="0"/>
        </w:rPr>
        <w:t>Cross project linkage requires a separately approved purpose, matching contract and authority to both scopes. A pseudonym is not a universal public identifier.</w:t>
      </w:r>
    </w:p>
    <w:p>
      <w:pPr>
        <w:spacing w:after="60"/>
      </w:pPr>
      <w:r>
        <w:rPr>
          <w:b/>
          <w:i w:val="0"/>
        </w:rPr>
        <w:t xml:space="preserve">Acceptance FT-PAR-002: </w:t>
      </w:r>
      <w:r>
        <w:rPr>
          <w:b w:val="0"/>
          <w:i w:val="0"/>
        </w:rPr>
        <w:t>An analyst joins two visits for one participant using a pseudonym but cannot resolve the person's name or participation in another programme.</w:t>
      </w:r>
    </w:p>
    <w:p>
      <w:bookmarkStart w:id="146" w:name="req_FR_PAR_003"/>
      <w:pPr>
        <w:keepNext/>
        <w:spacing w:before="180" w:after="40"/>
      </w:pPr>
      <w:r>
        <w:rPr>
          <w:b/>
          <w:i w:val="0"/>
        </w:rPr>
        <w:t>FR-PAR-003   Notice consent and lawful handling</w:t>
      </w:r>
      <w:bookmarkEnd w:id="146"/>
    </w:p>
    <w:p>
      <w:pPr>
        <w:keepNext/>
        <w:spacing w:after="60"/>
      </w:pPr>
      <w:r>
        <w:rPr>
          <w:b w:val="0"/>
          <w:i w:val="0"/>
          <w:sz w:val="19"/>
        </w:rPr>
        <w:t>Parent BR-PAR-003   |   P0   |   R1</w:t>
      </w:r>
    </w:p>
    <w:p>
      <w:pPr>
        <w:spacing w:after="60"/>
      </w:pPr>
      <w:r>
        <w:rPr>
          <w:b/>
          <w:i w:val="0"/>
        </w:rPr>
        <w:t xml:space="preserve">Behaviour: </w:t>
      </w:r>
      <w:r>
        <w:rPr>
          <w:b w:val="0"/>
          <w:i w:val="0"/>
        </w:rPr>
        <w:t>Collection presents the applicable notice and records version, language, purpose, handling basis, recorder and consent decision where relevant. Optional purposes such as photography are independently selected. Withdrawal updates only the affected permitted uses and triggers downstream review.</w:t>
      </w:r>
    </w:p>
    <w:p>
      <w:pPr>
        <w:spacing w:after="60"/>
      </w:pPr>
      <w:r>
        <w:rPr>
          <w:b/>
          <w:i w:val="0"/>
        </w:rPr>
        <w:t xml:space="preserve">Validation and recovery: </w:t>
      </w:r>
      <w:r>
        <w:rPr>
          <w:b w:val="0"/>
          <w:i w:val="0"/>
        </w:rPr>
        <w:t>Refusal of optional media must not block a service record unless policy justifies that dependency. Consent is not assumed to authorise research, model training or public disclosure.</w:t>
      </w:r>
    </w:p>
    <w:p>
      <w:pPr>
        <w:spacing w:after="60"/>
      </w:pPr>
      <w:r>
        <w:rPr>
          <w:b/>
          <w:i w:val="0"/>
        </w:rPr>
        <w:t xml:space="preserve">Acceptance FT-PAR-003: </w:t>
      </w:r>
      <w:r>
        <w:rPr>
          <w:b w:val="0"/>
          <w:i w:val="0"/>
        </w:rPr>
        <w:t>Withdraw public image permission while retaining lawful service monitoring; photo publication is blocked and eligible analytic observations remain governed by their own basis.</w:t>
      </w:r>
    </w:p>
    <w:p>
      <w:bookmarkStart w:id="147" w:name="req_FR_PAR_004"/>
      <w:pPr>
        <w:keepNext/>
        <w:spacing w:before="180" w:after="40"/>
      </w:pPr>
      <w:r>
        <w:rPr>
          <w:b/>
          <w:i w:val="0"/>
        </w:rPr>
        <w:t>FR-PAR-004   Service and participation events</w:t>
      </w:r>
      <w:bookmarkEnd w:id="147"/>
    </w:p>
    <w:p>
      <w:pPr>
        <w:keepNext/>
        <w:spacing w:after="60"/>
      </w:pPr>
      <w:r>
        <w:rPr>
          <w:b w:val="0"/>
          <w:i w:val="0"/>
          <w:sz w:val="19"/>
        </w:rPr>
        <w:t>Parent BR-PAR-004   |   P1   |   R1</w:t>
      </w:r>
    </w:p>
    <w:p>
      <w:pPr>
        <w:spacing w:after="60"/>
      </w:pPr>
      <w:r>
        <w:rPr>
          <w:b/>
          <w:i w:val="0"/>
        </w:rPr>
        <w:t xml:space="preserve">Behaviour: </w:t>
      </w:r>
      <w:r>
        <w:rPr>
          <w:b w:val="0"/>
          <w:i w:val="0"/>
        </w:rPr>
        <w:t>A service event captures stable event identity, subject, event type, date, provider or site and evidence. Corrections create revisions. Reporting selects event counts or distinct subjects according to the indicator definition.</w:t>
      </w:r>
    </w:p>
    <w:p>
      <w:pPr>
        <w:spacing w:after="60"/>
      </w:pPr>
      <w:r>
        <w:rPr>
          <w:b/>
          <w:i w:val="0"/>
        </w:rPr>
        <w:t xml:space="preserve">Validation and recovery: </w:t>
      </w:r>
      <w:r>
        <w:rPr>
          <w:b w:val="0"/>
          <w:i w:val="0"/>
        </w:rPr>
        <w:t>Repeated ingestion of the same event does not add another visit. Cancellation or reversal is explicit and cannot silently remove the original receipt.</w:t>
      </w:r>
    </w:p>
    <w:p>
      <w:pPr>
        <w:spacing w:after="60"/>
      </w:pPr>
      <w:r>
        <w:rPr>
          <w:b/>
          <w:i w:val="0"/>
        </w:rPr>
        <w:t xml:space="preserve">Acceptance FT-PAR-004: </w:t>
      </w:r>
      <w:r>
        <w:rPr>
          <w:b w:val="0"/>
          <w:i w:val="0"/>
        </w:rPr>
        <w:t>Record three distinct visits for one participant; service count is three and approved unique person count is one.</w:t>
      </w:r>
    </w:p>
    <w:p>
      <w:bookmarkStart w:id="148" w:name="req_FR_PAR_005"/>
      <w:pPr>
        <w:keepNext/>
        <w:spacing w:before="180" w:after="40"/>
      </w:pPr>
      <w:r>
        <w:rPr>
          <w:b/>
          <w:i w:val="0"/>
        </w:rPr>
        <w:t>FR-PAR-005   Household and group membership</w:t>
      </w:r>
      <w:bookmarkEnd w:id="148"/>
    </w:p>
    <w:p>
      <w:pPr>
        <w:keepNext/>
        <w:spacing w:after="60"/>
      </w:pPr>
      <w:r>
        <w:rPr>
          <w:b w:val="0"/>
          <w:i w:val="0"/>
          <w:sz w:val="19"/>
        </w:rPr>
        <w:t>Parent BR-PAR-005   |   P1   |   R2</w:t>
      </w:r>
    </w:p>
    <w:p>
      <w:pPr>
        <w:spacing w:after="60"/>
      </w:pPr>
      <w:r>
        <w:rPr>
          <w:b/>
          <w:i w:val="0"/>
        </w:rPr>
        <w:t xml:space="preserve">Behaviour: </w:t>
      </w:r>
      <w:r>
        <w:rPr>
          <w:b w:val="0"/>
          <w:i w:val="0"/>
        </w:rPr>
        <w:t>Household or group membership records entity pair, role, effective start and optional end. A change closes the old interval and opens a new one after overlap validation. Survey submissions pin the relevant relationship version.</w:t>
      </w:r>
    </w:p>
    <w:p>
      <w:pPr>
        <w:spacing w:after="60"/>
      </w:pPr>
      <w:r>
        <w:rPr>
          <w:b/>
          <w:i w:val="0"/>
        </w:rPr>
        <w:t xml:space="preserve">Validation and recovery: </w:t>
      </w:r>
      <w:r>
        <w:rPr>
          <w:b w:val="0"/>
          <w:i w:val="0"/>
        </w:rPr>
        <w:t>A guardian field has separate sensitivity and purpose controls. Current membership is not retrospectively applied to historic surveys.</w:t>
      </w:r>
    </w:p>
    <w:p>
      <w:pPr>
        <w:spacing w:after="60"/>
      </w:pPr>
      <w:r>
        <w:rPr>
          <w:b/>
          <w:i w:val="0"/>
        </w:rPr>
        <w:t xml:space="preserve">Acceptance FT-PAR-005: </w:t>
      </w:r>
      <w:r>
        <w:rPr>
          <w:b w:val="0"/>
          <w:i w:val="0"/>
        </w:rPr>
        <w:t>Move a person from household A to B on 1 June; May observations retain A and July observations resolve to B.</w:t>
      </w:r>
    </w:p>
    <w:p>
      <w:bookmarkStart w:id="149" w:name="req_FR_PAR_006"/>
      <w:pPr>
        <w:keepNext/>
        <w:spacing w:before="180" w:after="40"/>
      </w:pPr>
      <w:r>
        <w:rPr>
          <w:b/>
          <w:i w:val="0"/>
        </w:rPr>
        <w:t>FR-PAR-006   Cohorts and follow up</w:t>
      </w:r>
      <w:bookmarkEnd w:id="149"/>
    </w:p>
    <w:p>
      <w:pPr>
        <w:keepNext/>
        <w:spacing w:after="60"/>
      </w:pPr>
      <w:r>
        <w:rPr>
          <w:b w:val="0"/>
          <w:i w:val="0"/>
          <w:sz w:val="19"/>
        </w:rPr>
        <w:t>Parent BR-PAR-006   |   P1   |   R2</w:t>
      </w:r>
    </w:p>
    <w:p>
      <w:pPr>
        <w:spacing w:after="60"/>
      </w:pPr>
      <w:r>
        <w:rPr>
          <w:b/>
          <w:i w:val="0"/>
        </w:rPr>
        <w:t xml:space="preserve">Behaviour: </w:t>
      </w:r>
      <w:r>
        <w:rPr>
          <w:b w:val="0"/>
          <w:i w:val="0"/>
        </w:rPr>
        <w:t>Cohort creation pins eligibility rules, index date, observation windows and denominator policy. Follow up outcomes record completed, missing, withdrawn, ineligible, deceased or lost to follow up where appropriate. Analysis displays exclusions and their reasons.</w:t>
      </w:r>
    </w:p>
    <w:p>
      <w:pPr>
        <w:spacing w:after="60"/>
      </w:pPr>
      <w:r>
        <w:rPr>
          <w:b/>
          <w:i w:val="0"/>
        </w:rPr>
        <w:t xml:space="preserve">Validation and recovery: </w:t>
      </w:r>
      <w:r>
        <w:rPr>
          <w:b w:val="0"/>
          <w:i w:val="0"/>
        </w:rPr>
        <w:t>Denominator changes require an approved rule; missing follow up is not successful treatment. An outside-window observation is separately flagged and cannot silently substitute for the intended visit.</w:t>
      </w:r>
    </w:p>
    <w:p>
      <w:pPr>
        <w:spacing w:after="60"/>
      </w:pPr>
      <w:r>
        <w:rPr>
          <w:b/>
          <w:i w:val="0"/>
        </w:rPr>
        <w:t xml:space="preserve">Acceptance FT-PAR-006: </w:t>
      </w:r>
      <w:r>
        <w:rPr>
          <w:b w:val="0"/>
          <w:i w:val="0"/>
        </w:rPr>
        <w:t>Ten enrolled participants with two missing follow ups produce the declared denominator and explicit attrition, not eight automatically successful outcomes.</w:t>
      </w:r>
    </w:p>
    <w:p>
      <w:bookmarkStart w:id="150" w:name="req_FR_PAR_007"/>
      <w:pPr>
        <w:keepNext/>
        <w:spacing w:before="180" w:after="40"/>
      </w:pPr>
      <w:r>
        <w:rPr>
          <w:b/>
          <w:i w:val="0"/>
        </w:rPr>
        <w:t>FR-PAR-007   Safeguarding and vulnerable people</w:t>
      </w:r>
      <w:bookmarkEnd w:id="150"/>
    </w:p>
    <w:p>
      <w:pPr>
        <w:keepNext/>
        <w:spacing w:after="60"/>
      </w:pPr>
      <w:r>
        <w:rPr>
          <w:b w:val="0"/>
          <w:i w:val="0"/>
          <w:sz w:val="19"/>
        </w:rPr>
        <w:t>Parent BR-PAR-007   |   P0   |   R1</w:t>
      </w:r>
    </w:p>
    <w:p>
      <w:pPr>
        <w:spacing w:after="60"/>
      </w:pPr>
      <w:r>
        <w:rPr>
          <w:b/>
          <w:i w:val="0"/>
        </w:rPr>
        <w:t xml:space="preserve">Behaviour: </w:t>
      </w:r>
      <w:r>
        <w:rPr>
          <w:b w:val="0"/>
          <w:i w:val="0"/>
        </w:rPr>
        <w:t>Sensitive programme setup selects guardian and notice rules, safe contact channels, restricted fields and evidence policy. A safeguarding concern creates a restricted case with minimal reference in ordinary workspaces and routes only to designated staff.</w:t>
      </w:r>
    </w:p>
    <w:p>
      <w:pPr>
        <w:spacing w:after="60"/>
      </w:pPr>
      <w:r>
        <w:rPr>
          <w:b/>
          <w:i w:val="0"/>
        </w:rPr>
        <w:t xml:space="preserve">Validation and recovery: </w:t>
      </w:r>
      <w:r>
        <w:rPr>
          <w:b w:val="0"/>
          <w:i w:val="0"/>
        </w:rPr>
        <w:t>Do not put the concern narrative, precise location or child's identity in general notifications. Ordinary programme membership does not imply safeguarding access.</w:t>
      </w:r>
    </w:p>
    <w:p>
      <w:pPr>
        <w:spacing w:after="60"/>
      </w:pPr>
      <w:r>
        <w:rPr>
          <w:b/>
          <w:i w:val="0"/>
        </w:rPr>
        <w:t xml:space="preserve">Acceptance FT-PAR-007: </w:t>
      </w:r>
      <w:r>
        <w:rPr>
          <w:b w:val="0"/>
          <w:i w:val="0"/>
        </w:rPr>
        <w:t>An enumerator flags a concern; only the assigned safeguarding officer can open its content while the manager sees a restricted follow up status.</w:t>
      </w:r>
    </w:p>
    <w:p>
      <w:bookmarkStart w:id="151" w:name="req_FR_PAR_008"/>
      <w:pPr>
        <w:keepNext/>
        <w:spacing w:before="180" w:after="40"/>
      </w:pPr>
      <w:r>
        <w:rPr>
          <w:b/>
          <w:i w:val="0"/>
        </w:rPr>
        <w:t>FR-PAR-008   Participant requests and corrections</w:t>
      </w:r>
      <w:bookmarkEnd w:id="151"/>
    </w:p>
    <w:p>
      <w:pPr>
        <w:keepNext/>
        <w:spacing w:after="60"/>
      </w:pPr>
      <w:r>
        <w:rPr>
          <w:b w:val="0"/>
          <w:i w:val="0"/>
          <w:sz w:val="19"/>
        </w:rPr>
        <w:t>Parent BR-PAR-008   |   P0   |   R1</w:t>
      </w:r>
    </w:p>
    <w:p>
      <w:pPr>
        <w:spacing w:after="60"/>
      </w:pPr>
      <w:r>
        <w:rPr>
          <w:b/>
          <w:i w:val="0"/>
        </w:rPr>
        <w:t xml:space="preserve">Behaviour: </w:t>
      </w:r>
      <w:r>
        <w:rPr>
          <w:b w:val="0"/>
          <w:i w:val="0"/>
        </w:rPr>
        <w:t>A verified correction request identifies the subject through permitted evidence and opens a scoped case. The reviewer resolves wrong identity, attribute correction, restriction or merge and previews downstream effects before application.</w:t>
      </w:r>
    </w:p>
    <w:p>
      <w:pPr>
        <w:spacing w:after="60"/>
      </w:pPr>
      <w:r>
        <w:rPr>
          <w:b/>
          <w:i w:val="0"/>
        </w:rPr>
        <w:t xml:space="preserve">Validation and recovery: </w:t>
      </w:r>
      <w:r>
        <w:rPr>
          <w:b w:val="0"/>
          <w:i w:val="0"/>
        </w:rPr>
        <w:t>Do not expose household members' information during verification or response. Corrections preserve minimal attribution while deleting disallowed personal values where required.</w:t>
      </w:r>
    </w:p>
    <w:p>
      <w:pPr>
        <w:spacing w:after="60"/>
      </w:pPr>
      <w:r>
        <w:rPr>
          <w:b/>
          <w:i w:val="0"/>
        </w:rPr>
        <w:t xml:space="preserve">Acceptance FT-PAR-008: </w:t>
      </w:r>
      <w:r>
        <w:rPr>
          <w:b w:val="0"/>
          <w:i w:val="0"/>
        </w:rPr>
        <w:t>Correct a wrongly linked visit and recalculate both participants' histories without retaining the erroneous private association in ordinary views.</w:t>
      </w:r>
    </w:p>
    <w:p>
      <w:bookmarkStart w:id="152" w:name="sec_19"/>
      <w:pPr>
        <w:pStyle w:val="Heading1"/>
      </w:pPr>
      <w:r>
        <w:rPr>
          <w:b w:val="0"/>
          <w:i w:val="0"/>
        </w:rPr>
        <w:t>19 Evidence and qualitative analysis</w:t>
      </w:r>
      <w:bookmarkEnd w:id="152"/>
    </w:p>
    <w:p>
      <w:pPr>
        <w:spacing w:after="140"/>
      </w:pPr>
      <w:r>
        <w:rPr>
          <w:b w:val="0"/>
          <w:i/>
          <w:sz w:val="21"/>
        </w:rPr>
        <w:t>Primary actors: Evidence owner analyst and verifier. Interfaces: UI19 UI20 UI21. Logical entities: D24 D26 D35.</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53" w:name="req_FR_EVD_001"/>
      <w:pPr>
        <w:keepNext/>
        <w:spacing w:before="180" w:after="40"/>
      </w:pPr>
      <w:r>
        <w:rPr>
          <w:b/>
          <w:i w:val="0"/>
        </w:rPr>
        <w:t>FR-EVD-001   Evidence repository</w:t>
      </w:r>
      <w:bookmarkEnd w:id="153"/>
    </w:p>
    <w:p>
      <w:pPr>
        <w:keepNext/>
        <w:spacing w:after="60"/>
      </w:pPr>
      <w:r>
        <w:rPr>
          <w:b w:val="0"/>
          <w:i w:val="0"/>
          <w:sz w:val="19"/>
        </w:rPr>
        <w:t>Parent BR-EVD-001   |   P0   |   R1</w:t>
      </w:r>
    </w:p>
    <w:p>
      <w:pPr>
        <w:spacing w:after="60"/>
      </w:pPr>
      <w:r>
        <w:rPr>
          <w:b/>
          <w:i w:val="0"/>
        </w:rPr>
        <w:t xml:space="preserve">Behaviour: </w:t>
      </w:r>
      <w:r>
        <w:rPr>
          <w:b w:val="0"/>
          <w:i w:val="0"/>
        </w:rPr>
        <w:t>Evidence upload collects type, source, date, owner, sensitivity and retention, then receives a safety status. Users link specific evidence versions to permitted results, findings and decisions. Repository search exposes only authorised metadata and content.</w:t>
      </w:r>
    </w:p>
    <w:p>
      <w:pPr>
        <w:spacing w:after="60"/>
      </w:pPr>
      <w:r>
        <w:rPr>
          <w:b/>
          <w:i w:val="0"/>
        </w:rPr>
        <w:t xml:space="preserve">Validation and recovery: </w:t>
      </w:r>
      <w:r>
        <w:rPr>
          <w:b w:val="0"/>
          <w:i w:val="0"/>
        </w:rPr>
        <w:t>A source URL remains an external reference with last checked status, not an archived guarantee. Replacing a file creates a new version; it never overwrites a published citation.</w:t>
      </w:r>
    </w:p>
    <w:p>
      <w:pPr>
        <w:spacing w:after="60"/>
      </w:pPr>
      <w:r>
        <w:rPr>
          <w:b/>
          <w:i w:val="0"/>
        </w:rPr>
        <w:t xml:space="preserve">Acceptance FT-EVD-001: </w:t>
      </w:r>
      <w:r>
        <w:rPr>
          <w:b w:val="0"/>
          <w:i w:val="0"/>
        </w:rPr>
        <w:t>Link version 1 of a survey to an achievement, upload version 2 and verify the earlier achievement still cites version 1.</w:t>
      </w:r>
    </w:p>
    <w:p>
      <w:bookmarkStart w:id="154" w:name="req_FR_EVD_002"/>
      <w:pPr>
        <w:keepNext/>
        <w:spacing w:before="180" w:after="40"/>
      </w:pPr>
      <w:r>
        <w:rPr>
          <w:b/>
          <w:i w:val="0"/>
        </w:rPr>
        <w:t>FR-EVD-002   Evidence verification and provenance</w:t>
      </w:r>
      <w:bookmarkEnd w:id="154"/>
    </w:p>
    <w:p>
      <w:pPr>
        <w:keepNext/>
        <w:spacing w:after="60"/>
      </w:pPr>
      <w:r>
        <w:rPr>
          <w:b w:val="0"/>
          <w:i w:val="0"/>
          <w:sz w:val="19"/>
        </w:rPr>
        <w:t>Parent BR-EVD-002   |   P0   |   R1</w:t>
      </w:r>
    </w:p>
    <w:p>
      <w:pPr>
        <w:spacing w:after="60"/>
      </w:pPr>
      <w:r>
        <w:rPr>
          <w:b/>
          <w:i w:val="0"/>
        </w:rPr>
        <w:t xml:space="preserve">Behaviour: </w:t>
      </w:r>
      <w:r>
        <w:rPr>
          <w:b w:val="0"/>
          <w:i w:val="0"/>
        </w:rPr>
        <w:t>Verification records reviewer, method, source checks, limitations and verified or disputed status. The system displays integrity identity separately from authenticity. A dispute identifies every dependent claim and initiates review tasks.</w:t>
      </w:r>
    </w:p>
    <w:p>
      <w:pPr>
        <w:spacing w:after="60"/>
      </w:pPr>
      <w:r>
        <w:rPr>
          <w:b/>
          <w:i w:val="0"/>
        </w:rPr>
        <w:t xml:space="preserve">Validation and recovery: </w:t>
      </w:r>
      <w:r>
        <w:rPr>
          <w:b w:val="0"/>
          <w:i w:val="0"/>
        </w:rPr>
        <w:t>A passed malware scan or file hash cannot establish truth. Mandatory evidence with unresolved dispute blocks unqualified publication.</w:t>
      </w:r>
    </w:p>
    <w:p>
      <w:pPr>
        <w:spacing w:after="60"/>
      </w:pPr>
      <w:r>
        <w:rPr>
          <w:b/>
          <w:i w:val="0"/>
        </w:rPr>
        <w:t xml:space="preserve">Acceptance FT-EVD-002: </w:t>
      </w:r>
      <w:r>
        <w:rPr>
          <w:b w:val="0"/>
          <w:i w:val="0"/>
        </w:rPr>
        <w:t>Mark a previously verified attendance sheet disputed; affected unpublished claims require resolution while published reports enter correction review.</w:t>
      </w:r>
    </w:p>
    <w:p>
      <w:bookmarkStart w:id="155" w:name="req_FR_EVD_003"/>
      <w:pPr>
        <w:keepNext/>
        <w:spacing w:before="180" w:after="40"/>
      </w:pPr>
      <w:r>
        <w:rPr>
          <w:b/>
          <w:i w:val="0"/>
        </w:rPr>
        <w:t>FR-EVD-003   Search and knowledge retrieval</w:t>
      </w:r>
      <w:bookmarkEnd w:id="155"/>
    </w:p>
    <w:p>
      <w:pPr>
        <w:keepNext/>
        <w:spacing w:after="60"/>
      </w:pPr>
      <w:r>
        <w:rPr>
          <w:b w:val="0"/>
          <w:i w:val="0"/>
          <w:sz w:val="19"/>
        </w:rPr>
        <w:t>Parent BR-EVD-003   |   P1   |   R1</w:t>
      </w:r>
    </w:p>
    <w:p>
      <w:pPr>
        <w:spacing w:after="60"/>
      </w:pPr>
      <w:r>
        <w:rPr>
          <w:b/>
          <w:i w:val="0"/>
        </w:rPr>
        <w:t xml:space="preserve">Behaviour: </w:t>
      </w:r>
      <w:r>
        <w:rPr>
          <w:b w:val="0"/>
          <w:i w:val="0"/>
        </w:rPr>
        <w:t>Search applies permission and purpose filters before result counts and snippets. Indexed text records source version and extraction status. Filters include source, type, date and permitted classification; unsupported content shows metadata only.</w:t>
      </w:r>
    </w:p>
    <w:p>
      <w:pPr>
        <w:spacing w:after="60"/>
      </w:pPr>
      <w:r>
        <w:rPr>
          <w:b/>
          <w:i w:val="0"/>
        </w:rPr>
        <w:t xml:space="preserve">Validation and recovery: </w:t>
      </w:r>
      <w:r>
        <w:rPr>
          <w:b w:val="0"/>
          <w:i w:val="0"/>
        </w:rPr>
        <w:t>Revocation and deletion remove access to index, snippets, suggested queries and AI retrieval. Unauthorised documents do not contribute visible counts or facets.</w:t>
      </w:r>
    </w:p>
    <w:p>
      <w:pPr>
        <w:spacing w:after="60"/>
      </w:pPr>
      <w:r>
        <w:rPr>
          <w:b/>
          <w:i w:val="0"/>
        </w:rPr>
        <w:t xml:space="preserve">Acceptance FT-EVD-003: </w:t>
      </w:r>
      <w:r>
        <w:rPr>
          <w:b w:val="0"/>
          <w:i w:val="0"/>
        </w:rPr>
        <w:t>Search a phrase present only in a restricted report; an unprivileged user receives no matching snippet, citation or revealing count.</w:t>
      </w:r>
    </w:p>
    <w:p>
      <w:bookmarkStart w:id="156" w:name="req_FR_EVD_004"/>
      <w:pPr>
        <w:keepNext/>
        <w:spacing w:before="180" w:after="40"/>
      </w:pPr>
      <w:r>
        <w:rPr>
          <w:b/>
          <w:i w:val="0"/>
        </w:rPr>
        <w:t>FR-EVD-004   Document versioning and annotations</w:t>
      </w:r>
      <w:bookmarkEnd w:id="156"/>
    </w:p>
    <w:p>
      <w:pPr>
        <w:keepNext/>
        <w:spacing w:after="60"/>
      </w:pPr>
      <w:r>
        <w:rPr>
          <w:b w:val="0"/>
          <w:i w:val="0"/>
          <w:sz w:val="19"/>
        </w:rPr>
        <w:t>Parent BR-EVD-004   |   P1   |   R1</w:t>
      </w:r>
    </w:p>
    <w:p>
      <w:pPr>
        <w:spacing w:after="60"/>
      </w:pPr>
      <w:r>
        <w:rPr>
          <w:b/>
          <w:i w:val="0"/>
        </w:rPr>
        <w:t xml:space="preserve">Behaviour: </w:t>
      </w:r>
      <w:r>
        <w:rPr>
          <w:b w:val="0"/>
          <w:i w:val="0"/>
        </w:rPr>
        <w:t>Annotations reference a specific document version and a stable page, section, timestamp or excerpt anchor. A new version may offer reviewed anchor migration with ambiguity flags. Comment edits retain author and permitted history.</w:t>
      </w:r>
    </w:p>
    <w:p>
      <w:pPr>
        <w:spacing w:after="60"/>
      </w:pPr>
      <w:r>
        <w:rPr>
          <w:b/>
          <w:i w:val="0"/>
        </w:rPr>
        <w:t xml:space="preserve">Validation and recovery: </w:t>
      </w:r>
      <w:r>
        <w:rPr>
          <w:b w:val="0"/>
          <w:i w:val="0"/>
        </w:rPr>
        <w:t>If an anchor cannot be matched, mark it unresolved rather than attaching it to a similar passage. Published citations remain pinned to their original version.</w:t>
      </w:r>
    </w:p>
    <w:p>
      <w:pPr>
        <w:spacing w:after="60"/>
      </w:pPr>
      <w:r>
        <w:rPr>
          <w:b/>
          <w:i w:val="0"/>
        </w:rPr>
        <w:t xml:space="preserve">Acceptance FT-EVD-004: </w:t>
      </w:r>
      <w:r>
        <w:rPr>
          <w:b w:val="0"/>
          <w:i w:val="0"/>
        </w:rPr>
        <w:t>Replace a report where pages shift; the old published citation still resolves to the old page and a new annotation requires verified remapping.</w:t>
      </w:r>
    </w:p>
    <w:p>
      <w:bookmarkStart w:id="157" w:name="req_FR_EVD_005"/>
      <w:pPr>
        <w:keepNext/>
        <w:spacing w:before="180" w:after="40"/>
      </w:pPr>
      <w:r>
        <w:rPr>
          <w:b/>
          <w:i w:val="0"/>
        </w:rPr>
        <w:t>FR-EVD-005   Qualitative coding</w:t>
      </w:r>
      <w:bookmarkEnd w:id="157"/>
    </w:p>
    <w:p>
      <w:pPr>
        <w:keepNext/>
        <w:spacing w:after="60"/>
      </w:pPr>
      <w:r>
        <w:rPr>
          <w:b w:val="0"/>
          <w:i w:val="0"/>
          <w:sz w:val="19"/>
        </w:rPr>
        <w:t>Parent BR-EVD-005   |   P1   |   R2</w:t>
      </w:r>
    </w:p>
    <w:p>
      <w:pPr>
        <w:spacing w:after="60"/>
      </w:pPr>
      <w:r>
        <w:rPr>
          <w:b/>
          <w:i w:val="0"/>
        </w:rPr>
        <w:t xml:space="preserve">Behaviour: </w:t>
      </w:r>
      <w:r>
        <w:rPr>
          <w:b w:val="0"/>
          <w:i w:val="0"/>
        </w:rPr>
        <w:t>A codebook defines stable codes, meanings, inclusion and exclusion examples and version. Each coder independently assigns excerpts and memos. Comparison shows disagreement and an adjudicator records the final interpretation while preserving individual decisions.</w:t>
      </w:r>
    </w:p>
    <w:p>
      <w:pPr>
        <w:spacing w:after="60"/>
      </w:pPr>
      <w:r>
        <w:rPr>
          <w:b/>
          <w:i w:val="0"/>
        </w:rPr>
        <w:t xml:space="preserve">Validation and recovery: </w:t>
      </w:r>
      <w:r>
        <w:rPr>
          <w:b w:val="0"/>
          <w:i w:val="0"/>
        </w:rPr>
        <w:t>Do not calculate agreement using unmatched units or claim consensus from overwriting a coder's work. Excerpts and themes inherit source restrictions.</w:t>
      </w:r>
    </w:p>
    <w:p>
      <w:pPr>
        <w:spacing w:after="60"/>
      </w:pPr>
      <w:r>
        <w:rPr>
          <w:b/>
          <w:i w:val="0"/>
        </w:rPr>
        <w:t xml:space="preserve">Acceptance FT-EVD-005: </w:t>
      </w:r>
      <w:r>
        <w:rPr>
          <w:b w:val="0"/>
          <w:i w:val="0"/>
        </w:rPr>
        <w:t>Two coders label the same transcript differently; both assignments remain and the adjudication records its rationale and codebook version.</w:t>
      </w:r>
    </w:p>
    <w:p>
      <w:bookmarkStart w:id="158" w:name="req_FR_EVD_006"/>
      <w:pPr>
        <w:keepNext/>
        <w:spacing w:before="180" w:after="40"/>
      </w:pPr>
      <w:r>
        <w:rPr>
          <w:b/>
          <w:i w:val="0"/>
        </w:rPr>
        <w:t>FR-EVD-006   Transcription and translation</w:t>
      </w:r>
      <w:bookmarkEnd w:id="158"/>
    </w:p>
    <w:p>
      <w:pPr>
        <w:keepNext/>
        <w:spacing w:after="60"/>
      </w:pPr>
      <w:r>
        <w:rPr>
          <w:b w:val="0"/>
          <w:i w:val="0"/>
          <w:sz w:val="19"/>
        </w:rPr>
        <w:t>Parent BR-EVD-006   |   P1   |   R2</w:t>
      </w:r>
    </w:p>
    <w:p>
      <w:pPr>
        <w:spacing w:after="60"/>
      </w:pPr>
      <w:r>
        <w:rPr>
          <w:b/>
          <w:i w:val="0"/>
        </w:rPr>
        <w:t xml:space="preserve">Behaviour: </w:t>
      </w:r>
      <w:r>
        <w:rPr>
          <w:b w:val="0"/>
          <w:i w:val="0"/>
        </w:rPr>
        <w:t>A processing request selects recording, approved destination, language and permitted task. Generated transcript or translation is a new labelled artifact linked to original offsets. Users correct segments and retain original automated output according to policy.</w:t>
      </w:r>
    </w:p>
    <w:p>
      <w:pPr>
        <w:spacing w:after="60"/>
      </w:pPr>
      <w:r>
        <w:rPr>
          <w:b/>
          <w:i w:val="0"/>
        </w:rPr>
        <w:t xml:space="preserve">Validation and recovery: </w:t>
      </w:r>
      <w:r>
        <w:rPr>
          <w:b w:val="0"/>
          <w:i w:val="0"/>
        </w:rPr>
        <w:t>Uncertain speakers or timings are marked unknown, not invented. Sensitive recordings cannot fall back to an unapproved provider. Quotation use requires review of the original meaning.</w:t>
      </w:r>
    </w:p>
    <w:p>
      <w:pPr>
        <w:spacing w:after="60"/>
      </w:pPr>
      <w:r>
        <w:rPr>
          <w:b/>
          <w:i w:val="0"/>
        </w:rPr>
        <w:t xml:space="preserve">Acceptance FT-EVD-006: </w:t>
      </w:r>
      <w:r>
        <w:rPr>
          <w:b w:val="0"/>
          <w:i w:val="0"/>
        </w:rPr>
        <w:t>Correct a translated phrase at minute 03:12 and verify a report quotation resolves to the corrected segment and original recording.</w:t>
      </w:r>
    </w:p>
    <w:p>
      <w:bookmarkStart w:id="159" w:name="req_FR_EVD_007"/>
      <w:pPr>
        <w:keepNext/>
        <w:spacing w:before="180" w:after="40"/>
      </w:pPr>
      <w:r>
        <w:rPr>
          <w:b/>
          <w:i w:val="0"/>
        </w:rPr>
        <w:t>FR-EVD-007   Quotations and disclosure</w:t>
      </w:r>
      <w:bookmarkEnd w:id="159"/>
    </w:p>
    <w:p>
      <w:pPr>
        <w:keepNext/>
        <w:spacing w:after="60"/>
      </w:pPr>
      <w:r>
        <w:rPr>
          <w:b w:val="0"/>
          <w:i w:val="0"/>
          <w:sz w:val="19"/>
        </w:rPr>
        <w:t>Parent BR-EVD-007   |   P0   |   R1</w:t>
      </w:r>
    </w:p>
    <w:p>
      <w:pPr>
        <w:spacing w:after="60"/>
      </w:pPr>
      <w:r>
        <w:rPr>
          <w:b/>
          <w:i w:val="0"/>
        </w:rPr>
        <w:t xml:space="preserve">Behaviour: </w:t>
      </w:r>
      <w:r>
        <w:rPr>
          <w:b w:val="0"/>
          <w:i w:val="0"/>
        </w:rPr>
        <w:t>External quotation or story preparation checks source permission, intended audience, consent scope and identifiers. Redaction produces a separate artifact, removes hidden text and metadata, and requires preview before disclosure approval.</w:t>
      </w:r>
    </w:p>
    <w:p>
      <w:pPr>
        <w:spacing w:after="60"/>
      </w:pPr>
      <w:r>
        <w:rPr>
          <w:b/>
          <w:i w:val="0"/>
        </w:rPr>
        <w:t xml:space="preserve">Validation and recovery: </w:t>
      </w:r>
      <w:r>
        <w:rPr>
          <w:b w:val="0"/>
          <w:i w:val="0"/>
        </w:rPr>
        <w:t>A black rectangle over text is not sufficient redaction. Source citations may be retained privately while public references omit identifying detail.</w:t>
      </w:r>
    </w:p>
    <w:p>
      <w:pPr>
        <w:spacing w:after="60"/>
      </w:pPr>
      <w:r>
        <w:rPr>
          <w:b/>
          <w:i w:val="0"/>
        </w:rPr>
        <w:t xml:space="preserve">Acceptance FT-EVD-007: </w:t>
      </w:r>
      <w:r>
        <w:rPr>
          <w:b w:val="0"/>
          <w:i w:val="0"/>
        </w:rPr>
        <w:t>Export a case story with an approved quote and verify copied text, metadata and embedded files cannot reveal the redacted participant identity.</w:t>
      </w:r>
    </w:p>
    <w:p>
      <w:bookmarkStart w:id="160" w:name="req_FR_EVD_008"/>
      <w:pPr>
        <w:keepNext/>
        <w:spacing w:before="180" w:after="40"/>
      </w:pPr>
      <w:r>
        <w:rPr>
          <w:b/>
          <w:i w:val="0"/>
        </w:rPr>
        <w:t>FR-EVD-008   Findings and triangulation</w:t>
      </w:r>
      <w:bookmarkEnd w:id="160"/>
    </w:p>
    <w:p>
      <w:pPr>
        <w:keepNext/>
        <w:spacing w:after="60"/>
      </w:pPr>
      <w:r>
        <w:rPr>
          <w:b w:val="0"/>
          <w:i w:val="0"/>
          <w:sz w:val="19"/>
        </w:rPr>
        <w:t>Parent BR-EVD-008   |   P1   |   R2</w:t>
      </w:r>
    </w:p>
    <w:p>
      <w:pPr>
        <w:spacing w:after="60"/>
      </w:pPr>
      <w:r>
        <w:rPr>
          <w:b/>
          <w:i w:val="0"/>
        </w:rPr>
        <w:t xml:space="preserve">Behaviour: </w:t>
      </w:r>
      <w:r>
        <w:rPr>
          <w:b w:val="0"/>
          <w:i w:val="0"/>
        </w:rPr>
        <w:t>A finding records statement, method, supporting and contradictory evidence, confidence rationale, limitations and reviewer. Editing the interpretation creates a version and shows the changed evidence set.</w:t>
      </w:r>
    </w:p>
    <w:p>
      <w:pPr>
        <w:spacing w:after="60"/>
      </w:pPr>
      <w:r>
        <w:rPr>
          <w:b/>
          <w:i w:val="0"/>
        </w:rPr>
        <w:t xml:space="preserve">Validation and recovery: </w:t>
      </w:r>
      <w:r>
        <w:rPr>
          <w:b w:val="0"/>
          <w:i w:val="0"/>
        </w:rPr>
        <w:t>AI confidence is not a substitute for evidential judgement. A finding can remain contested; publication must preserve material contradictory evidence or disclose its limitation.</w:t>
      </w:r>
    </w:p>
    <w:p>
      <w:pPr>
        <w:spacing w:after="60"/>
      </w:pPr>
      <w:r>
        <w:rPr>
          <w:b/>
          <w:i w:val="0"/>
        </w:rPr>
        <w:t xml:space="preserve">Acceptance FT-EVD-008: </w:t>
      </w:r>
      <w:r>
        <w:rPr>
          <w:b w:val="0"/>
          <w:i w:val="0"/>
        </w:rPr>
        <w:t>Survey evidence improves while interviews describe harm; the reviewed finding retains both sources and distinguishes observation from interpretation.</w:t>
      </w:r>
    </w:p>
    <w:p>
      <w:bookmarkStart w:id="161" w:name="sec_20"/>
      <w:pPr>
        <w:pStyle w:val="Heading1"/>
      </w:pPr>
      <w:r>
        <w:rPr>
          <w:b w:val="0"/>
          <w:i w:val="0"/>
        </w:rPr>
        <w:t>20 Evaluation and institutional learning</w:t>
      </w:r>
      <w:bookmarkEnd w:id="161"/>
    </w:p>
    <w:p>
      <w:pPr>
        <w:spacing w:after="140"/>
      </w:pPr>
      <w:r>
        <w:rPr>
          <w:b w:val="0"/>
          <w:i/>
          <w:sz w:val="21"/>
        </w:rPr>
        <w:t>Primary actors: Evaluator MEL lead and management response owner. Interfaces: UI19 UI20 UI23. Logical entities: D24 D27 D35.</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62" w:name="req_FR_EVA_001"/>
      <w:pPr>
        <w:keepNext/>
        <w:spacing w:before="180" w:after="40"/>
      </w:pPr>
      <w:r>
        <w:rPr>
          <w:b/>
          <w:i w:val="0"/>
        </w:rPr>
        <w:t>FR-EVA-001   Evaluation registry</w:t>
      </w:r>
      <w:bookmarkEnd w:id="162"/>
    </w:p>
    <w:p>
      <w:pPr>
        <w:keepNext/>
        <w:spacing w:after="60"/>
      </w:pPr>
      <w:r>
        <w:rPr>
          <w:b w:val="0"/>
          <w:i w:val="0"/>
          <w:sz w:val="19"/>
        </w:rPr>
        <w:t>Parent BR-EVA-001   |   P1   |   R2</w:t>
      </w:r>
    </w:p>
    <w:p>
      <w:pPr>
        <w:spacing w:after="60"/>
      </w:pPr>
      <w:r>
        <w:rPr>
          <w:b/>
          <w:i w:val="0"/>
        </w:rPr>
        <w:t xml:space="preserve">Behaviour: </w:t>
      </w:r>
      <w:r>
        <w:rPr>
          <w:b w:val="0"/>
          <w:i w:val="0"/>
        </w:rPr>
        <w:t>Evaluation registration captures questions, study design, programme baseline, period, evaluator, independence, ethics requirements, budget and deliverables. Stage gates check required methodological and policy documents before field collection or publication.</w:t>
      </w:r>
    </w:p>
    <w:p>
      <w:pPr>
        <w:spacing w:after="60"/>
      </w:pPr>
      <w:r>
        <w:rPr>
          <w:b/>
          <w:i w:val="0"/>
        </w:rPr>
        <w:t xml:space="preserve">Validation and recovery: </w:t>
      </w:r>
      <w:r>
        <w:rPr>
          <w:b w:val="0"/>
          <w:i w:val="0"/>
        </w:rPr>
        <w:t>A study marked independent must identify its basis; self declaration is not automatically verified. Evaluation registration alone does not approve sensitive processing.</w:t>
      </w:r>
    </w:p>
    <w:p>
      <w:pPr>
        <w:spacing w:after="60"/>
      </w:pPr>
      <w:r>
        <w:rPr>
          <w:b/>
          <w:i w:val="0"/>
        </w:rPr>
        <w:t xml:space="preserve">Acceptance FT-EVA-001: </w:t>
      </w:r>
      <w:r>
        <w:rPr>
          <w:b w:val="0"/>
          <w:i w:val="0"/>
        </w:rPr>
        <w:t>Create baseline, midline and endline studies for one programme and verify each keeps its own method and observation period.</w:t>
      </w:r>
    </w:p>
    <w:p>
      <w:bookmarkStart w:id="163" w:name="req_FR_EVA_002"/>
      <w:pPr>
        <w:keepNext/>
        <w:spacing w:before="180" w:after="40"/>
      </w:pPr>
      <w:r>
        <w:rPr>
          <w:b/>
          <w:i w:val="0"/>
        </w:rPr>
        <w:t>FR-EVA-002   Sampling and methodological metadata</w:t>
      </w:r>
      <w:bookmarkEnd w:id="163"/>
    </w:p>
    <w:p>
      <w:pPr>
        <w:keepNext/>
        <w:spacing w:after="60"/>
      </w:pPr>
      <w:r>
        <w:rPr>
          <w:b w:val="0"/>
          <w:i w:val="0"/>
          <w:sz w:val="19"/>
        </w:rPr>
        <w:t>Parent BR-EVA-002   |   P1   |   R2</w:t>
      </w:r>
    </w:p>
    <w:p>
      <w:pPr>
        <w:spacing w:after="60"/>
      </w:pPr>
      <w:r>
        <w:rPr>
          <w:b/>
          <w:i w:val="0"/>
        </w:rPr>
        <w:t xml:space="preserve">Behaviour: </w:t>
      </w:r>
      <w:r>
        <w:rPr>
          <w:b w:val="0"/>
          <w:i w:val="0"/>
        </w:rPr>
        <w:t>The methodology record versions sampling frame, eligibility, assignment, weights, nonresponse rules and analysis plan. Amendments identify when changes occurred relative to data inspection and require review.</w:t>
      </w:r>
    </w:p>
    <w:p>
      <w:pPr>
        <w:spacing w:after="60"/>
      </w:pPr>
      <w:r>
        <w:rPr>
          <w:b/>
          <w:i w:val="0"/>
        </w:rPr>
        <w:t xml:space="preserve">Validation and recovery: </w:t>
      </w:r>
      <w:r>
        <w:rPr>
          <w:b w:val="0"/>
          <w:i w:val="0"/>
        </w:rPr>
        <w:t>Population estimates require an explicit valid expansion method; a sample count cannot be relabelled as all beneficiaries. Missing weights block weighted output rather than defaulting to one silently.</w:t>
      </w:r>
    </w:p>
    <w:p>
      <w:pPr>
        <w:spacing w:after="60"/>
      </w:pPr>
      <w:r>
        <w:rPr>
          <w:b/>
          <w:i w:val="0"/>
        </w:rPr>
        <w:t xml:space="preserve">Acceptance FT-EVA-002: </w:t>
      </w:r>
      <w:r>
        <w:rPr>
          <w:b w:val="0"/>
          <w:i w:val="0"/>
        </w:rPr>
        <w:t>Export a stratified sample with weights and nonresponse metadata and reproduce the declared eligible denominator.</w:t>
      </w:r>
    </w:p>
    <w:p>
      <w:bookmarkStart w:id="164" w:name="req_FR_EVA_003"/>
      <w:pPr>
        <w:keepNext/>
        <w:spacing w:before="180" w:after="40"/>
      </w:pPr>
      <w:r>
        <w:rPr>
          <w:b/>
          <w:i w:val="0"/>
        </w:rPr>
        <w:t>FR-EVA-003   Analysis packages</w:t>
      </w:r>
      <w:bookmarkEnd w:id="164"/>
    </w:p>
    <w:p>
      <w:pPr>
        <w:keepNext/>
        <w:spacing w:after="60"/>
      </w:pPr>
      <w:r>
        <w:rPr>
          <w:b w:val="0"/>
          <w:i w:val="0"/>
          <w:sz w:val="19"/>
        </w:rPr>
        <w:t>Parent BR-EVA-003   |   P1   |   R2</w:t>
      </w:r>
    </w:p>
    <w:p>
      <w:pPr>
        <w:spacing w:after="60"/>
      </w:pPr>
      <w:r>
        <w:rPr>
          <w:b/>
          <w:i w:val="0"/>
        </w:rPr>
        <w:t xml:space="preserve">Behaviour: </w:t>
      </w:r>
      <w:r>
        <w:rPr>
          <w:b w:val="0"/>
          <w:i w:val="0"/>
        </w:rPr>
        <w:t>An analyst creates a frozen extract with selected variables, filters, approved sources, dictionary and integrity manifest. Reviewed scripts and notebooks can be attached as evidence. Results reference the extract and method versions.</w:t>
      </w:r>
    </w:p>
    <w:p>
      <w:pPr>
        <w:spacing w:after="60"/>
      </w:pPr>
      <w:r>
        <w:rPr>
          <w:b/>
          <w:i w:val="0"/>
        </w:rPr>
        <w:t xml:space="preserve">Validation and recovery: </w:t>
      </w:r>
      <w:r>
        <w:rPr>
          <w:b w:val="0"/>
          <w:i w:val="0"/>
        </w:rPr>
        <w:t>Ordinary uploads do not execute code in the product. Analysis access and export require separate capabilities, and later live corrections do not alter the extract.</w:t>
      </w:r>
    </w:p>
    <w:p>
      <w:pPr>
        <w:spacing w:after="60"/>
      </w:pPr>
      <w:r>
        <w:rPr>
          <w:b/>
          <w:i w:val="0"/>
        </w:rPr>
        <w:t xml:space="preserve">Acceptance FT-EVA-003: </w:t>
      </w:r>
      <w:r>
        <w:rPr>
          <w:b w:val="0"/>
          <w:i w:val="0"/>
        </w:rPr>
        <w:t>Reproduce a submitted result using the pinned extract after live records change; the original analysis remains reconcilable.</w:t>
      </w:r>
    </w:p>
    <w:p>
      <w:bookmarkStart w:id="165" w:name="req_FR_EVA_004"/>
      <w:pPr>
        <w:keepNext/>
        <w:spacing w:before="180" w:after="40"/>
      </w:pPr>
      <w:r>
        <w:rPr>
          <w:b/>
          <w:i w:val="0"/>
        </w:rPr>
        <w:t>FR-EVA-004   Causal claims and uncertainty</w:t>
      </w:r>
      <w:bookmarkEnd w:id="165"/>
    </w:p>
    <w:p>
      <w:pPr>
        <w:keepNext/>
        <w:spacing w:after="60"/>
      </w:pPr>
      <w:r>
        <w:rPr>
          <w:b w:val="0"/>
          <w:i w:val="0"/>
          <w:sz w:val="19"/>
        </w:rPr>
        <w:t>Parent BR-EVA-004   |   P0   |   R1</w:t>
      </w:r>
    </w:p>
    <w:p>
      <w:pPr>
        <w:spacing w:after="60"/>
      </w:pPr>
      <w:r>
        <w:rPr>
          <w:b/>
          <w:i w:val="0"/>
        </w:rPr>
        <w:t xml:space="preserve">Behaviour: </w:t>
      </w:r>
      <w:r>
        <w:rPr>
          <w:b w:val="0"/>
          <w:i w:val="0"/>
        </w:rPr>
        <w:t>Every finding or report claim selects observed change, association, contribution or causal claim. A causal claim requires an approved method reference and an independent reviewer judgement. AI drafting reads this claim classification and carries uncertainty.</w:t>
      </w:r>
    </w:p>
    <w:p>
      <w:pPr>
        <w:spacing w:after="60"/>
      </w:pPr>
      <w:r>
        <w:rPr>
          <w:b/>
          <w:i w:val="0"/>
        </w:rPr>
        <w:t xml:space="preserve">Validation and recovery: </w:t>
      </w:r>
      <w:r>
        <w:rPr>
          <w:b w:val="0"/>
          <w:i w:val="0"/>
        </w:rPr>
        <w:t>A trend or before-after difference alone cannot automatically populate a causal attribution statement. Unsupported language is flagged during report review.</w:t>
      </w:r>
    </w:p>
    <w:p>
      <w:pPr>
        <w:spacing w:after="60"/>
      </w:pPr>
      <w:r>
        <w:rPr>
          <w:b/>
          <w:i w:val="0"/>
        </w:rPr>
        <w:t xml:space="preserve">Acceptance FT-EVA-004: </w:t>
      </w:r>
      <w:r>
        <w:rPr>
          <w:b w:val="0"/>
          <w:i w:val="0"/>
        </w:rPr>
        <w:t>Ask why an outcome increased after launch; the response describes observed change and evidence limits unless a reviewed evaluation supports attribution.</w:t>
      </w:r>
    </w:p>
    <w:p>
      <w:bookmarkStart w:id="166" w:name="req_FR_EVA_005"/>
      <w:pPr>
        <w:keepNext/>
        <w:spacing w:before="180" w:after="40"/>
      </w:pPr>
      <w:r>
        <w:rPr>
          <w:b/>
          <w:i w:val="0"/>
        </w:rPr>
        <w:t>FR-EVA-005   Outcome harvesting and contribution</w:t>
      </w:r>
      <w:bookmarkEnd w:id="166"/>
    </w:p>
    <w:p>
      <w:pPr>
        <w:keepNext/>
        <w:spacing w:after="60"/>
      </w:pPr>
      <w:r>
        <w:rPr>
          <w:b w:val="0"/>
          <w:i w:val="0"/>
          <w:sz w:val="19"/>
        </w:rPr>
        <w:t>Parent BR-EVA-005   |   P2   |   R3</w:t>
      </w:r>
    </w:p>
    <w:p>
      <w:pPr>
        <w:spacing w:after="60"/>
      </w:pPr>
      <w:r>
        <w:rPr>
          <w:b/>
          <w:i w:val="0"/>
        </w:rPr>
        <w:t xml:space="preserve">Behaviour: </w:t>
      </w:r>
      <w:r>
        <w:rPr>
          <w:b w:val="0"/>
          <w:i w:val="0"/>
        </w:rPr>
        <w:t>Outcome harvesting records observed change, significance, timing, actors, contribution hypothesis, independent substantiation and dissenting views. Review separates the observed outcome from each organisation's contribution claim.</w:t>
      </w:r>
    </w:p>
    <w:p>
      <w:pPr>
        <w:spacing w:after="60"/>
      </w:pPr>
      <w:r>
        <w:rPr>
          <w:b/>
          <w:i w:val="0"/>
        </w:rPr>
        <w:t xml:space="preserve">Validation and recovery: </w:t>
      </w:r>
      <w:r>
        <w:rPr>
          <w:b w:val="0"/>
          <w:i w:val="0"/>
        </w:rPr>
        <w:t>Multiple contributors may be recorded without forcing shares that total 100 percent. Unsubstantiated claims remain proposed and cannot be published as established causation.</w:t>
      </w:r>
    </w:p>
    <w:p>
      <w:pPr>
        <w:spacing w:after="60"/>
      </w:pPr>
      <w:r>
        <w:rPr>
          <w:b/>
          <w:i w:val="0"/>
        </w:rPr>
        <w:t xml:space="preserve">Acceptance FT-EVA-005: </w:t>
      </w:r>
      <w:r>
        <w:rPr>
          <w:b w:val="0"/>
          <w:i w:val="0"/>
        </w:rPr>
        <w:t>Two organisations claim contribution to one policy change; the approved narrative identifies both and the limits of attribution.</w:t>
      </w:r>
    </w:p>
    <w:p>
      <w:bookmarkStart w:id="167" w:name="req_FR_EVA_006"/>
      <w:pPr>
        <w:keepNext/>
        <w:spacing w:before="180" w:after="40"/>
      </w:pPr>
      <w:r>
        <w:rPr>
          <w:b/>
          <w:i w:val="0"/>
        </w:rPr>
        <w:t>FR-EVA-006   Learning agenda</w:t>
      </w:r>
      <w:bookmarkEnd w:id="167"/>
    </w:p>
    <w:p>
      <w:pPr>
        <w:keepNext/>
        <w:spacing w:after="60"/>
      </w:pPr>
      <w:r>
        <w:rPr>
          <w:b w:val="0"/>
          <w:i w:val="0"/>
          <w:sz w:val="19"/>
        </w:rPr>
        <w:t>Parent BR-EVA-006   |   P1   |   R2</w:t>
      </w:r>
    </w:p>
    <w:p>
      <w:pPr>
        <w:spacing w:after="60"/>
      </w:pPr>
      <w:r>
        <w:rPr>
          <w:b/>
          <w:i w:val="0"/>
        </w:rPr>
        <w:t xml:space="preserve">Behaviour: </w:t>
      </w:r>
      <w:r>
        <w:rPr>
          <w:b w:val="0"/>
          <w:i w:val="0"/>
        </w:rPr>
        <w:t>A learning question links to strategic decisions, evidence gaps, planned inquiry, owner and review date. Evidence and conclusions are versioned. Closing records what was learned and remaining uncertainty; reopening preserves prior reasoning.</w:t>
      </w:r>
    </w:p>
    <w:p>
      <w:pPr>
        <w:spacing w:after="60"/>
      </w:pPr>
      <w:r>
        <w:rPr>
          <w:b/>
          <w:i w:val="0"/>
        </w:rPr>
        <w:t xml:space="preserve">Validation and recovery: </w:t>
      </w:r>
      <w:r>
        <w:rPr>
          <w:b w:val="0"/>
          <w:i w:val="0"/>
        </w:rPr>
        <w:t>A question answered in one context is not automatically applicable elsewhere. Restricted evidence is not copied into a broad learning summary without disclosure review.</w:t>
      </w:r>
    </w:p>
    <w:p>
      <w:pPr>
        <w:spacing w:after="60"/>
      </w:pPr>
      <w:r>
        <w:rPr>
          <w:b/>
          <w:i w:val="0"/>
        </w:rPr>
        <w:t xml:space="preserve">Acceptance FT-EVA-006: </w:t>
      </w:r>
      <w:r>
        <w:rPr>
          <w:b w:val="0"/>
          <w:i w:val="0"/>
        </w:rPr>
        <w:t>Link a programme redesign decision to a learning question, three sources and one unresolved assumption requiring a follow up study.</w:t>
      </w:r>
    </w:p>
    <w:p>
      <w:bookmarkStart w:id="168" w:name="req_FR_EVA_007"/>
      <w:pPr>
        <w:keepNext/>
        <w:spacing w:before="180" w:after="40"/>
      </w:pPr>
      <w:r>
        <w:rPr>
          <w:b/>
          <w:i w:val="0"/>
        </w:rPr>
        <w:t>FR-EVA-007   Management responses and actions</w:t>
      </w:r>
      <w:bookmarkEnd w:id="168"/>
    </w:p>
    <w:p>
      <w:pPr>
        <w:keepNext/>
        <w:spacing w:after="60"/>
      </w:pPr>
      <w:r>
        <w:rPr>
          <w:b w:val="0"/>
          <w:i w:val="0"/>
          <w:sz w:val="19"/>
        </w:rPr>
        <w:t>Parent BR-EVA-007   |   P1   |   R2</w:t>
      </w:r>
    </w:p>
    <w:p>
      <w:pPr>
        <w:spacing w:after="60"/>
      </w:pPr>
      <w:r>
        <w:rPr>
          <w:b/>
          <w:i w:val="0"/>
        </w:rPr>
        <w:t xml:space="preserve">Behaviour: </w:t>
      </w:r>
      <w:r>
        <w:rPr>
          <w:b w:val="0"/>
          <w:i w:val="0"/>
        </w:rPr>
        <w:t>Each recommendation receives accept, partially accept or reject with reason. Accepted elements create actions with owners, due dates and required completion evidence. Review separates action completion from evidence of changed outcomes.</w:t>
      </w:r>
    </w:p>
    <w:p>
      <w:pPr>
        <w:spacing w:after="60"/>
      </w:pPr>
      <w:r>
        <w:rPr>
          <w:b/>
          <w:i w:val="0"/>
        </w:rPr>
        <w:t xml:space="preserve">Validation and recovery: </w:t>
      </w:r>
      <w:r>
        <w:rPr>
          <w:b w:val="0"/>
          <w:i w:val="0"/>
        </w:rPr>
        <w:t>Overdue actions escalate without automatic closure. A rejected recommendation remains visible with its accountable response.</w:t>
      </w:r>
    </w:p>
    <w:p>
      <w:pPr>
        <w:spacing w:after="60"/>
      </w:pPr>
      <w:r>
        <w:rPr>
          <w:b/>
          <w:i w:val="0"/>
        </w:rPr>
        <w:t xml:space="preserve">Acceptance FT-EVA-007: </w:t>
      </w:r>
      <w:r>
        <w:rPr>
          <w:b w:val="0"/>
          <w:i w:val="0"/>
        </w:rPr>
        <w:t>Accept a training recommendation, complete training evidence and leave outcome improvement pending until follow up measurements support it.</w:t>
      </w:r>
    </w:p>
    <w:p>
      <w:bookmarkStart w:id="169" w:name="req_FR_EVA_008"/>
      <w:pPr>
        <w:keepNext/>
        <w:spacing w:before="180" w:after="40"/>
      </w:pPr>
      <w:r>
        <w:rPr>
          <w:b/>
          <w:i w:val="0"/>
        </w:rPr>
        <w:t>FR-EVA-008   Institutional learning library</w:t>
      </w:r>
      <w:bookmarkEnd w:id="169"/>
    </w:p>
    <w:p>
      <w:pPr>
        <w:keepNext/>
        <w:spacing w:after="60"/>
      </w:pPr>
      <w:r>
        <w:rPr>
          <w:b w:val="0"/>
          <w:i w:val="0"/>
          <w:sz w:val="19"/>
        </w:rPr>
        <w:t>Parent BR-EVA-008   |   P2   |   R3</w:t>
      </w:r>
    </w:p>
    <w:p>
      <w:pPr>
        <w:spacing w:after="60"/>
      </w:pPr>
      <w:r>
        <w:rPr>
          <w:b/>
          <w:i w:val="0"/>
        </w:rPr>
        <w:t xml:space="preserve">Behaviour: </w:t>
      </w:r>
      <w:r>
        <w:rPr>
          <w:b w:val="0"/>
          <w:i w:val="0"/>
        </w:rPr>
        <w:t>A curator publishes a lesson with source context, method, applicability, limitations, owner, review date and allowed reuse. New programmes reference the lesson and record adaptation assumptions.</w:t>
      </w:r>
    </w:p>
    <w:p>
      <w:pPr>
        <w:spacing w:after="60"/>
      </w:pPr>
      <w:r>
        <w:rPr>
          <w:b/>
          <w:i w:val="0"/>
        </w:rPr>
        <w:t xml:space="preserve">Validation and recovery: </w:t>
      </w:r>
      <w:r>
        <w:rPr>
          <w:b w:val="0"/>
          <w:i w:val="0"/>
        </w:rPr>
        <w:t>Cross tenant sharing requires approved licensing and disclosure. Reusing a lesson does not copy restricted interviews or imply identical effectiveness.</w:t>
      </w:r>
    </w:p>
    <w:p>
      <w:pPr>
        <w:spacing w:after="60"/>
      </w:pPr>
      <w:r>
        <w:rPr>
          <w:b/>
          <w:i w:val="0"/>
        </w:rPr>
        <w:t xml:space="preserve">Acceptance FT-EVA-008: </w:t>
      </w:r>
      <w:r>
        <w:rPr>
          <w:b w:val="0"/>
          <w:i w:val="0"/>
        </w:rPr>
        <w:t>Apply a rural implementation lesson in an urban programme and record the contextual differences while the underlying confidential transcripts remain inaccessible.</w:t>
      </w:r>
    </w:p>
    <w:p>
      <w:bookmarkStart w:id="170" w:name="sec_21"/>
      <w:pPr>
        <w:pStyle w:val="Heading1"/>
      </w:pPr>
      <w:r>
        <w:rPr>
          <w:b w:val="0"/>
          <w:i w:val="0"/>
        </w:rPr>
        <w:t>21 Approvals collaboration and period close</w:t>
      </w:r>
      <w:bookmarkEnd w:id="170"/>
    </w:p>
    <w:p>
      <w:pPr>
        <w:spacing w:after="140"/>
      </w:pPr>
      <w:r>
        <w:rPr>
          <w:b w:val="0"/>
          <w:i/>
          <w:sz w:val="21"/>
        </w:rPr>
        <w:t>Primary actors: Author independent reviewer and workflow administrator. Interfaces: UI03 UI21 UI24. Logical entities: D11 D23 D25 D26 D27.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71" w:name="req_FR_WFL_001"/>
      <w:pPr>
        <w:keepNext/>
        <w:spacing w:before="180" w:after="40"/>
      </w:pPr>
      <w:r>
        <w:rPr>
          <w:b/>
          <w:i w:val="0"/>
        </w:rPr>
        <w:t>FR-WFL-001   Configurable approvals</w:t>
      </w:r>
      <w:bookmarkEnd w:id="171"/>
    </w:p>
    <w:p>
      <w:pPr>
        <w:keepNext/>
        <w:spacing w:after="60"/>
      </w:pPr>
      <w:r>
        <w:rPr>
          <w:b w:val="0"/>
          <w:i w:val="0"/>
          <w:sz w:val="19"/>
        </w:rPr>
        <w:t>Parent BR-WFL-001   |   P0   |   R1</w:t>
      </w:r>
    </w:p>
    <w:p>
      <w:pPr>
        <w:spacing w:after="60"/>
      </w:pPr>
      <w:r>
        <w:rPr>
          <w:b/>
          <w:i w:val="0"/>
        </w:rPr>
        <w:t xml:space="preserve">Behaviour: </w:t>
      </w:r>
      <w:r>
        <w:rPr>
          <w:b w:val="0"/>
          <w:i w:val="0"/>
        </w:rPr>
        <w:t>The workflow designer defines object type, sequential or parallel stages, reviewer eligibility, mandatory reviewers, quorum, thresholds and deadlines. Publishing pins a workflow version. New instances use it; running instances complete on their original version unless explicitly migrated.</w:t>
      </w:r>
    </w:p>
    <w:p>
      <w:pPr>
        <w:spacing w:after="60"/>
      </w:pPr>
      <w:r>
        <w:rPr>
          <w:b/>
          <w:i w:val="0"/>
        </w:rPr>
        <w:t xml:space="preserve">Validation and recovery: </w:t>
      </w:r>
      <w:r>
        <w:rPr>
          <w:b w:val="0"/>
          <w:i w:val="0"/>
        </w:rPr>
        <w:t>At least one independent reviewer remains required. Migration invalidates affected decisions and shows impact; a quorum cannot bypass a mandatory privacy or security review.</w:t>
      </w:r>
    </w:p>
    <w:p>
      <w:pPr>
        <w:spacing w:after="60"/>
      </w:pPr>
      <w:r>
        <w:rPr>
          <w:b/>
          <w:i w:val="0"/>
        </w:rPr>
        <w:t xml:space="preserve">Acceptance FT-WFL-001: </w:t>
      </w:r>
      <w:r>
        <w:rPr>
          <w:b w:val="0"/>
          <w:i w:val="0"/>
        </w:rPr>
        <w:t>Change a two-stage review while one candidate is underway; it retains its original route unless an authorised migration restarts the affected stages.</w:t>
      </w:r>
    </w:p>
    <w:p>
      <w:bookmarkStart w:id="172" w:name="req_FR_WFL_002"/>
      <w:pPr>
        <w:keepNext/>
        <w:spacing w:before="180" w:after="40"/>
      </w:pPr>
      <w:r>
        <w:rPr>
          <w:b/>
          <w:i w:val="0"/>
        </w:rPr>
        <w:t>FR-WFL-002   Reviewer independence and authority</w:t>
      </w:r>
      <w:bookmarkEnd w:id="172"/>
    </w:p>
    <w:p>
      <w:pPr>
        <w:keepNext/>
        <w:spacing w:after="60"/>
      </w:pPr>
      <w:r>
        <w:rPr>
          <w:b w:val="0"/>
          <w:i w:val="0"/>
          <w:sz w:val="19"/>
        </w:rPr>
        <w:t>Parent BR-WFL-002   |   P0   |   R1</w:t>
      </w:r>
    </w:p>
    <w:p>
      <w:pPr>
        <w:spacing w:after="60"/>
      </w:pPr>
      <w:r>
        <w:rPr>
          <w:b/>
          <w:i w:val="0"/>
        </w:rPr>
        <w:t xml:space="preserve">Behaviour: </w:t>
      </w:r>
      <w:r>
        <w:rPr>
          <w:b w:val="0"/>
          <w:i w:val="0"/>
        </w:rPr>
        <w:t>The review screen loads the immutable candidate, change summary and evidence. Approve submits candidate revision and current reviewer identity. Commit rechecks membership, scope, independence, assurance and workflow stage.</w:t>
      </w:r>
    </w:p>
    <w:p>
      <w:pPr>
        <w:spacing w:after="60"/>
      </w:pPr>
      <w:r>
        <w:rPr>
          <w:b/>
          <w:i w:val="0"/>
        </w:rPr>
        <w:t xml:space="preserve">Validation and recovery: </w:t>
      </w:r>
      <w:r>
        <w:rPr>
          <w:b w:val="0"/>
          <w:i w:val="0"/>
        </w:rPr>
        <w:t>Stale candidate or changed evidence invalidates the decision attempt. Editing content as reviewer creates a new authored revision and removes eligibility for independent approval of that revision.</w:t>
      </w:r>
    </w:p>
    <w:p>
      <w:pPr>
        <w:spacing w:after="60"/>
      </w:pPr>
      <w:r>
        <w:rPr>
          <w:b/>
          <w:i w:val="0"/>
        </w:rPr>
        <w:t xml:space="preserve">Acceptance FT-WFL-002: </w:t>
      </w:r>
      <w:r>
        <w:rPr>
          <w:b w:val="0"/>
          <w:i w:val="0"/>
        </w:rPr>
        <w:t>Change a submission after the reviewer opens it; their old approve command fails and requires fresh review.</w:t>
      </w:r>
    </w:p>
    <w:p>
      <w:bookmarkStart w:id="173" w:name="req_FR_WFL_003"/>
      <w:pPr>
        <w:keepNext/>
        <w:spacing w:before="180" w:after="40"/>
      </w:pPr>
      <w:r>
        <w:rPr>
          <w:b/>
          <w:i w:val="0"/>
        </w:rPr>
        <w:t>FR-WFL-003   Return reject and resubmit</w:t>
      </w:r>
      <w:bookmarkEnd w:id="173"/>
    </w:p>
    <w:p>
      <w:pPr>
        <w:keepNext/>
        <w:spacing w:after="60"/>
      </w:pPr>
      <w:r>
        <w:rPr>
          <w:b w:val="0"/>
          <w:i w:val="0"/>
          <w:sz w:val="19"/>
        </w:rPr>
        <w:t>Parent BR-WFL-003   |   P0   |   R1</w:t>
      </w:r>
    </w:p>
    <w:p>
      <w:pPr>
        <w:spacing w:after="60"/>
      </w:pPr>
      <w:r>
        <w:rPr>
          <w:b/>
          <w:i w:val="0"/>
        </w:rPr>
        <w:t xml:space="preserve">Behaviour: </w:t>
      </w:r>
      <w:r>
        <w:rPr>
          <w:b w:val="0"/>
          <w:i w:val="0"/>
        </w:rPr>
        <w:t>Return requires actionable comments tied to fields or issues. Reject requires policy permitted final disposition and reason. Resubmission creates a new candidate version with a comparison to the returned one and a fresh decision sequence.</w:t>
      </w:r>
    </w:p>
    <w:p>
      <w:pPr>
        <w:spacing w:after="60"/>
      </w:pPr>
      <w:r>
        <w:rPr>
          <w:b/>
          <w:i w:val="0"/>
        </w:rPr>
        <w:t xml:space="preserve">Validation and recovery: </w:t>
      </w:r>
      <w:r>
        <w:rPr>
          <w:b w:val="0"/>
          <w:i w:val="0"/>
        </w:rPr>
        <w:t>Previous approvals remain historical but do not satisfy the new candidate unless the workflow explicitly revalidates unchanged independent stages under a qualified rule.</w:t>
      </w:r>
    </w:p>
    <w:p>
      <w:pPr>
        <w:spacing w:after="60"/>
      </w:pPr>
      <w:r>
        <w:rPr>
          <w:b/>
          <w:i w:val="0"/>
        </w:rPr>
        <w:t xml:space="preserve">Acceptance FT-WFL-003: </w:t>
      </w:r>
      <w:r>
        <w:rPr>
          <w:b w:val="0"/>
          <w:i w:val="0"/>
        </w:rPr>
        <w:t>Complete two correction cycles and inspect distinct reasons, revisions, authors and decision times for each.</w:t>
      </w:r>
    </w:p>
    <w:p>
      <w:bookmarkStart w:id="174" w:name="req_FR_WFL_004"/>
      <w:pPr>
        <w:keepNext/>
        <w:spacing w:before="180" w:after="40"/>
      </w:pPr>
      <w:r>
        <w:rPr>
          <w:b/>
          <w:i w:val="0"/>
        </w:rPr>
        <w:t>FR-WFL-004   Delegation escalation and absence</w:t>
      </w:r>
      <w:bookmarkEnd w:id="174"/>
    </w:p>
    <w:p>
      <w:pPr>
        <w:keepNext/>
        <w:spacing w:after="60"/>
      </w:pPr>
      <w:r>
        <w:rPr>
          <w:b w:val="0"/>
          <w:i w:val="0"/>
          <w:sz w:val="19"/>
        </w:rPr>
        <w:t>Parent BR-WFL-004   |   P1   |   R1</w:t>
      </w:r>
    </w:p>
    <w:p>
      <w:pPr>
        <w:spacing w:after="60"/>
      </w:pPr>
      <w:r>
        <w:rPr>
          <w:b/>
          <w:i w:val="0"/>
        </w:rPr>
        <w:t xml:space="preserve">Behaviour: </w:t>
      </w:r>
      <w:r>
        <w:rPr>
          <w:b w:val="0"/>
          <w:i w:val="0"/>
        </w:rPr>
        <w:t>Delegation specifies scope, start, end, delegate and reason. The system verifies eligibility and independence before routing work. Escalation goes to a named backup or manager when a deadline passes or reviewer departs.</w:t>
      </w:r>
    </w:p>
    <w:p>
      <w:pPr>
        <w:spacing w:after="60"/>
      </w:pPr>
      <w:r>
        <w:rPr>
          <w:b/>
          <w:i w:val="0"/>
        </w:rPr>
        <w:t xml:space="preserve">Validation and recovery: </w:t>
      </w:r>
      <w:r>
        <w:rPr>
          <w:b w:val="0"/>
          <w:i w:val="0"/>
        </w:rPr>
        <w:t>A delegate cannot approve the delegator's own authored change if independence is lost. No eligible replacement produces Blocked and a management task, never automatic approval.</w:t>
      </w:r>
    </w:p>
    <w:p>
      <w:pPr>
        <w:spacing w:after="60"/>
      </w:pPr>
      <w:r>
        <w:rPr>
          <w:b/>
          <w:i w:val="0"/>
        </w:rPr>
        <w:t xml:space="preserve">Acceptance FT-WFL-004: </w:t>
      </w:r>
      <w:r>
        <w:rPr>
          <w:b w:val="0"/>
          <w:i w:val="0"/>
        </w:rPr>
        <w:t>Remove the only assigned reviewer during close; an eligible backup is selected with attribution and the original reviewer receives no new protected task.</w:t>
      </w:r>
    </w:p>
    <w:p>
      <w:bookmarkStart w:id="175" w:name="req_FR_WFL_005"/>
      <w:pPr>
        <w:keepNext/>
        <w:spacing w:before="180" w:after="40"/>
      </w:pPr>
      <w:r>
        <w:rPr>
          <w:b/>
          <w:i w:val="0"/>
        </w:rPr>
        <w:t>FR-WFL-005   Comments mentions and discussions</w:t>
      </w:r>
      <w:bookmarkEnd w:id="175"/>
    </w:p>
    <w:p>
      <w:pPr>
        <w:keepNext/>
        <w:spacing w:after="60"/>
      </w:pPr>
      <w:r>
        <w:rPr>
          <w:b w:val="0"/>
          <w:i w:val="0"/>
          <w:sz w:val="19"/>
        </w:rPr>
        <w:t>Parent BR-WFL-005   |   P1   |   R1</w:t>
      </w:r>
    </w:p>
    <w:p>
      <w:pPr>
        <w:spacing w:after="60"/>
      </w:pPr>
      <w:r>
        <w:rPr>
          <w:b/>
          <w:i w:val="0"/>
        </w:rPr>
        <w:t xml:space="preserve">Behaviour: </w:t>
      </w:r>
      <w:r>
        <w:rPr>
          <w:b w:val="0"/>
          <w:i w:val="0"/>
        </w:rPr>
        <w:t>Threads attach to an object version or field reference. Mention suggestions contain only eligible collaborators. A notification links to the object and uses minimal permitted text; opening rechecks access. Edits and removal retain permitted moderation history.</w:t>
      </w:r>
    </w:p>
    <w:p>
      <w:pPr>
        <w:spacing w:after="60"/>
      </w:pPr>
      <w:r>
        <w:rPr>
          <w:b/>
          <w:i w:val="0"/>
        </w:rPr>
        <w:t xml:space="preserve">Validation and recovery: </w:t>
      </w:r>
      <w:r>
        <w:rPr>
          <w:b w:val="0"/>
          <w:i w:val="0"/>
        </w:rPr>
        <w:t>Do not quote restricted fields into a broader thread. Resolving a thread does not resolve a quality issue or approve a record.</w:t>
      </w:r>
    </w:p>
    <w:p>
      <w:pPr>
        <w:spacing w:after="60"/>
      </w:pPr>
      <w:r>
        <w:rPr>
          <w:b/>
          <w:i w:val="0"/>
        </w:rPr>
        <w:t xml:space="preserve">Acceptance FT-WFL-005: </w:t>
      </w:r>
      <w:r>
        <w:rPr>
          <w:b w:val="0"/>
          <w:i w:val="0"/>
        </w:rPr>
        <w:t>Mention an external viewer in a restricted evidence discussion; the system prevents disclosure through both the mention list and outgoing notification.</w:t>
      </w:r>
    </w:p>
    <w:p>
      <w:bookmarkStart w:id="176" w:name="req_FR_WFL_006"/>
      <w:pPr>
        <w:keepNext/>
        <w:spacing w:before="180" w:after="40"/>
      </w:pPr>
      <w:r>
        <w:rPr>
          <w:b/>
          <w:i w:val="0"/>
        </w:rPr>
        <w:t>FR-WFL-006   Task and notification centre</w:t>
      </w:r>
      <w:bookmarkEnd w:id="176"/>
    </w:p>
    <w:p>
      <w:pPr>
        <w:keepNext/>
        <w:spacing w:after="60"/>
      </w:pPr>
      <w:r>
        <w:rPr>
          <w:b w:val="0"/>
          <w:i w:val="0"/>
          <w:sz w:val="19"/>
        </w:rPr>
        <w:t>Parent BR-WFL-006   |   P1   |   R1</w:t>
      </w:r>
    </w:p>
    <w:p>
      <w:pPr>
        <w:spacing w:after="60"/>
      </w:pPr>
      <w:r>
        <w:rPr>
          <w:b/>
          <w:i w:val="0"/>
        </w:rPr>
        <w:t xml:space="preserve">Behaviour: </w:t>
      </w:r>
      <w:r>
        <w:rPr>
          <w:b w:val="0"/>
          <w:i w:val="0"/>
        </w:rPr>
        <w:t>The work centre consolidates assignments, returned work, due obligations and security notices. Users may choose permitted channels and digests; deadlines and escalations follow FD12. Every notification has an event identity and per recipient delivery status.</w:t>
      </w:r>
    </w:p>
    <w:p>
      <w:pPr>
        <w:spacing w:after="60"/>
      </w:pPr>
      <w:r>
        <w:rPr>
          <w:b/>
          <w:i w:val="0"/>
        </w:rPr>
        <w:t xml:space="preserve">Validation and recovery: </w:t>
      </w:r>
      <w:r>
        <w:rPr>
          <w:b w:val="0"/>
          <w:i w:val="0"/>
        </w:rPr>
        <w:t>Retries do not generate duplicate logical reminders. Mandatory security notices cannot be muted. Failed delivery flags contact remediation without revealing content to unverified alternatives.</w:t>
      </w:r>
    </w:p>
    <w:p>
      <w:pPr>
        <w:spacing w:after="60"/>
      </w:pPr>
      <w:r>
        <w:rPr>
          <w:b/>
          <w:i w:val="0"/>
        </w:rPr>
        <w:t xml:space="preserve">Acceptance FT-WFL-006: </w:t>
      </w:r>
      <w:r>
        <w:rPr>
          <w:b w:val="0"/>
          <w:i w:val="0"/>
        </w:rPr>
        <w:t>Retry one overdue reminder after provider timeout; one logical notice and traceable attempts remain, with no duplicate task creation.</w:t>
      </w:r>
    </w:p>
    <w:p>
      <w:bookmarkStart w:id="177" w:name="req_FR_WFL_007"/>
      <w:pPr>
        <w:keepNext/>
        <w:spacing w:before="180" w:after="40"/>
      </w:pPr>
      <w:r>
        <w:rPr>
          <w:b/>
          <w:i w:val="0"/>
        </w:rPr>
        <w:t>FR-WFL-007   Period close and lock</w:t>
      </w:r>
      <w:bookmarkEnd w:id="177"/>
    </w:p>
    <w:p>
      <w:pPr>
        <w:keepNext/>
        <w:spacing w:after="60"/>
      </w:pPr>
      <w:r>
        <w:rPr>
          <w:b w:val="0"/>
          <w:i w:val="0"/>
          <w:sz w:val="19"/>
        </w:rPr>
        <w:t>Parent BR-WFL-007   |   P0   |   R1</w:t>
      </w:r>
    </w:p>
    <w:p>
      <w:pPr>
        <w:spacing w:after="60"/>
      </w:pPr>
      <w:r>
        <w:rPr>
          <w:b/>
          <w:i w:val="0"/>
        </w:rPr>
        <w:t xml:space="preserve">Behaviour: </w:t>
      </w:r>
      <w:r>
        <w:rPr>
          <w:b w:val="0"/>
          <w:i w:val="0"/>
        </w:rPr>
        <w:t>Close preview freezes the expected obligation set and lists approved values, missing work, quality blockers and proposed exclusions. An independent decision locks a snapshot only after all required checks pass and source revisions remain unchanged.</w:t>
      </w:r>
    </w:p>
    <w:p>
      <w:pPr>
        <w:spacing w:after="60"/>
      </w:pPr>
      <w:r>
        <w:rPr>
          <w:b/>
          <w:i w:val="0"/>
        </w:rPr>
        <w:t xml:space="preserve">Validation and recovery: </w:t>
      </w:r>
      <w:r>
        <w:rPr>
          <w:b w:val="0"/>
          <w:i w:val="0"/>
        </w:rPr>
        <w:t>If inputs change between preview and lock, require a new preview. Late data remains outside the snapshot; ordinary editing cannot alter locked results.</w:t>
      </w:r>
    </w:p>
    <w:p>
      <w:pPr>
        <w:spacing w:after="60"/>
      </w:pPr>
      <w:r>
        <w:rPr>
          <w:b/>
          <w:i w:val="0"/>
        </w:rPr>
        <w:t xml:space="preserve">Acceptance FT-WFL-007: </w:t>
      </w:r>
      <w:r>
        <w:rPr>
          <w:b w:val="0"/>
          <w:i w:val="0"/>
        </w:rPr>
        <w:t>Lock a quarter with three approved mandatory obligations, then receive a late optional record; the snapshot stays fixed and current views label the new data separately.</w:t>
      </w:r>
    </w:p>
    <w:p>
      <w:bookmarkStart w:id="178" w:name="req_FR_WFL_008"/>
      <w:pPr>
        <w:keepNext/>
        <w:spacing w:before="180" w:after="40"/>
      </w:pPr>
      <w:r>
        <w:rPr>
          <w:b/>
          <w:i w:val="0"/>
        </w:rPr>
        <w:t>FR-WFL-008   Reopen and restate</w:t>
      </w:r>
      <w:bookmarkEnd w:id="178"/>
    </w:p>
    <w:p>
      <w:pPr>
        <w:keepNext/>
        <w:spacing w:after="60"/>
      </w:pPr>
      <w:r>
        <w:rPr>
          <w:b w:val="0"/>
          <w:i w:val="0"/>
          <w:sz w:val="19"/>
        </w:rPr>
        <w:t>Parent BR-WFL-008   |   P0   |   R1</w:t>
      </w:r>
    </w:p>
    <w:p>
      <w:pPr>
        <w:spacing w:after="60"/>
      </w:pPr>
      <w:r>
        <w:rPr>
          <w:b/>
          <w:i w:val="0"/>
        </w:rPr>
        <w:t xml:space="preserve">Behaviour: </w:t>
      </w:r>
      <w:r>
        <w:rPr>
          <w:b w:val="0"/>
          <w:i w:val="0"/>
        </w:rPr>
        <w:t>Restatement starts from a locked snapshot and specifies correction reason, changed sources, affected totals and previously distributed artifacts. Review compares old and proposed new snapshots. Approval creates a new locked version and correction notices for eligible recipients.</w:t>
      </w:r>
    </w:p>
    <w:p>
      <w:pPr>
        <w:spacing w:after="60"/>
      </w:pPr>
      <w:r>
        <w:rPr>
          <w:b/>
          <w:i w:val="0"/>
        </w:rPr>
        <w:t xml:space="preserve">Validation and recovery: </w:t>
      </w:r>
      <w:r>
        <w:rPr>
          <w:b w:val="0"/>
          <w:i w:val="0"/>
        </w:rPr>
        <w:t>Original snapshot and report are not overwritten. Reopening for correction is scoped and time bounded; subsequent annual totals must identify which quarter version they use.</w:t>
      </w:r>
    </w:p>
    <w:p>
      <w:pPr>
        <w:spacing w:after="60"/>
      </w:pPr>
      <w:r>
        <w:rPr>
          <w:b/>
          <w:i w:val="0"/>
        </w:rPr>
        <w:t xml:space="preserve">Acceptance FT-WFL-008: </w:t>
      </w:r>
      <w:r>
        <w:rPr>
          <w:b w:val="0"/>
          <w:i w:val="0"/>
        </w:rPr>
        <w:t>Restate Q1 and regenerate year-to-date; old Q1 remains available as superseded and the annual package points to the new approved version.</w:t>
      </w:r>
    </w:p>
    <w:p>
      <w:bookmarkStart w:id="179" w:name="req_FR_WFL_009"/>
      <w:pPr>
        <w:keepNext/>
        <w:spacing w:before="180" w:after="40"/>
      </w:pPr>
      <w:r>
        <w:rPr>
          <w:b/>
          <w:i w:val="0"/>
        </w:rPr>
        <w:t>FR-WFL-009   Automation rules</w:t>
      </w:r>
      <w:bookmarkEnd w:id="179"/>
    </w:p>
    <w:p>
      <w:pPr>
        <w:keepNext/>
        <w:spacing w:after="60"/>
      </w:pPr>
      <w:r>
        <w:rPr>
          <w:b w:val="0"/>
          <w:i w:val="0"/>
          <w:sz w:val="19"/>
        </w:rPr>
        <w:t>Parent BR-WFL-009   |   P1   |   R2</w:t>
      </w:r>
    </w:p>
    <w:p>
      <w:pPr>
        <w:spacing w:after="60"/>
      </w:pPr>
      <w:r>
        <w:rPr>
          <w:b/>
          <w:i w:val="0"/>
        </w:rPr>
        <w:t xml:space="preserve">Behaviour: </w:t>
      </w:r>
      <w:r>
        <w:rPr>
          <w:b w:val="0"/>
          <w:i w:val="0"/>
        </w:rPr>
        <w:t>An automation rule declares event trigger, conditions, bounded action, owner, scope and retry policy. Preview runs against synthetic or permitted sample events. Executions record input event and action receipts, with loop depth and frequency limits.</w:t>
      </w:r>
    </w:p>
    <w:p>
      <w:pPr>
        <w:spacing w:after="60"/>
      </w:pPr>
      <w:r>
        <w:rPr>
          <w:b/>
          <w:i w:val="0"/>
        </w:rPr>
        <w:t xml:space="preserve">Validation and recovery: </w:t>
      </w:r>
      <w:r>
        <w:rPr>
          <w:b w:val="0"/>
          <w:i w:val="0"/>
        </w:rPr>
        <w:t>Automation cannot approve its own generated objects, publish without approval or expand permissions. Disable stops future actions and identifies already committed ones.</w:t>
      </w:r>
    </w:p>
    <w:p>
      <w:pPr>
        <w:spacing w:after="60"/>
      </w:pPr>
      <w:r>
        <w:rPr>
          <w:b/>
          <w:i w:val="0"/>
        </w:rPr>
        <w:t xml:space="preserve">Acceptance FT-WFL-009: </w:t>
      </w:r>
      <w:r>
        <w:rPr>
          <w:b w:val="0"/>
          <w:i w:val="0"/>
        </w:rPr>
        <w:t>Create an overdue reminder rule that triggers a task update; repeated events produce one task and cannot recursively create unlimited reminders.</w:t>
      </w:r>
    </w:p>
    <w:p>
      <w:bookmarkStart w:id="180" w:name="req_FR_WFL_010"/>
      <w:pPr>
        <w:keepNext/>
        <w:spacing w:before="180" w:after="40"/>
      </w:pPr>
      <w:r>
        <w:rPr>
          <w:b/>
          <w:i w:val="0"/>
        </w:rPr>
        <w:t>FR-WFL-010   Decisions and signoff</w:t>
      </w:r>
      <w:bookmarkEnd w:id="180"/>
    </w:p>
    <w:p>
      <w:pPr>
        <w:keepNext/>
        <w:spacing w:after="60"/>
      </w:pPr>
      <w:r>
        <w:rPr>
          <w:b w:val="0"/>
          <w:i w:val="0"/>
          <w:sz w:val="19"/>
        </w:rPr>
        <w:t>Parent BR-WFL-010   |   P0   |   R1</w:t>
      </w:r>
    </w:p>
    <w:p>
      <w:pPr>
        <w:spacing w:after="60"/>
      </w:pPr>
      <w:r>
        <w:rPr>
          <w:b/>
          <w:i w:val="0"/>
        </w:rPr>
        <w:t xml:space="preserve">Behaviour: </w:t>
      </w:r>
      <w:r>
        <w:rPr>
          <w:b w:val="0"/>
          <w:i w:val="0"/>
        </w:rPr>
        <w:t>Signoff records real identity, acting capacity, current authority, candidate version, decision, time and evidence. The approval history is exportable within scope. Delegation and emergency context are included explicitly.</w:t>
      </w:r>
    </w:p>
    <w:p>
      <w:pPr>
        <w:spacing w:after="60"/>
      </w:pPr>
      <w:r>
        <w:rPr>
          <w:b/>
          <w:i w:val="0"/>
        </w:rPr>
        <w:t xml:space="preserve">Validation and recovery: </w:t>
      </w:r>
      <w:r>
        <w:rPr>
          <w:b w:val="0"/>
          <w:i w:val="0"/>
        </w:rPr>
        <w:t>The UI labels ordinary approval as an accountable product decision. Legally recognised electronic signature claims require a separately qualified integration and approved contract.</w:t>
      </w:r>
    </w:p>
    <w:p>
      <w:pPr>
        <w:spacing w:after="60"/>
      </w:pPr>
      <w:r>
        <w:rPr>
          <w:b/>
          <w:i w:val="0"/>
        </w:rPr>
        <w:t xml:space="preserve">Acceptance FT-WFL-010: </w:t>
      </w:r>
      <w:r>
        <w:rPr>
          <w:b w:val="0"/>
          <w:i w:val="0"/>
        </w:rPr>
        <w:t>Export the decisions for one report and identify the exact candidate approved by each reviewer without attributing a signature standard the product has not qualified.</w:t>
      </w:r>
    </w:p>
    <w:p>
      <w:bookmarkStart w:id="181" w:name="sec_22"/>
      <w:pPr>
        <w:pStyle w:val="Heading1"/>
      </w:pPr>
      <w:r>
        <w:rPr>
          <w:b w:val="0"/>
          <w:i w:val="0"/>
        </w:rPr>
        <w:t>22 Analytics dashboards and geographic views</w:t>
      </w:r>
      <w:bookmarkEnd w:id="181"/>
    </w:p>
    <w:p>
      <w:pPr>
        <w:spacing w:after="140"/>
      </w:pPr>
      <w:r>
        <w:rPr>
          <w:b w:val="0"/>
          <w:i/>
          <w:sz w:val="21"/>
        </w:rPr>
        <w:t>Primary actors: Analyst programme manager and permitted viewer. Interfaces: UI10 UI22. Logical entities: D07 D13 D27 D29.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82" w:name="req_FR_ANA_001"/>
      <w:pPr>
        <w:keepNext/>
        <w:spacing w:before="180" w:after="40"/>
      </w:pPr>
      <w:r>
        <w:rPr>
          <w:b/>
          <w:i w:val="0"/>
        </w:rPr>
        <w:t>FR-ANA-001   Dashboard authoring</w:t>
      </w:r>
      <w:bookmarkEnd w:id="182"/>
    </w:p>
    <w:p>
      <w:pPr>
        <w:keepNext/>
        <w:spacing w:after="60"/>
      </w:pPr>
      <w:r>
        <w:rPr>
          <w:b w:val="0"/>
          <w:i w:val="0"/>
          <w:sz w:val="19"/>
        </w:rPr>
        <w:t>Parent BR-ANA-001   |   P1   |   R1</w:t>
      </w:r>
    </w:p>
    <w:p>
      <w:pPr>
        <w:spacing w:after="60"/>
      </w:pPr>
      <w:r>
        <w:rPr>
          <w:b/>
          <w:i w:val="0"/>
        </w:rPr>
        <w:t xml:space="preserve">Behaviour: </w:t>
      </w:r>
      <w:r>
        <w:rPr>
          <w:b w:val="0"/>
          <w:i w:val="0"/>
        </w:rPr>
        <w:t>Dashboard authoring selects permitted metric, table, trend, target, narrative and evidence widgets. Each widget declares binding, view mode, period, dimensions and disclosure context. Preview renders desktop, mobile and an accessible tabular alternative before publication.</w:t>
      </w:r>
    </w:p>
    <w:p>
      <w:pPr>
        <w:spacing w:after="60"/>
      </w:pPr>
      <w:r>
        <w:rPr>
          <w:b/>
          <w:i w:val="0"/>
        </w:rPr>
        <w:t xml:space="preserve">Validation and recovery: </w:t>
      </w:r>
      <w:r>
        <w:rPr>
          <w:b w:val="0"/>
          <w:i w:val="0"/>
        </w:rPr>
        <w:t>Changing layout cannot hide required quality context. Unsupported or revoked bindings show unavailable rather than a stale private value. A dashboard copy begins as a private draft.</w:t>
      </w:r>
    </w:p>
    <w:p>
      <w:pPr>
        <w:spacing w:after="60"/>
      </w:pPr>
      <w:r>
        <w:rPr>
          <w:b/>
          <w:i w:val="0"/>
        </w:rPr>
        <w:t xml:space="preserve">Acceptance FT-ANA-001: </w:t>
      </w:r>
      <w:r>
        <w:rPr>
          <w:b w:val="0"/>
          <w:i w:val="0"/>
        </w:rPr>
        <w:t>Build a ten-widget dashboard, open it at mobile width and verify each chart has a readable labelled equivalent with identical values.</w:t>
      </w:r>
    </w:p>
    <w:p>
      <w:bookmarkStart w:id="183" w:name="req_FR_ANA_002"/>
      <w:pPr>
        <w:keepNext/>
        <w:spacing w:before="180" w:after="40"/>
      </w:pPr>
      <w:r>
        <w:rPr>
          <w:b/>
          <w:i w:val="0"/>
        </w:rPr>
        <w:t>FR-ANA-002   Filters and drill down</w:t>
      </w:r>
      <w:bookmarkEnd w:id="183"/>
    </w:p>
    <w:p>
      <w:pPr>
        <w:keepNext/>
        <w:spacing w:after="60"/>
      </w:pPr>
      <w:r>
        <w:rPr>
          <w:b w:val="0"/>
          <w:i w:val="0"/>
          <w:sz w:val="19"/>
        </w:rPr>
        <w:t>Parent BR-ANA-002   |   P0   |   R1</w:t>
      </w:r>
    </w:p>
    <w:p>
      <w:pPr>
        <w:spacing w:after="60"/>
      </w:pPr>
      <w:r>
        <w:rPr>
          <w:b/>
          <w:i w:val="0"/>
        </w:rPr>
        <w:t xml:space="preserve">Behaviour: </w:t>
      </w:r>
      <w:r>
        <w:rPr>
          <w:b w:val="0"/>
          <w:i w:val="0"/>
        </w:rPr>
        <w:t>Filters show their current values and affect only declared compatible widgets. Drill down follows permitted hierarchy levels and approved disclosure slices. Saved views pin definitions or display a reviewed migration notice when a binding changes.</w:t>
      </w:r>
    </w:p>
    <w:p>
      <w:pPr>
        <w:spacing w:after="60"/>
      </w:pPr>
      <w:r>
        <w:rPr>
          <w:b/>
          <w:i w:val="0"/>
        </w:rPr>
        <w:t xml:space="preserve">Validation and recovery: </w:t>
      </w:r>
      <w:r>
        <w:rPr>
          <w:b w:val="0"/>
          <w:i w:val="0"/>
        </w:rPr>
        <w:t>Filtering cannot reveal suppressed cells or hidden source counts. A filter that is not applicable to a widget is visibly identified rather than silently ignored.</w:t>
      </w:r>
    </w:p>
    <w:p>
      <w:pPr>
        <w:spacing w:after="60"/>
      </w:pPr>
      <w:r>
        <w:rPr>
          <w:b/>
          <w:i w:val="0"/>
        </w:rPr>
        <w:t xml:space="preserve">Acceptance FT-ANA-002: </w:t>
      </w:r>
      <w:r>
        <w:rPr>
          <w:b w:val="0"/>
          <w:i w:val="0"/>
        </w:rPr>
        <w:t>Select partner A and drill to programme data; a restricted participant level remains unavailable and the summary does not leak partner B through totals.</w:t>
      </w:r>
    </w:p>
    <w:p>
      <w:bookmarkStart w:id="184" w:name="req_FR_ANA_003"/>
      <w:pPr>
        <w:keepNext/>
        <w:spacing w:before="180" w:after="40"/>
      </w:pPr>
      <w:r>
        <w:rPr>
          <w:b/>
          <w:i w:val="0"/>
        </w:rPr>
        <w:t>FR-ANA-003   Actual target and baseline views</w:t>
      </w:r>
      <w:bookmarkEnd w:id="184"/>
    </w:p>
    <w:p>
      <w:pPr>
        <w:keepNext/>
        <w:spacing w:after="60"/>
      </w:pPr>
      <w:r>
        <w:rPr>
          <w:b w:val="0"/>
          <w:i w:val="0"/>
          <w:sz w:val="19"/>
        </w:rPr>
        <w:t>Parent BR-ANA-003   |   P0   |   R1</w:t>
      </w:r>
    </w:p>
    <w:p>
      <w:pPr>
        <w:spacing w:after="60"/>
      </w:pPr>
      <w:r>
        <w:rPr>
          <w:b/>
          <w:i w:val="0"/>
        </w:rPr>
        <w:t xml:space="preserve">Behaviour: </w:t>
      </w:r>
      <w:r>
        <w:rPr>
          <w:b w:val="0"/>
          <w:i w:val="0"/>
        </w:rPr>
        <w:t>Comparison widgets bind actual, baseline and selected target version with direction and time semantic. Labels identify original or revised target and applicable period. Axis scales and percentage calculations are explicit; overachievement remains visible.</w:t>
      </w:r>
    </w:p>
    <w:p>
      <w:pPr>
        <w:spacing w:after="60"/>
      </w:pPr>
      <w:r>
        <w:rPr>
          <w:b/>
          <w:i w:val="0"/>
        </w:rPr>
        <w:t xml:space="preserve">Validation and recovery: </w:t>
      </w:r>
      <w:r>
        <w:rPr>
          <w:b w:val="0"/>
          <w:i w:val="0"/>
        </w:rPr>
        <w:t>A cumulative curve cannot be compared to a monthly flow target without an approved conversion. Zero baseline percentage change produces undefined, not an infinite trend.</w:t>
      </w:r>
    </w:p>
    <w:p>
      <w:pPr>
        <w:spacing w:after="60"/>
      </w:pPr>
      <w:r>
        <w:rPr>
          <w:b/>
          <w:i w:val="0"/>
        </w:rPr>
        <w:t xml:space="preserve">Acceptance FT-ANA-003: </w:t>
      </w:r>
      <w:r>
        <w:rPr>
          <w:b w:val="0"/>
          <w:i w:val="0"/>
        </w:rPr>
        <w:t>Display lower-is-better target ten with actual eight and show the correct status and declared deviation without an inverted success interpretation.</w:t>
      </w:r>
    </w:p>
    <w:p>
      <w:bookmarkStart w:id="185" w:name="req_FR_ANA_004"/>
      <w:pPr>
        <w:keepNext/>
        <w:spacing w:before="180" w:after="40"/>
      </w:pPr>
      <w:r>
        <w:rPr>
          <w:b/>
          <w:i w:val="0"/>
        </w:rPr>
        <w:t>FR-ANA-004   Freshness and approval context</w:t>
      </w:r>
      <w:bookmarkEnd w:id="185"/>
    </w:p>
    <w:p>
      <w:pPr>
        <w:keepNext/>
        <w:spacing w:after="60"/>
      </w:pPr>
      <w:r>
        <w:rPr>
          <w:b w:val="0"/>
          <w:i w:val="0"/>
          <w:sz w:val="19"/>
        </w:rPr>
        <w:t>Parent BR-ANA-004   |   P0   |   R1</w:t>
      </w:r>
    </w:p>
    <w:p>
      <w:pPr>
        <w:spacing w:after="60"/>
      </w:pPr>
      <w:r>
        <w:rPr>
          <w:b/>
          <w:i w:val="0"/>
        </w:rPr>
        <w:t xml:space="preserve">Behaviour: </w:t>
      </w:r>
      <w:r>
        <w:rPr>
          <w:b w:val="0"/>
          <w:i w:val="0"/>
        </w:rPr>
        <w:t>Every result widget distinguishes live approved, provisional or snapshot. Its context exposes last source success, approval cutoff, calculation time and coverage. A report or image export embeds a concise version of material context.</w:t>
      </w:r>
    </w:p>
    <w:p>
      <w:pPr>
        <w:spacing w:after="60"/>
      </w:pPr>
      <w:r>
        <w:rPr>
          <w:b/>
          <w:i w:val="0"/>
        </w:rPr>
        <w:t xml:space="preserve">Validation and recovery: </w:t>
      </w:r>
      <w:r>
        <w:rPr>
          <w:b w:val="0"/>
          <w:i w:val="0"/>
        </w:rPr>
        <w:t>A successful dashboard fetch does not make the source fresh. Provisional content remains labelled even if other widgets are approved.</w:t>
      </w:r>
    </w:p>
    <w:p>
      <w:pPr>
        <w:spacing w:after="60"/>
      </w:pPr>
      <w:r>
        <w:rPr>
          <w:b/>
          <w:i w:val="0"/>
        </w:rPr>
        <w:t xml:space="preserve">Acceptance FT-ANA-004: </w:t>
      </w:r>
      <w:r>
        <w:rPr>
          <w:b w:val="0"/>
          <w:i w:val="0"/>
        </w:rPr>
        <w:t>Fail a source refresh and export the dashboard; the exported result remains marked stale with the last valid data time.</w:t>
      </w:r>
    </w:p>
    <w:p>
      <w:bookmarkStart w:id="186" w:name="req_FR_ANA_005"/>
      <w:pPr>
        <w:keepNext/>
        <w:spacing w:before="180" w:after="40"/>
      </w:pPr>
      <w:r>
        <w:rPr>
          <w:b/>
          <w:i w:val="0"/>
        </w:rPr>
        <w:t>FR-ANA-005   Table analysis and pivots</w:t>
      </w:r>
      <w:bookmarkEnd w:id="186"/>
    </w:p>
    <w:p>
      <w:pPr>
        <w:keepNext/>
        <w:spacing w:after="60"/>
      </w:pPr>
      <w:r>
        <w:rPr>
          <w:b w:val="0"/>
          <w:i w:val="0"/>
          <w:sz w:val="19"/>
        </w:rPr>
        <w:t>Parent BR-ANA-005   |   P1   |   R2</w:t>
      </w:r>
    </w:p>
    <w:p>
      <w:pPr>
        <w:spacing w:after="60"/>
      </w:pPr>
      <w:r>
        <w:rPr>
          <w:b/>
          <w:i w:val="0"/>
        </w:rPr>
        <w:t xml:space="preserve">Behaviour: </w:t>
      </w:r>
      <w:r>
        <w:rPr>
          <w:b w:val="0"/>
          <w:i w:val="0"/>
        </w:rPr>
        <w:t>Pivot authoring selects dimensions, measures and compatible aggregation functions. Preview estimates cardinality and routes large requests to cancellable jobs. Grand totals are recalculated from eligible source semantics rather than summed from displayed rounded or overlapping cells.</w:t>
      </w:r>
    </w:p>
    <w:p>
      <w:pPr>
        <w:spacing w:after="60"/>
      </w:pPr>
      <w:r>
        <w:rPr>
          <w:b/>
          <w:i w:val="0"/>
        </w:rPr>
        <w:t xml:space="preserve">Validation and recovery: </w:t>
      </w:r>
      <w:r>
        <w:rPr>
          <w:b w:val="0"/>
          <w:i w:val="0"/>
        </w:rPr>
        <w:t>Suppressed cells and nonadditive dimensions retain their disclosure policy. An unsupported statistic blocks the pivot or requires a distinctly labelled alternative.</w:t>
      </w:r>
    </w:p>
    <w:p>
      <w:pPr>
        <w:spacing w:after="60"/>
      </w:pPr>
      <w:r>
        <w:rPr>
          <w:b/>
          <w:i w:val="0"/>
        </w:rPr>
        <w:t xml:space="preserve">Acceptance FT-ANA-005: </w:t>
      </w:r>
      <w:r>
        <w:rPr>
          <w:b w:val="0"/>
          <w:i w:val="0"/>
        </w:rPr>
        <w:t>Pivot participants by a multiselect service type; category totals may exceed the distinct grand total, and that difference is explained.</w:t>
      </w:r>
    </w:p>
    <w:p>
      <w:bookmarkStart w:id="187" w:name="req_FR_ANA_006"/>
      <w:pPr>
        <w:keepNext/>
        <w:spacing w:before="180" w:after="40"/>
      </w:pPr>
      <w:r>
        <w:rPr>
          <w:b/>
          <w:i w:val="0"/>
        </w:rPr>
        <w:t>FR-ANA-006   Geographic analysis</w:t>
      </w:r>
      <w:bookmarkEnd w:id="187"/>
    </w:p>
    <w:p>
      <w:pPr>
        <w:keepNext/>
        <w:spacing w:after="60"/>
      </w:pPr>
      <w:r>
        <w:rPr>
          <w:b w:val="0"/>
          <w:i w:val="0"/>
          <w:sz w:val="19"/>
        </w:rPr>
        <w:t>Parent BR-ANA-006   |   P1   |   R2</w:t>
      </w:r>
    </w:p>
    <w:p>
      <w:pPr>
        <w:spacing w:after="60"/>
      </w:pPr>
      <w:r>
        <w:rPr>
          <w:b/>
          <w:i w:val="0"/>
        </w:rPr>
        <w:t xml:space="preserve">Behaviour: </w:t>
      </w:r>
      <w:r>
        <w:rPr>
          <w:b w:val="0"/>
          <w:i w:val="0"/>
        </w:rPr>
        <w:t>Map configuration selects boundary version, authorised point or aggregate layer, period, legend and missingness treatment. External maps use approved geographic granularity. Every map offers an equivalent sortable table.</w:t>
      </w:r>
    </w:p>
    <w:p>
      <w:pPr>
        <w:spacing w:after="60"/>
      </w:pPr>
      <w:r>
        <w:rPr>
          <w:b/>
          <w:i w:val="0"/>
        </w:rPr>
        <w:t xml:space="preserve">Validation and recovery: </w:t>
      </w:r>
      <w:r>
        <w:rPr>
          <w:b w:val="0"/>
          <w:i w:val="0"/>
        </w:rPr>
        <w:t>Precise coordinates cannot hide in tooltips, downloads or map request payloads when only district aggregates are allowed. Boundary mismatch is visible.</w:t>
      </w:r>
    </w:p>
    <w:p>
      <w:pPr>
        <w:spacing w:after="60"/>
      </w:pPr>
      <w:r>
        <w:rPr>
          <w:b/>
          <w:i w:val="0"/>
        </w:rPr>
        <w:t xml:space="preserve">Acceptance FT-ANA-006: </w:t>
      </w:r>
      <w:r>
        <w:rPr>
          <w:b w:val="0"/>
          <w:i w:val="0"/>
        </w:rPr>
        <w:t>Publish a district view of vulnerable participants and inspect the permitted payload: no household coordinate is disclosed.</w:t>
      </w:r>
    </w:p>
    <w:p>
      <w:bookmarkStart w:id="188" w:name="req_FR_ANA_007"/>
      <w:pPr>
        <w:keepNext/>
        <w:spacing w:before="180" w:after="40"/>
      </w:pPr>
      <w:r>
        <w:rPr>
          <w:b/>
          <w:i w:val="0"/>
        </w:rPr>
        <w:t>FR-ANA-007   Portfolio comparison</w:t>
      </w:r>
      <w:bookmarkEnd w:id="188"/>
    </w:p>
    <w:p>
      <w:pPr>
        <w:keepNext/>
        <w:spacing w:after="60"/>
      </w:pPr>
      <w:r>
        <w:rPr>
          <w:b w:val="0"/>
          <w:i w:val="0"/>
          <w:sz w:val="19"/>
        </w:rPr>
        <w:t>Parent BR-ANA-007   |   P1   |   R1</w:t>
      </w:r>
    </w:p>
    <w:p>
      <w:pPr>
        <w:spacing w:after="60"/>
      </w:pPr>
      <w:r>
        <w:rPr>
          <w:b/>
          <w:i w:val="0"/>
        </w:rPr>
        <w:t xml:space="preserve">Behaviour: </w:t>
      </w:r>
      <w:r>
        <w:rPr>
          <w:b w:val="0"/>
          <w:i w:val="0"/>
        </w:rPr>
        <w:t>Portfolio comparison chooses compatible indicator definitions, periods and coverage thresholds. The view groups compatible measures and flags mismatches. Ranking is enabled only for an approved comparable set or carries a clear qualified comparison method.</w:t>
      </w:r>
    </w:p>
    <w:p>
      <w:pPr>
        <w:spacing w:after="60"/>
      </w:pPr>
      <w:r>
        <w:rPr>
          <w:b/>
          <w:i w:val="0"/>
        </w:rPr>
        <w:t xml:space="preserve">Validation and recovery: </w:t>
      </w:r>
      <w:r>
        <w:rPr>
          <w:b w:val="0"/>
          <w:i w:val="0"/>
        </w:rPr>
        <w:t>No raw ranking that mixes different denominators, currencies or observation windows as if equivalent. Permission filtered results state the visible scope without exposing hidden members.</w:t>
      </w:r>
    </w:p>
    <w:p>
      <w:pPr>
        <w:spacing w:after="60"/>
      </w:pPr>
      <w:r>
        <w:rPr>
          <w:b/>
          <w:i w:val="0"/>
        </w:rPr>
        <w:t xml:space="preserve">Acceptance FT-ANA-007: </w:t>
      </w:r>
      <w:r>
        <w:rPr>
          <w:b w:val="0"/>
          <w:i w:val="0"/>
        </w:rPr>
        <w:t>Compare two completion rates with different eligible populations; require reviewed comparability before presenting an unqualified league table.</w:t>
      </w:r>
    </w:p>
    <w:p>
      <w:bookmarkStart w:id="189" w:name="req_FR_ANA_008"/>
      <w:pPr>
        <w:keepNext/>
        <w:spacing w:before="180" w:after="40"/>
      </w:pPr>
      <w:r>
        <w:rPr>
          <w:b/>
          <w:i w:val="0"/>
        </w:rPr>
        <w:t>FR-ANA-008   Dashboard governance</w:t>
      </w:r>
      <w:bookmarkEnd w:id="189"/>
    </w:p>
    <w:p>
      <w:pPr>
        <w:keepNext/>
        <w:spacing w:after="60"/>
      </w:pPr>
      <w:r>
        <w:rPr>
          <w:b w:val="0"/>
          <w:i w:val="0"/>
          <w:sz w:val="19"/>
        </w:rPr>
        <w:t>Parent BR-ANA-008   |   P0   |   R1</w:t>
      </w:r>
    </w:p>
    <w:p>
      <w:pPr>
        <w:spacing w:after="60"/>
      </w:pPr>
      <w:r>
        <w:rPr>
          <w:b/>
          <w:i w:val="0"/>
        </w:rPr>
        <w:t xml:space="preserve">Behaviour: </w:t>
      </w:r>
      <w:r>
        <w:rPr>
          <w:b w:val="0"/>
          <w:i w:val="0"/>
        </w:rPr>
        <w:t>Dashboard publication pins layout, bindings, audience and expiry. Owner changes require current authority. Copy creates a draft with no new data grants; sharing preview calculates the recipient's view and identifies unavailable bindings.</w:t>
      </w:r>
    </w:p>
    <w:p>
      <w:pPr>
        <w:spacing w:after="60"/>
      </w:pPr>
      <w:r>
        <w:rPr>
          <w:b/>
          <w:i w:val="0"/>
        </w:rPr>
        <w:t xml:space="preserve">Validation and recovery: </w:t>
      </w:r>
      <w:r>
        <w:rPr>
          <w:b w:val="0"/>
          <w:i w:val="0"/>
        </w:rPr>
        <w:t>Public dashboards reference disclosure-approved artifacts, not unrestricted live private queries. Changes to source sensitivity suspend affected publication until revalidated.</w:t>
      </w:r>
    </w:p>
    <w:p>
      <w:pPr>
        <w:spacing w:after="60"/>
      </w:pPr>
      <w:r>
        <w:rPr>
          <w:b/>
          <w:i w:val="0"/>
        </w:rPr>
        <w:t xml:space="preserve">Acceptance FT-ANA-008: </w:t>
      </w:r>
      <w:r>
        <w:rPr>
          <w:b w:val="0"/>
          <w:i w:val="0"/>
        </w:rPr>
        <w:t>Copy an internal dashboard to a funder workspace; restricted widgets remain unavailable until explicitly bound to approved disclosed metrics.</w:t>
      </w:r>
    </w:p>
    <w:p>
      <w:bookmarkStart w:id="190" w:name="req_FR_ANA_009"/>
      <w:pPr>
        <w:keepNext/>
        <w:spacing w:before="180" w:after="40"/>
      </w:pPr>
      <w:r>
        <w:rPr>
          <w:b/>
          <w:i w:val="0"/>
        </w:rPr>
        <w:t>FR-ANA-009   Alerts and thresholds</w:t>
      </w:r>
      <w:bookmarkEnd w:id="190"/>
    </w:p>
    <w:p>
      <w:pPr>
        <w:keepNext/>
        <w:spacing w:after="60"/>
      </w:pPr>
      <w:r>
        <w:rPr>
          <w:b w:val="0"/>
          <w:i w:val="0"/>
          <w:sz w:val="19"/>
        </w:rPr>
        <w:t>Parent BR-ANA-009   |   P1   |   R2</w:t>
      </w:r>
    </w:p>
    <w:p>
      <w:pPr>
        <w:spacing w:after="60"/>
      </w:pPr>
      <w:r>
        <w:rPr>
          <w:b/>
          <w:i w:val="0"/>
        </w:rPr>
        <w:t xml:space="preserve">Behaviour: </w:t>
      </w:r>
      <w:r>
        <w:rPr>
          <w:b w:val="0"/>
          <w:i w:val="0"/>
        </w:rPr>
        <w:t>An alert declares measure, condition, minimum coverage, freshness, evaluation cadence, recipients and cooldown. Evaluation distinguishes threshold breach, missing data and stale input. Triggered alerts record the exact evaluated result version.</w:t>
      </w:r>
    </w:p>
    <w:p>
      <w:pPr>
        <w:spacing w:after="60"/>
      </w:pPr>
      <w:r>
        <w:rPr>
          <w:b/>
          <w:i w:val="0"/>
        </w:rPr>
        <w:t xml:space="preserve">Validation and recovery: </w:t>
      </w:r>
      <w:r>
        <w:rPr>
          <w:b w:val="0"/>
          <w:i w:val="0"/>
        </w:rPr>
        <w:t>No deterioration alert from an absent value treated as zero. Repeated conditions during cooldown update one incident or digest according to policy.</w:t>
      </w:r>
    </w:p>
    <w:p>
      <w:pPr>
        <w:spacing w:after="60"/>
      </w:pPr>
      <w:r>
        <w:rPr>
          <w:b/>
          <w:i w:val="0"/>
        </w:rPr>
        <w:t xml:space="preserve">Acceptance FT-ANA-009: </w:t>
      </w:r>
      <w:r>
        <w:rPr>
          <w:b w:val="0"/>
          <w:i w:val="0"/>
        </w:rPr>
        <w:t>A missed monthly submission generates a missingness alert, while an approved performance decline produces a separate threshold alert.</w:t>
      </w:r>
    </w:p>
    <w:p>
      <w:bookmarkStart w:id="191" w:name="req_FR_ANA_010"/>
      <w:pPr>
        <w:keepNext/>
        <w:spacing w:before="180" w:after="40"/>
      </w:pPr>
      <w:r>
        <w:rPr>
          <w:b/>
          <w:i w:val="0"/>
        </w:rPr>
        <w:t>FR-ANA-010   External analytics access</w:t>
      </w:r>
      <w:bookmarkEnd w:id="191"/>
    </w:p>
    <w:p>
      <w:pPr>
        <w:keepNext/>
        <w:spacing w:after="60"/>
      </w:pPr>
      <w:r>
        <w:rPr>
          <w:b w:val="0"/>
          <w:i w:val="0"/>
          <w:sz w:val="19"/>
        </w:rPr>
        <w:t>Parent BR-ANA-010   |   P1   |   R2</w:t>
      </w:r>
    </w:p>
    <w:p>
      <w:pPr>
        <w:spacing w:after="60"/>
      </w:pPr>
      <w:r>
        <w:rPr>
          <w:b/>
          <w:i w:val="0"/>
        </w:rPr>
        <w:t xml:space="preserve">Behaviour: </w:t>
      </w:r>
      <w:r>
        <w:rPr>
          <w:b w:val="0"/>
          <w:i w:val="0"/>
        </w:rPr>
        <w:t>A BI connection selects governed datasets and field scope, issues a service identity and records external destination and reuse terms. Refresh requires current credential and object authority. The data package includes definitions, units, value states and freshness.</w:t>
      </w:r>
    </w:p>
    <w:p>
      <w:pPr>
        <w:spacing w:after="60"/>
      </w:pPr>
      <w:r>
        <w:rPr>
          <w:b/>
          <w:i w:val="0"/>
        </w:rPr>
        <w:t xml:space="preserve">Validation and recovery: </w:t>
      </w:r>
      <w:r>
        <w:rPr>
          <w:b w:val="0"/>
          <w:i w:val="0"/>
        </w:rPr>
        <w:t>Revocation stops new retrieval; external copies are tracked as disclosures and cannot be represented as remotely erased. No unrestricted database connection is implied.</w:t>
      </w:r>
    </w:p>
    <w:p>
      <w:pPr>
        <w:spacing w:after="60"/>
      </w:pPr>
      <w:r>
        <w:rPr>
          <w:b/>
          <w:i w:val="0"/>
        </w:rPr>
        <w:t xml:space="preserve">Acceptance FT-ANA-010: </w:t>
      </w:r>
      <w:r>
        <w:rPr>
          <w:b w:val="0"/>
          <w:i w:val="0"/>
        </w:rPr>
        <w:t>Revoke the BI service identity and verify subsequent refresh fails while the register identifies the last successful external extract.</w:t>
      </w:r>
    </w:p>
    <w:p>
      <w:bookmarkStart w:id="192" w:name="sec_23"/>
      <w:pPr>
        <w:pStyle w:val="Heading1"/>
      </w:pPr>
      <w:r>
        <w:rPr>
          <w:b w:val="0"/>
          <w:i w:val="0"/>
        </w:rPr>
        <w:t>23 Reporting publication and distribution</w:t>
      </w:r>
      <w:bookmarkEnd w:id="192"/>
    </w:p>
    <w:p>
      <w:pPr>
        <w:spacing w:after="140"/>
      </w:pPr>
      <w:r>
        <w:rPr>
          <w:b w:val="0"/>
          <w:i/>
          <w:sz w:val="21"/>
        </w:rPr>
        <w:t>Primary actors: Report author independent approver and authorised publisher. Interfaces: UI23 UI24 UI27. Logical entities: D25 D26 D27 D28 D29.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93" w:name="req_FR_RPT_001"/>
      <w:pPr>
        <w:keepNext/>
        <w:spacing w:before="180" w:after="40"/>
      </w:pPr>
      <w:r>
        <w:rPr>
          <w:b/>
          <w:i w:val="0"/>
        </w:rPr>
        <w:t>FR-RPT-001   Report template library</w:t>
      </w:r>
      <w:bookmarkEnd w:id="193"/>
    </w:p>
    <w:p>
      <w:pPr>
        <w:keepNext/>
        <w:spacing w:after="60"/>
      </w:pPr>
      <w:r>
        <w:rPr>
          <w:b w:val="0"/>
          <w:i w:val="0"/>
          <w:sz w:val="19"/>
        </w:rPr>
        <w:t>Parent BR-RPT-001   |   P1   |   R1</w:t>
      </w:r>
    </w:p>
    <w:p>
      <w:pPr>
        <w:spacing w:after="60"/>
      </w:pPr>
      <w:r>
        <w:rPr>
          <w:b/>
          <w:i w:val="0"/>
        </w:rPr>
        <w:t xml:space="preserve">Behaviour: </w:t>
      </w:r>
      <w:r>
        <w:rPr>
          <w:b w:val="0"/>
          <w:i w:val="0"/>
        </w:rPr>
        <w:t>A report template defines sections, required metric bindings, tables, charts, narrative limits, evidence slots, language and mandatory caveats. Preview validates a representative approved snapshot. Published template versions remain pinned by reports already created.</w:t>
      </w:r>
    </w:p>
    <w:p>
      <w:pPr>
        <w:spacing w:after="60"/>
      </w:pPr>
      <w:r>
        <w:rPr>
          <w:b/>
          <w:i w:val="0"/>
        </w:rPr>
        <w:t xml:space="preserve">Validation and recovery: </w:t>
      </w:r>
      <w:r>
        <w:rPr>
          <w:b w:val="0"/>
          <w:i w:val="0"/>
        </w:rPr>
        <w:t>Missing metric bindings remain explicit gaps; no zero placeholder. A donor template change creates a version and cannot silently restyle or change a published report.</w:t>
      </w:r>
    </w:p>
    <w:p>
      <w:pPr>
        <w:spacing w:after="60"/>
      </w:pPr>
      <w:r>
        <w:rPr>
          <w:b/>
          <w:i w:val="0"/>
        </w:rPr>
        <w:t xml:space="preserve">Acceptance FT-RPT-001: </w:t>
      </w:r>
      <w:r>
        <w:rPr>
          <w:b w:val="0"/>
          <w:i w:val="0"/>
        </w:rPr>
        <w:t>Generate quarterly donor A and donor B reports from one snapshot and reconcile shared numeric fields to the same result IDs.</w:t>
      </w:r>
    </w:p>
    <w:p>
      <w:bookmarkStart w:id="194" w:name="req_FR_RPT_002"/>
      <w:pPr>
        <w:keepNext/>
        <w:spacing w:before="180" w:after="40"/>
      </w:pPr>
      <w:r>
        <w:rPr>
          <w:b/>
          <w:i w:val="0"/>
        </w:rPr>
        <w:t>FR-RPT-002   Reporting obligations</w:t>
      </w:r>
      <w:bookmarkEnd w:id="194"/>
    </w:p>
    <w:p>
      <w:pPr>
        <w:keepNext/>
        <w:spacing w:after="60"/>
      </w:pPr>
      <w:r>
        <w:rPr>
          <w:b w:val="0"/>
          <w:i w:val="0"/>
          <w:sz w:val="19"/>
        </w:rPr>
        <w:t>Parent BR-RPT-002   |   P0   |   R1</w:t>
      </w:r>
    </w:p>
    <w:p>
      <w:pPr>
        <w:spacing w:after="60"/>
      </w:pPr>
      <w:r>
        <w:rPr>
          <w:b/>
          <w:i w:val="0"/>
        </w:rPr>
        <w:t xml:space="preserve">Behaviour: </w:t>
      </w:r>
      <w:r>
        <w:rPr>
          <w:b w:val="0"/>
          <w:i w:val="0"/>
        </w:rPr>
        <w:t>An obligation defines recipient class, period rule, due instant, owner, required indicators, template and review route. Calendar instances show missing dependencies and approval status. Amendments preserve prior due date and contractual reference.</w:t>
      </w:r>
    </w:p>
    <w:p>
      <w:pPr>
        <w:spacing w:after="60"/>
      </w:pPr>
      <w:r>
        <w:rPr>
          <w:b/>
          <w:i w:val="0"/>
        </w:rPr>
        <w:t xml:space="preserve">Validation and recovery: </w:t>
      </w:r>
      <w:r>
        <w:rPr>
          <w:b w:val="0"/>
          <w:i w:val="0"/>
        </w:rPr>
        <w:t>Multiple donor calendars may coexist, but a report cannot be marked complete merely because another donor's report was sent. Owner departure triggers reassignment.</w:t>
      </w:r>
    </w:p>
    <w:p>
      <w:pPr>
        <w:spacing w:after="60"/>
      </w:pPr>
      <w:r>
        <w:rPr>
          <w:b/>
          <w:i w:val="0"/>
        </w:rPr>
        <w:t xml:space="preserve">Acceptance FT-RPT-002: </w:t>
      </w:r>
      <w:r>
        <w:rPr>
          <w:b w:val="0"/>
          <w:i w:val="0"/>
        </w:rPr>
        <w:t>Create quarterly and annual obligations for one project; completion of Q4 does not close the annual obligation automatically.</w:t>
      </w:r>
    </w:p>
    <w:p>
      <w:bookmarkStart w:id="195" w:name="req_FR_RPT_003"/>
      <w:pPr>
        <w:keepNext/>
        <w:spacing w:before="180" w:after="40"/>
      </w:pPr>
      <w:r>
        <w:rPr>
          <w:b/>
          <w:i w:val="0"/>
        </w:rPr>
        <w:t>FR-RPT-003   Frozen reporting packages</w:t>
      </w:r>
      <w:bookmarkEnd w:id="195"/>
    </w:p>
    <w:p>
      <w:pPr>
        <w:keepNext/>
        <w:spacing w:after="60"/>
      </w:pPr>
      <w:r>
        <w:rPr>
          <w:b w:val="0"/>
          <w:i w:val="0"/>
          <w:sz w:val="19"/>
        </w:rPr>
        <w:t>Parent BR-RPT-003   |   P0   |   R1</w:t>
      </w:r>
    </w:p>
    <w:p>
      <w:pPr>
        <w:spacing w:after="60"/>
      </w:pPr>
      <w:r>
        <w:rPr>
          <w:b/>
          <w:i w:val="0"/>
        </w:rPr>
        <w:t xml:space="preserve">Behaviour: </w:t>
      </w:r>
      <w:r>
        <w:rPr>
          <w:b w:val="0"/>
          <w:i w:val="0"/>
        </w:rPr>
        <w:t>Report creation selects a locked snapshot containing definitions, targets, results, evidence and relevant configuration. Numeric fields bind to immutable result references. Regeneration uses the same versions and records rendering version separately from content version.</w:t>
      </w:r>
    </w:p>
    <w:p>
      <w:pPr>
        <w:spacing w:after="60"/>
      </w:pPr>
      <w:r>
        <w:rPr>
          <w:b/>
          <w:i w:val="0"/>
        </w:rPr>
        <w:t xml:space="preserve">Validation and recovery: </w:t>
      </w:r>
      <w:r>
        <w:rPr>
          <w:b w:val="0"/>
          <w:i w:val="0"/>
        </w:rPr>
        <w:t>If lawful deletion makes evidence unavailable, disclose withheld evidence or withdraw the artifact as required; do not reconstruct deleted content to preserve visual identity. Numeric history remains only where lawful.</w:t>
      </w:r>
    </w:p>
    <w:p>
      <w:pPr>
        <w:spacing w:after="60"/>
      </w:pPr>
      <w:r>
        <w:rPr>
          <w:b/>
          <w:i w:val="0"/>
        </w:rPr>
        <w:t xml:space="preserve">Acceptance FT-RPT-003: </w:t>
      </w:r>
      <w:r>
        <w:rPr>
          <w:b w:val="0"/>
          <w:i w:val="0"/>
        </w:rPr>
        <w:t>Correct live source data and regenerate the old quarter; its authorised numeric content stays unchanged and the later correction is a separate report version.</w:t>
      </w:r>
    </w:p>
    <w:p>
      <w:bookmarkStart w:id="196" w:name="req_FR_RPT_004"/>
      <w:pPr>
        <w:keepNext/>
        <w:spacing w:before="180" w:after="40"/>
      </w:pPr>
      <w:r>
        <w:rPr>
          <w:b/>
          <w:i w:val="0"/>
        </w:rPr>
        <w:t>FR-RPT-004   Narrative authoring and review</w:t>
      </w:r>
      <w:bookmarkEnd w:id="196"/>
    </w:p>
    <w:p>
      <w:pPr>
        <w:keepNext/>
        <w:spacing w:after="60"/>
      </w:pPr>
      <w:r>
        <w:rPr>
          <w:b w:val="0"/>
          <w:i w:val="0"/>
          <w:sz w:val="19"/>
        </w:rPr>
        <w:t>Parent BR-RPT-004   |   P1   |   R1</w:t>
      </w:r>
    </w:p>
    <w:p>
      <w:pPr>
        <w:spacing w:after="60"/>
      </w:pPr>
      <w:r>
        <w:rPr>
          <w:b/>
          <w:i w:val="0"/>
        </w:rPr>
        <w:t xml:space="preserve">Behaviour: </w:t>
      </w:r>
      <w:r>
        <w:rPr>
          <w:b w:val="0"/>
          <w:i w:val="0"/>
        </w:rPr>
        <w:t>Narrative sections support drafts, comments and revision comparison. AI proposed text is labelled until reviewed. Material factual claims link to permitted evidence or metric references. The author accepts, edits or rejects suggestions before submission.</w:t>
      </w:r>
    </w:p>
    <w:p>
      <w:pPr>
        <w:spacing w:after="60"/>
      </w:pPr>
      <w:r>
        <w:rPr>
          <w:b/>
          <w:i w:val="0"/>
        </w:rPr>
        <w:t xml:space="preserve">Validation and recovery: </w:t>
      </w:r>
      <w:r>
        <w:rPr>
          <w:b w:val="0"/>
          <w:i w:val="0"/>
        </w:rPr>
        <w:t>Free text numbers that conflict with bound official values are flagged for resolution. Required caveats cannot be deleted through formatting. Editing an approved narrative creates a new candidate.</w:t>
      </w:r>
    </w:p>
    <w:p>
      <w:pPr>
        <w:spacing w:after="60"/>
      </w:pPr>
      <w:r>
        <w:rPr>
          <w:b/>
          <w:i w:val="0"/>
        </w:rPr>
        <w:t xml:space="preserve">Acceptance FT-RPT-004: </w:t>
      </w:r>
      <w:r>
        <w:rPr>
          <w:b w:val="0"/>
          <w:i w:val="0"/>
        </w:rPr>
        <w:t>Change a narrative from 180 to 200 participants while its metric remains 180; reconciliation blocks approval until the discrepancy is resolved.</w:t>
      </w:r>
    </w:p>
    <w:p>
      <w:bookmarkStart w:id="197" w:name="req_FR_RPT_005"/>
      <w:pPr>
        <w:keepNext/>
        <w:spacing w:before="180" w:after="40"/>
      </w:pPr>
      <w:r>
        <w:rPr>
          <w:b/>
          <w:i w:val="0"/>
        </w:rPr>
        <w:t>FR-RPT-005   Accessible export formats</w:t>
      </w:r>
      <w:bookmarkEnd w:id="197"/>
    </w:p>
    <w:p>
      <w:pPr>
        <w:keepNext/>
        <w:spacing w:after="60"/>
      </w:pPr>
      <w:r>
        <w:rPr>
          <w:b w:val="0"/>
          <w:i w:val="0"/>
          <w:sz w:val="19"/>
        </w:rPr>
        <w:t>Parent BR-RPT-005   |   P1   |   R1</w:t>
      </w:r>
    </w:p>
    <w:p>
      <w:pPr>
        <w:spacing w:after="60"/>
      </w:pPr>
      <w:r>
        <w:rPr>
          <w:b/>
          <w:i w:val="0"/>
        </w:rPr>
        <w:t xml:space="preserve">Behaviour: </w:t>
      </w:r>
      <w:r>
        <w:rPr>
          <w:b w:val="0"/>
          <w:i w:val="0"/>
        </w:rPr>
        <w:t>Export chooses DOCX or PDF for reports and XLSX or CSV for tables. The job validates snapshot, fonts, page breaks, headings, tables, figures, units, caveats and filter context. The artifact receipt identifies report version, format and access expiry.</w:t>
      </w:r>
    </w:p>
    <w:p>
      <w:pPr>
        <w:spacing w:after="60"/>
      </w:pPr>
      <w:r>
        <w:rPr>
          <w:b/>
          <w:i w:val="0"/>
        </w:rPr>
        <w:t xml:space="preserve">Validation and recovery: </w:t>
      </w:r>
      <w:r>
        <w:rPr>
          <w:b w:val="0"/>
          <w:i w:val="0"/>
        </w:rPr>
        <w:t>A rendering failure never marks publication successful. Accessible standard templates preserve headings and table structure; user supplied inaccessible content is flagged and cannot be claimed conformant without remediation.</w:t>
      </w:r>
    </w:p>
    <w:p>
      <w:pPr>
        <w:spacing w:after="60"/>
      </w:pPr>
      <w:r>
        <w:rPr>
          <w:b/>
          <w:i w:val="0"/>
        </w:rPr>
        <w:t xml:space="preserve">Acceptance FT-RPT-005: </w:t>
      </w:r>
      <w:r>
        <w:rPr>
          <w:b w:val="0"/>
          <w:i w:val="0"/>
        </w:rPr>
        <w:t>Export a 50-page report with twenty charts and confirm no clipped values or missing caveats and exact agreement with the snapshot.</w:t>
      </w:r>
    </w:p>
    <w:p>
      <w:bookmarkStart w:id="198" w:name="req_FR_RPT_006"/>
      <w:pPr>
        <w:keepNext/>
        <w:spacing w:before="180" w:after="40"/>
      </w:pPr>
      <w:r>
        <w:rPr>
          <w:b/>
          <w:i w:val="0"/>
        </w:rPr>
        <w:t>FR-RPT-006   Presentation and donor format output</w:t>
      </w:r>
      <w:bookmarkEnd w:id="198"/>
    </w:p>
    <w:p>
      <w:pPr>
        <w:keepNext/>
        <w:spacing w:after="60"/>
      </w:pPr>
      <w:r>
        <w:rPr>
          <w:b w:val="0"/>
          <w:i w:val="0"/>
          <w:sz w:val="19"/>
        </w:rPr>
        <w:t>Parent BR-RPT-006   |   P1   |   R2</w:t>
      </w:r>
    </w:p>
    <w:p>
      <w:pPr>
        <w:spacing w:after="60"/>
      </w:pPr>
      <w:r>
        <w:rPr>
          <w:b/>
          <w:i w:val="0"/>
        </w:rPr>
        <w:t xml:space="preserve">Behaviour: </w:t>
      </w:r>
      <w:r>
        <w:rPr>
          <w:b w:val="0"/>
          <w:i w:val="0"/>
        </w:rPr>
        <w:t>Slide and donor format output uses a versioned mapping from the approved snapshot to specified fields and narrative sections. Preview lists omitted optional content and unsupported mandatory fields. Approval binds the mapping version and intended audience.</w:t>
      </w:r>
    </w:p>
    <w:p>
      <w:pPr>
        <w:spacing w:after="60"/>
      </w:pPr>
      <w:r>
        <w:rPr>
          <w:b/>
          <w:i w:val="0"/>
        </w:rPr>
        <w:t xml:space="preserve">Validation and recovery: </w:t>
      </w:r>
      <w:r>
        <w:rPr>
          <w:b w:val="0"/>
          <w:i w:val="0"/>
        </w:rPr>
        <w:t>Do not retype authoritative numbers into editable placeholders without maintained bindings. Donor schemas with missing required data fail validation instead of receiving fabricated defaults.</w:t>
      </w:r>
    </w:p>
    <w:p>
      <w:pPr>
        <w:spacing w:after="60"/>
      </w:pPr>
      <w:r>
        <w:rPr>
          <w:b/>
          <w:i w:val="0"/>
        </w:rPr>
        <w:t xml:space="preserve">Acceptance FT-RPT-006: </w:t>
      </w:r>
      <w:r>
        <w:rPr>
          <w:b w:val="0"/>
          <w:i w:val="0"/>
        </w:rPr>
        <w:t>Produce a presentation and structured donor submission from the same snapshot; shared result values and periods agree despite different layouts.</w:t>
      </w:r>
    </w:p>
    <w:p>
      <w:bookmarkStart w:id="199" w:name="req_FR_RPT_007"/>
      <w:pPr>
        <w:keepNext/>
        <w:spacing w:before="180" w:after="40"/>
      </w:pPr>
      <w:r>
        <w:rPr>
          <w:b/>
          <w:i w:val="0"/>
        </w:rPr>
        <w:t>FR-RPT-007   Publication control</w:t>
      </w:r>
      <w:bookmarkEnd w:id="199"/>
    </w:p>
    <w:p>
      <w:pPr>
        <w:keepNext/>
        <w:spacing w:after="60"/>
      </w:pPr>
      <w:r>
        <w:rPr>
          <w:b w:val="0"/>
          <w:i w:val="0"/>
          <w:sz w:val="19"/>
        </w:rPr>
        <w:t>Parent BR-RPT-007   |   P0   |   R1</w:t>
      </w:r>
    </w:p>
    <w:p>
      <w:pPr>
        <w:spacing w:after="60"/>
      </w:pPr>
      <w:r>
        <w:rPr>
          <w:b/>
          <w:i w:val="0"/>
        </w:rPr>
        <w:t xml:space="preserve">Behaviour: </w:t>
      </w:r>
      <w:r>
        <w:rPr>
          <w:b w:val="0"/>
          <w:i w:val="0"/>
        </w:rPr>
        <w:t>Publication preview shows the exact artifact version, audience, disclosure checks and expiry. An authorised publisher with current assurance confirms after report approval and required privacy review. Publication creates a disclosure record and stable versioned reference.</w:t>
      </w:r>
    </w:p>
    <w:p>
      <w:pPr>
        <w:spacing w:after="60"/>
      </w:pPr>
      <w:r>
        <w:rPr>
          <w:b/>
          <w:i w:val="0"/>
        </w:rPr>
        <w:t xml:space="preserve">Validation and recovery: </w:t>
      </w:r>
      <w:r>
        <w:rPr>
          <w:b w:val="0"/>
          <w:i w:val="0"/>
        </w:rPr>
        <w:t>Draft routes, predictable filenames and search indexing cannot expose unpublished content. A broader audience requires a new disclosure decision, not a simple link toggle.</w:t>
      </w:r>
    </w:p>
    <w:p>
      <w:pPr>
        <w:spacing w:after="60"/>
      </w:pPr>
      <w:r>
        <w:rPr>
          <w:b/>
          <w:i w:val="0"/>
        </w:rPr>
        <w:t xml:space="preserve">Acceptance FT-RPT-007: </w:t>
      </w:r>
      <w:r>
        <w:rPr>
          <w:b w:val="0"/>
          <w:i w:val="0"/>
        </w:rPr>
        <w:t>Guess the URL of a draft report, then publish its approved version to a funder; only the eligible funder can access the published artifact.</w:t>
      </w:r>
    </w:p>
    <w:p>
      <w:bookmarkStart w:id="200" w:name="req_FR_RPT_008"/>
      <w:pPr>
        <w:keepNext/>
        <w:spacing w:before="180" w:after="40"/>
      </w:pPr>
      <w:r>
        <w:rPr>
          <w:b/>
          <w:i w:val="0"/>
        </w:rPr>
        <w:t>FR-RPT-008   Distribution and scheduled delivery</w:t>
      </w:r>
      <w:bookmarkEnd w:id="200"/>
    </w:p>
    <w:p>
      <w:pPr>
        <w:keepNext/>
        <w:spacing w:after="60"/>
      </w:pPr>
      <w:r>
        <w:rPr>
          <w:b w:val="0"/>
          <w:i w:val="0"/>
          <w:sz w:val="19"/>
        </w:rPr>
        <w:t>Parent BR-RPT-008   |   P0   |   R1</w:t>
      </w:r>
    </w:p>
    <w:p>
      <w:pPr>
        <w:spacing w:after="60"/>
      </w:pPr>
      <w:r>
        <w:rPr>
          <w:b/>
          <w:i w:val="0"/>
        </w:rPr>
        <w:t xml:space="preserve">Behaviour: </w:t>
      </w:r>
      <w:r>
        <w:rPr>
          <w:b w:val="0"/>
          <w:i w:val="0"/>
        </w:rPr>
        <w:t>A delivery schedule specifies artifact version or explicit latest-approved policy, recipients, cadence and owner. At send time recheck recipient membership, purpose, artifact approval and disclosure. Sensitive deliveries send authenticated access notices rather than unprotected attachments.</w:t>
      </w:r>
    </w:p>
    <w:p>
      <w:pPr>
        <w:spacing w:after="60"/>
      </w:pPr>
      <w:r>
        <w:rPr>
          <w:b/>
          <w:i w:val="0"/>
        </w:rPr>
        <w:t xml:space="preserve">Validation and recovery: </w:t>
      </w:r>
      <w:r>
        <w:rPr>
          <w:b w:val="0"/>
          <w:i w:val="0"/>
        </w:rPr>
        <w:t>An unresolved provider timeout is tracked as unknown until reconciled; retries use delivery identity. Revoked recipients are skipped with a permitted reason, never silently retained from a cached list.</w:t>
      </w:r>
    </w:p>
    <w:p>
      <w:pPr>
        <w:spacing w:after="60"/>
      </w:pPr>
      <w:r>
        <w:rPr>
          <w:b/>
          <w:i w:val="0"/>
        </w:rPr>
        <w:t xml:space="preserve">Acceptance FT-RPT-008: </w:t>
      </w:r>
      <w:r>
        <w:rPr>
          <w:b w:val="0"/>
          <w:i w:val="0"/>
        </w:rPr>
        <w:t>Remove one of three recipients after scheduling; two eligible notices send and the removed recipient receives no protected artifact.</w:t>
      </w:r>
    </w:p>
    <w:p>
      <w:bookmarkStart w:id="201" w:name="req_FR_RPT_009"/>
      <w:pPr>
        <w:keepNext/>
        <w:spacing w:before="180" w:after="40"/>
      </w:pPr>
      <w:r>
        <w:rPr>
          <w:b/>
          <w:i w:val="0"/>
        </w:rPr>
        <w:t>FR-RPT-009   Amend withdraw and supersede</w:t>
      </w:r>
      <w:bookmarkEnd w:id="201"/>
    </w:p>
    <w:p>
      <w:pPr>
        <w:keepNext/>
        <w:spacing w:after="60"/>
      </w:pPr>
      <w:r>
        <w:rPr>
          <w:b w:val="0"/>
          <w:i w:val="0"/>
          <w:sz w:val="19"/>
        </w:rPr>
        <w:t>Parent BR-RPT-009   |   P0   |   R1</w:t>
      </w:r>
    </w:p>
    <w:p>
      <w:pPr>
        <w:spacing w:after="60"/>
      </w:pPr>
      <w:r>
        <w:rPr>
          <w:b/>
          <w:i w:val="0"/>
        </w:rPr>
        <w:t xml:space="preserve">Behaviour: </w:t>
      </w:r>
      <w:r>
        <w:rPr>
          <w:b w:val="0"/>
          <w:i w:val="0"/>
        </w:rPr>
        <w:t>Withdrawal requires reason, authority and impact review. The live publication becomes unavailable or displays an approved withdrawal notice without protected content. Supersession links to a separately approved replacement and records affected recipients.</w:t>
      </w:r>
    </w:p>
    <w:p>
      <w:pPr>
        <w:spacing w:after="60"/>
      </w:pPr>
      <w:r>
        <w:rPr>
          <w:b/>
          <w:i w:val="0"/>
        </w:rPr>
        <w:t xml:space="preserve">Validation and recovery: </w:t>
      </w:r>
      <w:r>
        <w:rPr>
          <w:b w:val="0"/>
          <w:i w:val="0"/>
        </w:rPr>
        <w:t>Downloaded copies remain external disclosures. Notices refer to the obsolete version and corrective action; the system never claims recall of already downloaded bytes.</w:t>
      </w:r>
    </w:p>
    <w:p>
      <w:pPr>
        <w:spacing w:after="60"/>
      </w:pPr>
      <w:r>
        <w:rPr>
          <w:b/>
          <w:i w:val="0"/>
        </w:rPr>
        <w:t xml:space="preserve">Acceptance FT-RPT-009: </w:t>
      </w:r>
      <w:r>
        <w:rPr>
          <w:b w:val="0"/>
          <w:i w:val="0"/>
        </w:rPr>
        <w:t>Supersede report v1 with v2 and verify old links expose only permitted supersession status while the distribution log identifies v1 recipients.</w:t>
      </w:r>
    </w:p>
    <w:p>
      <w:bookmarkStart w:id="202" w:name="req_FR_RPT_010"/>
      <w:pPr>
        <w:keepNext/>
        <w:spacing w:before="180" w:after="40"/>
      </w:pPr>
      <w:r>
        <w:rPr>
          <w:b/>
          <w:i w:val="0"/>
        </w:rPr>
        <w:t>FR-RPT-010   Reporting reconciliation</w:t>
      </w:r>
      <w:bookmarkEnd w:id="202"/>
    </w:p>
    <w:p>
      <w:pPr>
        <w:keepNext/>
        <w:spacing w:after="60"/>
      </w:pPr>
      <w:r>
        <w:rPr>
          <w:b w:val="0"/>
          <w:i w:val="0"/>
          <w:sz w:val="19"/>
        </w:rPr>
        <w:t>Parent BR-RPT-010   |   P0   |   R1</w:t>
      </w:r>
    </w:p>
    <w:p>
      <w:pPr>
        <w:spacing w:after="60"/>
      </w:pPr>
      <w:r>
        <w:rPr>
          <w:b/>
          <w:i w:val="0"/>
        </w:rPr>
        <w:t xml:space="preserve">Behaviour: </w:t>
      </w:r>
      <w:r>
        <w:rPr>
          <w:b w:val="0"/>
          <w:i w:val="0"/>
        </w:rPr>
        <w:t>Preapproval reconciliation compares all metric bindings, tables, chart labels and factual narrative numbers against the snapshot. Version comparison separates source, definition, target, calculation, period and narrative changes.</w:t>
      </w:r>
    </w:p>
    <w:p>
      <w:pPr>
        <w:spacing w:after="60"/>
      </w:pPr>
      <w:r>
        <w:rPr>
          <w:b/>
          <w:i w:val="0"/>
        </w:rPr>
        <w:t xml:space="preserve">Validation and recovery: </w:t>
      </w:r>
      <w:r>
        <w:rPr>
          <w:b w:val="0"/>
          <w:i w:val="0"/>
        </w:rPr>
        <w:t>No unexplained official numeric difference may pass review. A manually written number requires an explicit source binding or a reviewed non-result classification such as a date or section number.</w:t>
      </w:r>
    </w:p>
    <w:p>
      <w:pPr>
        <w:spacing w:after="60"/>
      </w:pPr>
      <w:r>
        <w:rPr>
          <w:b/>
          <w:i w:val="0"/>
        </w:rPr>
        <w:t xml:space="preserve">Acceptance FT-RPT-010: </w:t>
      </w:r>
      <w:r>
        <w:rPr>
          <w:b w:val="0"/>
          <w:i w:val="0"/>
        </w:rPr>
        <w:t>Change one approved metric and identify every affected narrative and chart location before approving the new report candidate.</w:t>
      </w:r>
    </w:p>
    <w:p>
      <w:bookmarkStart w:id="203" w:name="req_FR_RPT_011"/>
      <w:pPr>
        <w:keepNext/>
        <w:spacing w:before="180" w:after="40"/>
      </w:pPr>
      <w:r>
        <w:rPr>
          <w:b/>
          <w:i w:val="0"/>
        </w:rPr>
        <w:t>FR-RPT-011   Transparency publication</w:t>
      </w:r>
      <w:bookmarkEnd w:id="203"/>
    </w:p>
    <w:p>
      <w:pPr>
        <w:keepNext/>
        <w:spacing w:after="60"/>
      </w:pPr>
      <w:r>
        <w:rPr>
          <w:b w:val="0"/>
          <w:i w:val="0"/>
          <w:sz w:val="19"/>
        </w:rPr>
        <w:t>Parent BR-RPT-011   |   P1   |   R2</w:t>
      </w:r>
    </w:p>
    <w:p>
      <w:pPr>
        <w:spacing w:after="60"/>
      </w:pPr>
      <w:r>
        <w:rPr>
          <w:b/>
          <w:i w:val="0"/>
        </w:rPr>
        <w:t xml:space="preserve">Behaviour: </w:t>
      </w:r>
      <w:r>
        <w:rPr>
          <w:b w:val="0"/>
          <w:i w:val="0"/>
        </w:rPr>
        <w:t>The publication workspace selects a specifically qualified IATI standard profile, organisation identity and mapping. Validation lists mandatory fields, code list errors and disclosure issues. Approved export or direct publication records the payload version and external acknowledgement.</w:t>
      </w:r>
    </w:p>
    <w:p>
      <w:pPr>
        <w:spacing w:after="60"/>
      </w:pPr>
      <w:r>
        <w:rPr>
          <w:b/>
          <w:i w:val="0"/>
        </w:rPr>
        <w:t xml:space="preserve">Validation and recovery: </w:t>
      </w:r>
      <w:r>
        <w:rPr>
          <w:b w:val="0"/>
          <w:i w:val="0"/>
        </w:rPr>
        <w:t>Do not claim support for an unspecified schema version. External rejection leaves delivery failed or correction required; removal follows the qualified route and may not erase third party copies.</w:t>
      </w:r>
    </w:p>
    <w:p>
      <w:pPr>
        <w:spacing w:after="60"/>
      </w:pPr>
      <w:r>
        <w:rPr>
          <w:b/>
          <w:i w:val="0"/>
        </w:rPr>
        <w:t xml:space="preserve">Acceptance FT-RPT-011: </w:t>
      </w:r>
      <w:r>
        <w:rPr>
          <w:b w:val="0"/>
          <w:i w:val="0"/>
        </w:rPr>
        <w:t>Validate a representative payload, fix an invalid code, approve the exact version and reconcile its external acknowledgement to the internal publication record.</w:t>
      </w:r>
    </w:p>
    <w:p>
      <w:bookmarkStart w:id="204" w:name="req_FR_RPT_012"/>
      <w:pPr>
        <w:keepNext/>
        <w:spacing w:before="180" w:after="40"/>
      </w:pPr>
      <w:r>
        <w:rPr>
          <w:b/>
          <w:i w:val="0"/>
        </w:rPr>
        <w:t>FR-RPT-012   Report evidence package</w:t>
      </w:r>
      <w:bookmarkEnd w:id="204"/>
    </w:p>
    <w:p>
      <w:pPr>
        <w:keepNext/>
        <w:spacing w:after="60"/>
      </w:pPr>
      <w:r>
        <w:rPr>
          <w:b w:val="0"/>
          <w:i w:val="0"/>
          <w:sz w:val="19"/>
        </w:rPr>
        <w:t>Parent BR-RPT-012   |   P1   |   R1</w:t>
      </w:r>
    </w:p>
    <w:p>
      <w:pPr>
        <w:spacing w:after="60"/>
      </w:pPr>
      <w:r>
        <w:rPr>
          <w:b/>
          <w:i w:val="0"/>
        </w:rPr>
        <w:t xml:space="preserve">Behaviour: </w:t>
      </w:r>
      <w:r>
        <w:rPr>
          <w:b w:val="0"/>
          <w:i w:val="0"/>
        </w:rPr>
        <w:t>An audit package contains the permitted report, snapshot manifest, dictionary, result lineage, source references, decisions and caveats. File integrity and a content inventory allow the recipient to verify completeness. Missing or withheld materials are listed without disclosing their content.</w:t>
      </w:r>
    </w:p>
    <w:p>
      <w:pPr>
        <w:spacing w:after="60"/>
      </w:pPr>
      <w:r>
        <w:rPr>
          <w:b/>
          <w:i w:val="0"/>
        </w:rPr>
        <w:t xml:space="preserve">Validation and recovery: </w:t>
      </w:r>
      <w:r>
        <w:rPr>
          <w:b w:val="0"/>
          <w:i w:val="0"/>
        </w:rPr>
        <w:t>Package scope can be narrower than full tenant access. Export authority is checked at generation and download; evidence restrictions remain enforced.</w:t>
      </w:r>
    </w:p>
    <w:p>
      <w:pPr>
        <w:spacing w:after="60"/>
      </w:pPr>
      <w:r>
        <w:rPr>
          <w:b/>
          <w:i w:val="0"/>
        </w:rPr>
        <w:t xml:space="preserve">Acceptance FT-RPT-012: </w:t>
      </w:r>
      <w:r>
        <w:rPr>
          <w:b w:val="0"/>
          <w:i w:val="0"/>
        </w:rPr>
        <w:t>Reconstruct a published pooled ratio from the package and identify one lawfully withheld attachment without receiving its private data.</w:t>
      </w:r>
    </w:p>
    <w:p>
      <w:bookmarkStart w:id="205" w:name="sec_24"/>
      <w:pPr>
        <w:pStyle w:val="Heading1"/>
      </w:pPr>
      <w:r>
        <w:rPr>
          <w:b w:val="0"/>
          <w:i w:val="0"/>
        </w:rPr>
        <w:t>24 Funding budgets and analytical finance</w:t>
      </w:r>
      <w:bookmarkEnd w:id="205"/>
    </w:p>
    <w:p>
      <w:pPr>
        <w:spacing w:after="140"/>
      </w:pPr>
      <w:r>
        <w:rPr>
          <w:b w:val="0"/>
          <w:i/>
          <w:sz w:val="21"/>
        </w:rPr>
        <w:t>Primary actors: Programme finance owner and independent finance reviewer. Interfaces: UI07 UI30. Logical entities: D05 D09 D21 D30.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06" w:name="req_FR_FIN_001"/>
      <w:pPr>
        <w:keepNext/>
        <w:spacing w:before="180" w:after="40"/>
      </w:pPr>
      <w:r>
        <w:rPr>
          <w:b/>
          <w:i w:val="0"/>
        </w:rPr>
        <w:t>FR-FIN-001   Funding and grant context</w:t>
      </w:r>
      <w:bookmarkEnd w:id="206"/>
    </w:p>
    <w:p>
      <w:pPr>
        <w:keepNext/>
        <w:spacing w:after="60"/>
      </w:pPr>
      <w:r>
        <w:rPr>
          <w:b w:val="0"/>
          <w:i w:val="0"/>
          <w:sz w:val="19"/>
        </w:rPr>
        <w:t>Parent BR-FIN-001   |   P1   |   R1</w:t>
      </w:r>
    </w:p>
    <w:p>
      <w:pPr>
        <w:spacing w:after="60"/>
      </w:pPr>
      <w:r>
        <w:rPr>
          <w:b/>
          <w:i w:val="0"/>
        </w:rPr>
        <w:t xml:space="preserve">Behaviour: </w:t>
      </w:r>
      <w:r>
        <w:rPr>
          <w:b w:val="0"/>
          <w:i w:val="0"/>
        </w:rPr>
        <w:t>Funding records capture agreement identity, funder, programme links, amount, currency, dates, amendments and reporting obligations. Confidential clauses and attachments use separate field permissions. Subgrant relationships preserve their own agreement version.</w:t>
      </w:r>
    </w:p>
    <w:p>
      <w:pPr>
        <w:spacing w:after="60"/>
      </w:pPr>
      <w:r>
        <w:rPr>
          <w:b/>
          <w:i w:val="0"/>
        </w:rPr>
        <w:t xml:space="preserve">Validation and recovery: </w:t>
      </w:r>
      <w:r>
        <w:rPr>
          <w:b w:val="0"/>
          <w:i w:val="0"/>
        </w:rPr>
        <w:t>A funder relation does not create a user grant or ownership share in outcomes. Amount changes require amendment history.</w:t>
      </w:r>
    </w:p>
    <w:p>
      <w:pPr>
        <w:spacing w:after="60"/>
      </w:pPr>
      <w:r>
        <w:rPr>
          <w:b/>
          <w:i w:val="0"/>
        </w:rPr>
        <w:t xml:space="preserve">Acceptance FT-FIN-001: </w:t>
      </w:r>
      <w:r>
        <w:rPr>
          <w:b w:val="0"/>
          <w:i w:val="0"/>
        </w:rPr>
        <w:t>Link two donors to one project; each external user sees only their approved report view and no automatic access to the other's agreement.</w:t>
      </w:r>
    </w:p>
    <w:p>
      <w:bookmarkStart w:id="207" w:name="req_FR_FIN_002"/>
      <w:pPr>
        <w:keepNext/>
        <w:spacing w:before="180" w:after="40"/>
      </w:pPr>
      <w:r>
        <w:rPr>
          <w:b/>
          <w:i w:val="0"/>
        </w:rPr>
        <w:t>FR-FIN-002   Budget planning</w:t>
      </w:r>
      <w:bookmarkEnd w:id="207"/>
    </w:p>
    <w:p>
      <w:pPr>
        <w:keepNext/>
        <w:spacing w:after="60"/>
      </w:pPr>
      <w:r>
        <w:rPr>
          <w:b w:val="0"/>
          <w:i w:val="0"/>
          <w:sz w:val="19"/>
        </w:rPr>
        <w:t>Parent BR-FIN-002   |   P1   |   R2</w:t>
      </w:r>
    </w:p>
    <w:p>
      <w:pPr>
        <w:spacing w:after="60"/>
      </w:pPr>
      <w:r>
        <w:rPr>
          <w:b/>
          <w:i w:val="0"/>
        </w:rPr>
        <w:t xml:space="preserve">Behaviour: </w:t>
      </w:r>
      <w:r>
        <w:rPr>
          <w:b w:val="0"/>
          <w:i w:val="0"/>
        </w:rPr>
        <w:t>A budget version contains lines by activity, category, partner and period with currency and approval route. Draft revisions compare against the original and current baseline. Approval pins the budget and its rate assumptions.</w:t>
      </w:r>
    </w:p>
    <w:p>
      <w:pPr>
        <w:spacing w:after="60"/>
      </w:pPr>
      <w:r>
        <w:rPr>
          <w:b/>
          <w:i w:val="0"/>
        </w:rPr>
        <w:t xml:space="preserve">Validation and recovery: </w:t>
      </w:r>
      <w:r>
        <w:rPr>
          <w:b w:val="0"/>
          <w:i w:val="0"/>
        </w:rPr>
        <w:t>Actual expenditure remains an independent source dataset. Changing a budget cannot alter transaction amounts or historically reported variance.</w:t>
      </w:r>
    </w:p>
    <w:p>
      <w:pPr>
        <w:spacing w:after="60"/>
      </w:pPr>
      <w:r>
        <w:rPr>
          <w:b/>
          <w:i w:val="0"/>
        </w:rPr>
        <w:t xml:space="preserve">Acceptance FT-FIN-002: </w:t>
      </w:r>
      <w:r>
        <w:rPr>
          <w:b w:val="0"/>
          <w:i w:val="0"/>
        </w:rPr>
        <w:t>Raise an approved budget from 100 to 120; the original comparison remains available and imported actual spending stays unchanged.</w:t>
      </w:r>
    </w:p>
    <w:p>
      <w:bookmarkStart w:id="208" w:name="req_FR_FIN_003"/>
      <w:pPr>
        <w:keepNext/>
        <w:spacing w:before="180" w:after="40"/>
      </w:pPr>
      <w:r>
        <w:rPr>
          <w:b/>
          <w:i w:val="0"/>
        </w:rPr>
        <w:t>FR-FIN-003   Expenditure ingestion</w:t>
      </w:r>
      <w:bookmarkEnd w:id="208"/>
    </w:p>
    <w:p>
      <w:pPr>
        <w:keepNext/>
        <w:spacing w:after="60"/>
      </w:pPr>
      <w:r>
        <w:rPr>
          <w:b w:val="0"/>
          <w:i w:val="0"/>
          <w:sz w:val="19"/>
        </w:rPr>
        <w:t>Parent BR-FIN-003   |   P1   |   R2</w:t>
      </w:r>
    </w:p>
    <w:p>
      <w:pPr>
        <w:spacing w:after="60"/>
      </w:pPr>
      <w:r>
        <w:rPr>
          <w:b/>
          <w:i w:val="0"/>
        </w:rPr>
        <w:t xml:space="preserve">Behaviour: </w:t>
      </w:r>
      <w:r>
        <w:rPr>
          <w:b w:val="0"/>
          <w:i w:val="0"/>
        </w:rPr>
        <w:t>Expenditure ingestion uses a stable source transaction key, posting and event dates, amount, currency, category and funding allocation. Mapping validates control totals and adjustment semantics. Repeated files reconcile unchanged records and explicit correction revisions.</w:t>
      </w:r>
    </w:p>
    <w:p>
      <w:pPr>
        <w:spacing w:after="60"/>
      </w:pPr>
      <w:r>
        <w:rPr>
          <w:b/>
          <w:i w:val="0"/>
        </w:rPr>
        <w:t xml:space="preserve">Validation and recovery: </w:t>
      </w:r>
      <w:r>
        <w:rPr>
          <w:b w:val="0"/>
          <w:i w:val="0"/>
        </w:rPr>
        <w:t>Reversal and replacement are separate transaction semantics. A repeated upload cannot count the same expense again; unbalanced source totals block approval or require an explicit permitted exception.</w:t>
      </w:r>
    </w:p>
    <w:p>
      <w:pPr>
        <w:spacing w:after="60"/>
      </w:pPr>
      <w:r>
        <w:rPr>
          <w:b/>
          <w:i w:val="0"/>
        </w:rPr>
        <w:t xml:space="preserve">Acceptance FT-FIN-003: </w:t>
      </w:r>
      <w:r>
        <w:rPr>
          <w:b w:val="0"/>
          <w:i w:val="0"/>
        </w:rPr>
        <w:t>Import an amended transaction file twice and verify only the intended corrected expenditure balance contributes to analysis.</w:t>
      </w:r>
    </w:p>
    <w:p>
      <w:bookmarkStart w:id="209" w:name="req_FR_FIN_004"/>
      <w:pPr>
        <w:keepNext/>
        <w:spacing w:before="180" w:after="40"/>
      </w:pPr>
      <w:r>
        <w:rPr>
          <w:b/>
          <w:i w:val="0"/>
        </w:rPr>
        <w:t>FR-FIN-004   Currency treatment</w:t>
      </w:r>
      <w:bookmarkEnd w:id="209"/>
    </w:p>
    <w:p>
      <w:pPr>
        <w:keepNext/>
        <w:spacing w:after="60"/>
      </w:pPr>
      <w:r>
        <w:rPr>
          <w:b w:val="0"/>
          <w:i w:val="0"/>
          <w:sz w:val="19"/>
        </w:rPr>
        <w:t>Parent BR-FIN-004   |   P0   |   R1</w:t>
      </w:r>
    </w:p>
    <w:p>
      <w:pPr>
        <w:spacing w:after="60"/>
      </w:pPr>
      <w:r>
        <w:rPr>
          <w:b/>
          <w:i w:val="0"/>
        </w:rPr>
        <w:t xml:space="preserve">Behaviour: </w:t>
      </w:r>
      <w:r>
        <w:rPr>
          <w:b w:val="0"/>
          <w:i w:val="0"/>
        </w:rPr>
        <w:t>Currency conversion requires source and reporting currency, rate, source, effective date and rate direction. A report snapshot pins these values. Original transactions remain in original currency; a new rate creates a new analytical view or restatement.</w:t>
      </w:r>
    </w:p>
    <w:p>
      <w:pPr>
        <w:spacing w:after="60"/>
      </w:pPr>
      <w:r>
        <w:rPr>
          <w:b/>
          <w:i w:val="0"/>
        </w:rPr>
        <w:t xml:space="preserve">Validation and recovery: </w:t>
      </w:r>
      <w:r>
        <w:rPr>
          <w:b w:val="0"/>
          <w:i w:val="0"/>
        </w:rPr>
        <w:t>No silent current-rate conversion of historical publications. Missing rates produce unavailable converted values rather than zero or assumed parity.</w:t>
      </w:r>
    </w:p>
    <w:p>
      <w:pPr>
        <w:spacing w:after="60"/>
      </w:pPr>
      <w:r>
        <w:rPr>
          <w:b/>
          <w:i w:val="0"/>
        </w:rPr>
        <w:t xml:space="preserve">Acceptance FT-FIN-004: </w:t>
      </w:r>
      <w:r>
        <w:rPr>
          <w:b w:val="0"/>
          <w:i w:val="0"/>
        </w:rPr>
        <w:t>Convert USD 100 at 83 INR per USD to INR 8300; a later rate of 84 creates a new view while the published historical value remains 8300.</w:t>
      </w:r>
    </w:p>
    <w:p>
      <w:bookmarkStart w:id="210" w:name="req_FR_FIN_005"/>
      <w:pPr>
        <w:keepNext/>
        <w:spacing w:before="180" w:after="40"/>
      </w:pPr>
      <w:r>
        <w:rPr>
          <w:b/>
          <w:i w:val="0"/>
        </w:rPr>
        <w:t>FR-FIN-005   Variance and forecast</w:t>
      </w:r>
      <w:bookmarkEnd w:id="210"/>
    </w:p>
    <w:p>
      <w:pPr>
        <w:keepNext/>
        <w:spacing w:after="60"/>
      </w:pPr>
      <w:r>
        <w:rPr>
          <w:b w:val="0"/>
          <w:i w:val="0"/>
          <w:sz w:val="19"/>
        </w:rPr>
        <w:t>Parent BR-FIN-005   |   P1   |   R2</w:t>
      </w:r>
    </w:p>
    <w:p>
      <w:pPr>
        <w:spacing w:after="60"/>
      </w:pPr>
      <w:r>
        <w:rPr>
          <w:b/>
          <w:i w:val="0"/>
        </w:rPr>
        <w:t xml:space="preserve">Behaviour: </w:t>
      </w:r>
      <w:r>
        <w:rPr>
          <w:b w:val="0"/>
          <w:i w:val="0"/>
        </w:rPr>
        <w:t>Variance views select budget version, actual cutoff, commitments and forecast method. Display budget minus expenditure as remaining budget, with sign convention labelled. Forecasts contain assumptions and author or method version separately from actuals.</w:t>
      </w:r>
    </w:p>
    <w:p>
      <w:pPr>
        <w:spacing w:after="60"/>
      </w:pPr>
      <w:r>
        <w:rPr>
          <w:b/>
          <w:i w:val="0"/>
        </w:rPr>
        <w:t xml:space="preserve">Validation and recovery: </w:t>
      </w:r>
      <w:r>
        <w:rPr>
          <w:b w:val="0"/>
          <w:i w:val="0"/>
        </w:rPr>
        <w:t>Missing spending data is not treated as underspend. A forecast cannot enter the actual expenditure series or imply programme impact success.</w:t>
      </w:r>
    </w:p>
    <w:p>
      <w:pPr>
        <w:spacing w:after="60"/>
      </w:pPr>
      <w:r>
        <w:rPr>
          <w:b/>
          <w:i w:val="0"/>
        </w:rPr>
        <w:t xml:space="preserve">Acceptance FT-FIN-005: </w:t>
      </w:r>
      <w:r>
        <w:rPr>
          <w:b w:val="0"/>
          <w:i w:val="0"/>
        </w:rPr>
        <w:t>Budget 100, recorded spending 60 and forecast total 110 show 40 currently unspent and a forecast overrun of ten, as separate facts.</w:t>
      </w:r>
    </w:p>
    <w:p>
      <w:bookmarkStart w:id="211" w:name="req_FR_FIN_006"/>
      <w:pPr>
        <w:keepNext/>
        <w:spacing w:before="180" w:after="40"/>
      </w:pPr>
      <w:r>
        <w:rPr>
          <w:b/>
          <w:i w:val="0"/>
        </w:rPr>
        <w:t>FR-FIN-006   Shared costs and allocations</w:t>
      </w:r>
      <w:bookmarkEnd w:id="211"/>
    </w:p>
    <w:p>
      <w:pPr>
        <w:keepNext/>
        <w:spacing w:after="60"/>
      </w:pPr>
      <w:r>
        <w:rPr>
          <w:b w:val="0"/>
          <w:i w:val="0"/>
          <w:sz w:val="19"/>
        </w:rPr>
        <w:t>Parent BR-FIN-006   |   P1   |   R2</w:t>
      </w:r>
    </w:p>
    <w:p>
      <w:pPr>
        <w:spacing w:after="60"/>
      </w:pPr>
      <w:r>
        <w:rPr>
          <w:b/>
          <w:i w:val="0"/>
        </w:rPr>
        <w:t xml:space="preserve">Behaviour: </w:t>
      </w:r>
      <w:r>
        <w:rPr>
          <w:b w:val="0"/>
          <w:i w:val="0"/>
        </w:rPr>
        <w:t>Allocation rules specify source cost, recipient projects or donors, basis, weights and effective version. Preview reconciles allocated amounts and rounding remainder. Approval fixes the rule for the relevant snapshot.</w:t>
      </w:r>
    </w:p>
    <w:p>
      <w:pPr>
        <w:spacing w:after="60"/>
      </w:pPr>
      <w:r>
        <w:rPr>
          <w:b/>
          <w:i w:val="0"/>
        </w:rPr>
        <w:t xml:space="preserve">Validation and recovery: </w:t>
      </w:r>
      <w:r>
        <w:rPr>
          <w:b w:val="0"/>
          <w:i w:val="0"/>
        </w:rPr>
        <w:t>Weights must reconcile to the declared total. A residual rounding unit is assigned by a deterministic stated rule; no analytical double charging across overlapping views.</w:t>
      </w:r>
    </w:p>
    <w:p>
      <w:pPr>
        <w:spacing w:after="60"/>
      </w:pPr>
      <w:r>
        <w:rPr>
          <w:b/>
          <w:i w:val="0"/>
        </w:rPr>
        <w:t xml:space="preserve">Acceptance FT-FIN-006: </w:t>
      </w:r>
      <w:r>
        <w:rPr>
          <w:b w:val="0"/>
          <w:i w:val="0"/>
        </w:rPr>
        <w:t>Allocate 100 at 60 and 40 percent; the two outputs sum to 100 and a repeated import creates no additional allocation.</w:t>
      </w:r>
    </w:p>
    <w:p>
      <w:bookmarkStart w:id="212" w:name="req_FR_FIN_007"/>
      <w:pPr>
        <w:keepNext/>
        <w:spacing w:before="180" w:after="40"/>
      </w:pPr>
      <w:r>
        <w:rPr>
          <w:b/>
          <w:i w:val="0"/>
        </w:rPr>
        <w:t>FR-FIN-007   Cost effectiveness</w:t>
      </w:r>
      <w:bookmarkEnd w:id="212"/>
    </w:p>
    <w:p>
      <w:pPr>
        <w:keepNext/>
        <w:spacing w:after="60"/>
      </w:pPr>
      <w:r>
        <w:rPr>
          <w:b w:val="0"/>
          <w:i w:val="0"/>
          <w:sz w:val="19"/>
        </w:rPr>
        <w:t>Parent BR-FIN-007   |   P2   |   R3</w:t>
      </w:r>
    </w:p>
    <w:p>
      <w:pPr>
        <w:spacing w:after="60"/>
      </w:pPr>
      <w:r>
        <w:rPr>
          <w:b/>
          <w:i w:val="0"/>
        </w:rPr>
        <w:t xml:space="preserve">Behaviour: </w:t>
      </w:r>
      <w:r>
        <w:rPr>
          <w:b w:val="0"/>
          <w:i w:val="0"/>
        </w:rPr>
        <w:t>Cost effectiveness chooses cost scope, reporting currency and rate basis, eligible outcome denominator, matched period and exclusions. Calculation returns the deterministic ratio with limitations and source lineage.</w:t>
      </w:r>
    </w:p>
    <w:p>
      <w:pPr>
        <w:spacing w:after="60"/>
      </w:pPr>
      <w:r>
        <w:rPr>
          <w:b/>
          <w:i w:val="0"/>
        </w:rPr>
        <w:t xml:space="preserve">Validation and recovery: </w:t>
      </w:r>
      <w:r>
        <w:rPr>
          <w:b w:val="0"/>
          <w:i w:val="0"/>
        </w:rPr>
        <w:t>Zero or incompatible denominator gives undefined. Unique participants require authorised deduplication; the ratio is not automatically labelled causal return on investment.</w:t>
      </w:r>
    </w:p>
    <w:p>
      <w:pPr>
        <w:spacing w:after="60"/>
      </w:pPr>
      <w:r>
        <w:rPr>
          <w:b/>
          <w:i w:val="0"/>
        </w:rPr>
        <w:t xml:space="preserve">Acceptance FT-FIN-007: </w:t>
      </w:r>
      <w:r>
        <w:rPr>
          <w:b w:val="0"/>
          <w:i w:val="0"/>
        </w:rPr>
        <w:t>Approved cost 900 over 180 unique participants produces cost per participant five, with shared-cost exclusions explicitly listed.</w:t>
      </w:r>
    </w:p>
    <w:p>
      <w:bookmarkStart w:id="213" w:name="req_FR_FIN_008"/>
      <w:pPr>
        <w:keepNext/>
        <w:spacing w:before="180" w:after="40"/>
      </w:pPr>
      <w:r>
        <w:rPr>
          <w:b/>
          <w:i w:val="0"/>
        </w:rPr>
        <w:t>FR-FIN-008   Finance permissions and audit</w:t>
      </w:r>
      <w:bookmarkEnd w:id="213"/>
    </w:p>
    <w:p>
      <w:pPr>
        <w:keepNext/>
        <w:spacing w:after="60"/>
      </w:pPr>
      <w:r>
        <w:rPr>
          <w:b w:val="0"/>
          <w:i w:val="0"/>
          <w:sz w:val="19"/>
        </w:rPr>
        <w:t>Parent BR-FIN-008   |   P0   |   R1</w:t>
      </w:r>
    </w:p>
    <w:p>
      <w:pPr>
        <w:spacing w:after="60"/>
      </w:pPr>
      <w:r>
        <w:rPr>
          <w:b/>
          <w:i w:val="0"/>
        </w:rPr>
        <w:t xml:space="preserve">Behaviour: </w:t>
      </w:r>
      <w:r>
        <w:rPr>
          <w:b w:val="0"/>
          <w:i w:val="0"/>
        </w:rPr>
        <w:t>Financial capability checks apply to lines, attachments, approval and export separately. A programme dashboard may display an approved summary disclosure while transaction details remain restricted. Audit records identify financial reads and mutations without logging secret values.</w:t>
      </w:r>
    </w:p>
    <w:p>
      <w:pPr>
        <w:spacing w:after="60"/>
      </w:pPr>
      <w:r>
        <w:rPr>
          <w:b/>
          <w:i w:val="0"/>
        </w:rPr>
        <w:t xml:space="preserve">Validation and recovery: </w:t>
      </w:r>
      <w:r>
        <w:rPr>
          <w:b w:val="0"/>
          <w:i w:val="0"/>
        </w:rPr>
        <w:t>Connection administration does not grant access to every ledger field. A finance approver cannot approve a budget revision they authored.</w:t>
      </w:r>
    </w:p>
    <w:p>
      <w:pPr>
        <w:spacing w:after="60"/>
      </w:pPr>
      <w:r>
        <w:rPr>
          <w:b/>
          <w:i w:val="0"/>
        </w:rPr>
        <w:t xml:space="preserve">Acceptance FT-FIN-008: </w:t>
      </w:r>
      <w:r>
        <w:rPr>
          <w:b w:val="0"/>
          <w:i w:val="0"/>
        </w:rPr>
        <w:t>A programme viewer opens a published budget total but cannot retrieve transaction rows or confidential clauses through drill down, API or export.</w:t>
      </w:r>
    </w:p>
    <w:p>
      <w:bookmarkStart w:id="214" w:name="sec_25"/>
      <w:pPr>
        <w:pStyle w:val="Heading1"/>
      </w:pPr>
      <w:r>
        <w:rPr>
          <w:b w:val="0"/>
          <w:i w:val="0"/>
        </w:rPr>
        <w:t>25 Integrations business APIs and interoperability</w:t>
      </w:r>
      <w:bookmarkEnd w:id="214"/>
    </w:p>
    <w:p>
      <w:pPr>
        <w:spacing w:after="140"/>
      </w:pPr>
      <w:r>
        <w:rPr>
          <w:b w:val="0"/>
          <w:i/>
          <w:sz w:val="21"/>
        </w:rPr>
        <w:t>Primary actors: Connection owner integration developer and service identity. Interfaces: UI25 UI28. Logical entities: D03 D21 D22 D31.</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15" w:name="req_FR_INT_001"/>
      <w:pPr>
        <w:keepNext/>
        <w:spacing w:before="180" w:after="40"/>
      </w:pPr>
      <w:r>
        <w:rPr>
          <w:b/>
          <w:i w:val="0"/>
        </w:rPr>
        <w:t>FR-INT-001   Connector qualification</w:t>
      </w:r>
      <w:bookmarkEnd w:id="215"/>
    </w:p>
    <w:p>
      <w:pPr>
        <w:keepNext/>
        <w:spacing w:after="60"/>
      </w:pPr>
      <w:r>
        <w:rPr>
          <w:b w:val="0"/>
          <w:i w:val="0"/>
          <w:sz w:val="19"/>
        </w:rPr>
        <w:t>Parent BR-INT-001   |   P0   |   R1</w:t>
      </w:r>
    </w:p>
    <w:p>
      <w:pPr>
        <w:spacing w:after="60"/>
      </w:pPr>
      <w:r>
        <w:rPr>
          <w:b/>
          <w:i w:val="0"/>
        </w:rPr>
        <w:t xml:space="preserve">Behaviour: </w:t>
      </w:r>
      <w:r>
        <w:rPr>
          <w:b w:val="0"/>
          <w:i w:val="0"/>
        </w:rPr>
        <w:t>Each connector has a qualification profile naming supported objects, direction, upstream version, keys, pagination, updates, deletions, attachments, limits and authoritative fields. Activation requires a passing fixture and approved mapping for the selected scope.</w:t>
      </w:r>
    </w:p>
    <w:p>
      <w:pPr>
        <w:spacing w:after="60"/>
      </w:pPr>
      <w:r>
        <w:rPr>
          <w:b/>
          <w:i w:val="0"/>
        </w:rPr>
        <w:t xml:space="preserve">Validation and recovery: </w:t>
      </w:r>
      <w:r>
        <w:rPr>
          <w:b w:val="0"/>
          <w:i w:val="0"/>
        </w:rPr>
        <w:t>Unsupported upstream capabilities are declared in the configuration screen. Source deletions are not propagated as destructive actions without the reviewed deletion contract.</w:t>
      </w:r>
    </w:p>
    <w:p>
      <w:pPr>
        <w:spacing w:after="60"/>
      </w:pPr>
      <w:r>
        <w:rPr>
          <w:b/>
          <w:i w:val="0"/>
        </w:rPr>
        <w:t xml:space="preserve">Acceptance FT-INT-001: </w:t>
      </w:r>
      <w:r>
        <w:rPr>
          <w:b w:val="0"/>
          <w:i w:val="0"/>
        </w:rPr>
        <w:t>Exercise create, update, delete, replay and attachment cases; reconcile source and destination counts and every unsupported field in a qualification manifest.</w:t>
      </w:r>
    </w:p>
    <w:p>
      <w:bookmarkStart w:id="216" w:name="req_FR_INT_002"/>
      <w:pPr>
        <w:keepNext/>
        <w:spacing w:before="180" w:after="40"/>
      </w:pPr>
      <w:r>
        <w:rPr>
          <w:b/>
          <w:i w:val="0"/>
        </w:rPr>
        <w:t>FR-INT-002   Connection lifecycle</w:t>
      </w:r>
      <w:bookmarkEnd w:id="216"/>
    </w:p>
    <w:p>
      <w:pPr>
        <w:keepNext/>
        <w:spacing w:after="60"/>
      </w:pPr>
      <w:r>
        <w:rPr>
          <w:b w:val="0"/>
          <w:i w:val="0"/>
          <w:sz w:val="19"/>
        </w:rPr>
        <w:t>Parent BR-INT-002   |   P0   |   R1</w:t>
      </w:r>
    </w:p>
    <w:p>
      <w:pPr>
        <w:spacing w:after="60"/>
      </w:pPr>
      <w:r>
        <w:rPr>
          <w:b/>
          <w:i w:val="0"/>
        </w:rPr>
        <w:t xml:space="preserve">Behaviour: </w:t>
      </w:r>
      <w:r>
        <w:rPr>
          <w:b w:val="0"/>
          <w:i w:val="0"/>
        </w:rPr>
        <w:t>The connection owner enters credentials through a protected flow and selects bounded scope. Testing uses a minimal sample and displays safe identity and permission results. Activation records expiry, cadence, mapping and responsible backup owner.</w:t>
      </w:r>
    </w:p>
    <w:p>
      <w:pPr>
        <w:spacing w:after="60"/>
      </w:pPr>
      <w:r>
        <w:rPr>
          <w:b/>
          <w:i w:val="0"/>
        </w:rPr>
        <w:t xml:space="preserve">Validation and recovery: </w:t>
      </w:r>
      <w:r>
        <w:rPr>
          <w:b w:val="0"/>
          <w:i w:val="0"/>
        </w:rPr>
        <w:t>Secrets are write only after entry. Revocation stops future jobs and invalidates old credentials; no hidden fallback account is used.</w:t>
      </w:r>
    </w:p>
    <w:p>
      <w:pPr>
        <w:spacing w:after="60"/>
      </w:pPr>
      <w:r>
        <w:rPr>
          <w:b/>
          <w:i w:val="0"/>
        </w:rPr>
        <w:t xml:space="preserve">Acceptance FT-INT-002: </w:t>
      </w:r>
      <w:r>
        <w:rPr>
          <w:b w:val="0"/>
          <w:i w:val="0"/>
        </w:rPr>
        <w:t>Revoke upstream authorisation while a run is queued; the run reports credential unavailable and does not continue under another person's token.</w:t>
      </w:r>
    </w:p>
    <w:p>
      <w:bookmarkStart w:id="217" w:name="req_FR_INT_003"/>
      <w:pPr>
        <w:keepNext/>
        <w:spacing w:before="180" w:after="40"/>
      </w:pPr>
      <w:r>
        <w:rPr>
          <w:b/>
          <w:i w:val="0"/>
        </w:rPr>
        <w:t>FR-INT-003   Reliable job execution</w:t>
      </w:r>
      <w:bookmarkEnd w:id="217"/>
    </w:p>
    <w:p>
      <w:pPr>
        <w:keepNext/>
        <w:spacing w:after="60"/>
      </w:pPr>
      <w:r>
        <w:rPr>
          <w:b w:val="0"/>
          <w:i w:val="0"/>
          <w:sz w:val="19"/>
        </w:rPr>
        <w:t>Parent BR-INT-003   |   P0   |   R1</w:t>
      </w:r>
    </w:p>
    <w:p>
      <w:pPr>
        <w:spacing w:after="60"/>
      </w:pPr>
      <w:r>
        <w:rPr>
          <w:b/>
          <w:i w:val="0"/>
        </w:rPr>
        <w:t xml:space="preserve">Behaviour: </w:t>
      </w:r>
      <w:r>
        <w:rPr>
          <w:b w:val="0"/>
          <w:i w:val="0"/>
        </w:rPr>
        <w:t>A run has source checkpoint, mapping version, item identities and attempts. Transient failures use bounded retries; permanent schema or policy failures pause. Poison items are quarantined while permitted partial processing continues and reconciles outcomes.</w:t>
      </w:r>
    </w:p>
    <w:p>
      <w:pPr>
        <w:spacing w:after="60"/>
      </w:pPr>
      <w:r>
        <w:rPr>
          <w:b/>
          <w:i w:val="0"/>
        </w:rPr>
        <w:t xml:space="preserve">Validation and recovery: </w:t>
      </w:r>
      <w:r>
        <w:rPr>
          <w:b w:val="0"/>
          <w:i w:val="0"/>
        </w:rPr>
        <w:t>Do not advance a committed checkpoint past unapplied required items without a recoverable exception manifest. Default transient retry schedule is one, five, fifteen and sixty minutes, then manual review.</w:t>
      </w:r>
    </w:p>
    <w:p>
      <w:pPr>
        <w:spacing w:after="60"/>
      </w:pPr>
      <w:r>
        <w:rPr>
          <w:b/>
          <w:i w:val="0"/>
        </w:rPr>
        <w:t xml:space="preserve">Acceptance FT-INT-003: </w:t>
      </w:r>
      <w:r>
        <w:rPr>
          <w:b w:val="0"/>
          <w:i w:val="0"/>
        </w:rPr>
        <w:t>Interrupt after 60 of 100 records and resume; the first 60 are recognised and exactly 40 remaining intended effects occur.</w:t>
      </w:r>
    </w:p>
    <w:p>
      <w:bookmarkStart w:id="218" w:name="req_FR_INT_004"/>
      <w:pPr>
        <w:keepNext/>
        <w:spacing w:before="180" w:after="40"/>
      </w:pPr>
      <w:r>
        <w:rPr>
          <w:b/>
          <w:i w:val="0"/>
        </w:rPr>
        <w:t>FR-INT-004   API completeness and consistency</w:t>
      </w:r>
      <w:bookmarkEnd w:id="218"/>
    </w:p>
    <w:p>
      <w:pPr>
        <w:keepNext/>
        <w:spacing w:after="60"/>
      </w:pPr>
      <w:r>
        <w:rPr>
          <w:b w:val="0"/>
          <w:i w:val="0"/>
          <w:sz w:val="19"/>
        </w:rPr>
        <w:t>Parent BR-INT-004   |   P1   |   R1</w:t>
      </w:r>
    </w:p>
    <w:p>
      <w:pPr>
        <w:spacing w:after="60"/>
      </w:pPr>
      <w:r>
        <w:rPr>
          <w:b/>
          <w:i w:val="0"/>
        </w:rPr>
        <w:t xml:space="preserve">Behaviour: </w:t>
      </w:r>
      <w:r>
        <w:rPr>
          <w:b w:val="0"/>
          <w:i w:val="0"/>
        </w:rPr>
        <w:t>Business APIs expose the resource and command catalogue in the interface section. Responses include stable ID, revision, business state and permitted metadata. Lists support stable pagination, documented filters and explicit projection of allowed fields.</w:t>
      </w:r>
    </w:p>
    <w:p>
      <w:pPr>
        <w:spacing w:after="60"/>
      </w:pPr>
      <w:r>
        <w:rPr>
          <w:b/>
          <w:i w:val="0"/>
        </w:rPr>
        <w:t xml:space="preserve">Validation and recovery: </w:t>
      </w:r>
      <w:r>
        <w:rPr>
          <w:b w:val="0"/>
          <w:i w:val="0"/>
        </w:rPr>
        <w:t>The API cannot bypass interface validation, hidden fields, workflow or publication checks. Bulk requests return safe per item outcomes and no cross tenant existence signals.</w:t>
      </w:r>
    </w:p>
    <w:p>
      <w:pPr>
        <w:spacing w:after="60"/>
      </w:pPr>
      <w:r>
        <w:rPr>
          <w:b/>
          <w:i w:val="0"/>
        </w:rPr>
        <w:t xml:space="preserve">Acceptance FT-INT-004: </w:t>
      </w:r>
      <w:r>
        <w:rPr>
          <w:b w:val="0"/>
          <w:i w:val="0"/>
        </w:rPr>
        <w:t>Create a draft indicator through the API, submit it and attempt direct approval as its author; the same independence rule blocks it.</w:t>
      </w:r>
    </w:p>
    <w:p>
      <w:bookmarkStart w:id="219" w:name="req_FR_INT_005"/>
      <w:pPr>
        <w:keepNext/>
        <w:spacing w:before="180" w:after="40"/>
      </w:pPr>
      <w:r>
        <w:rPr>
          <w:b/>
          <w:i w:val="0"/>
        </w:rPr>
        <w:t>FR-INT-005   API version and compatibility</w:t>
      </w:r>
      <w:bookmarkEnd w:id="219"/>
    </w:p>
    <w:p>
      <w:pPr>
        <w:keepNext/>
        <w:spacing w:after="60"/>
      </w:pPr>
      <w:r>
        <w:rPr>
          <w:b w:val="0"/>
          <w:i w:val="0"/>
          <w:sz w:val="19"/>
        </w:rPr>
        <w:t>Parent BR-INT-005   |   P1   |   R1</w:t>
      </w:r>
    </w:p>
    <w:p>
      <w:pPr>
        <w:spacing w:after="60"/>
      </w:pPr>
      <w:r>
        <w:rPr>
          <w:b/>
          <w:i w:val="0"/>
        </w:rPr>
        <w:t xml:space="preserve">Behaviour: </w:t>
      </w:r>
      <w:r>
        <w:rPr>
          <w:b w:val="0"/>
          <w:i w:val="0"/>
        </w:rPr>
        <w:t>A contract version identifies fields, enum semantics, error codes and compatible evolution rules. Deprecation notices include effective date, migration guide and at least twelve months of overlap unless a documented security emergency requires an exception.</w:t>
      </w:r>
    </w:p>
    <w:p>
      <w:pPr>
        <w:spacing w:after="60"/>
      </w:pPr>
      <w:r>
        <w:rPr>
          <w:b/>
          <w:i w:val="0"/>
        </w:rPr>
        <w:t xml:space="preserve">Validation and recovery: </w:t>
      </w:r>
      <w:r>
        <w:rPr>
          <w:b w:val="0"/>
          <w:i w:val="0"/>
        </w:rPr>
        <w:t>An additive optional field must not change existing field meaning. Removed enum values or changed units are breaking changes, even if transport shape stays the same.</w:t>
      </w:r>
    </w:p>
    <w:p>
      <w:pPr>
        <w:spacing w:after="60"/>
      </w:pPr>
      <w:r>
        <w:rPr>
          <w:b/>
          <w:i w:val="0"/>
        </w:rPr>
        <w:t xml:space="preserve">Acceptance FT-INT-005: </w:t>
      </w:r>
      <w:r>
        <w:rPr>
          <w:b w:val="0"/>
          <w:i w:val="0"/>
        </w:rPr>
        <w:t>Run a supported prior client against a candidate release and verify its saved queries, validation semantics and error codes still behave as documented.</w:t>
      </w:r>
    </w:p>
    <w:p>
      <w:bookmarkStart w:id="220" w:name="req_FR_INT_006"/>
      <w:pPr>
        <w:keepNext/>
        <w:spacing w:before="180" w:after="40"/>
      </w:pPr>
      <w:r>
        <w:rPr>
          <w:b/>
          <w:i w:val="0"/>
        </w:rPr>
        <w:t>FR-INT-006   Webhook delivery</w:t>
      </w:r>
      <w:bookmarkEnd w:id="220"/>
    </w:p>
    <w:p>
      <w:pPr>
        <w:keepNext/>
        <w:spacing w:after="60"/>
      </w:pPr>
      <w:r>
        <w:rPr>
          <w:b w:val="0"/>
          <w:i w:val="0"/>
          <w:sz w:val="19"/>
        </w:rPr>
        <w:t>Parent BR-INT-006   |   P1   |   R2</w:t>
      </w:r>
    </w:p>
    <w:p>
      <w:pPr>
        <w:spacing w:after="60"/>
      </w:pPr>
      <w:r>
        <w:rPr>
          <w:b/>
          <w:i w:val="0"/>
        </w:rPr>
        <w:t xml:space="preserve">Behaviour: </w:t>
      </w:r>
      <w:r>
        <w:rPr>
          <w:b w:val="0"/>
          <w:i w:val="0"/>
        </w:rPr>
        <w:t>Webhook configuration verifies destination control and permitted event types. Deliveries carry event ID, occurrence time, resource version and authenticated integrity context. Consumers receive explicit at-least-once and possible out-of-order semantics; delivery attempts are visible.</w:t>
      </w:r>
    </w:p>
    <w:p>
      <w:pPr>
        <w:spacing w:after="60"/>
      </w:pPr>
      <w:r>
        <w:rPr>
          <w:b/>
          <w:i w:val="0"/>
        </w:rPr>
        <w:t xml:space="preserve">Validation and recovery: </w:t>
      </w:r>
      <w:r>
        <w:rPr>
          <w:b w:val="0"/>
          <w:i w:val="0"/>
        </w:rPr>
        <w:t>No sensitive unrestricted payload by default; consumers fetch details through current scope. Revocation stops retries. Destinations and redirects undergo the same outbound policy checks.</w:t>
      </w:r>
    </w:p>
    <w:p>
      <w:pPr>
        <w:spacing w:after="60"/>
      </w:pPr>
      <w:r>
        <w:rPr>
          <w:b/>
          <w:i w:val="0"/>
        </w:rPr>
        <w:t xml:space="preserve">Acceptance FT-INT-006: </w:t>
      </w:r>
      <w:r>
        <w:rPr>
          <w:b w:val="0"/>
          <w:i w:val="0"/>
        </w:rPr>
        <w:t>Deliver events v2 then v1 twice; a qualified consumer records one effect per event and rejects invalid authentication without downgrading resource state.</w:t>
      </w:r>
    </w:p>
    <w:p>
      <w:bookmarkStart w:id="221" w:name="req_FR_INT_007"/>
      <w:pPr>
        <w:keepNext/>
        <w:spacing w:before="180" w:after="40"/>
      </w:pPr>
      <w:r>
        <w:rPr>
          <w:b/>
          <w:i w:val="0"/>
        </w:rPr>
        <w:t>FR-INT-007   Limits and tenant fairness</w:t>
      </w:r>
      <w:bookmarkEnd w:id="221"/>
    </w:p>
    <w:p>
      <w:pPr>
        <w:keepNext/>
        <w:spacing w:after="60"/>
      </w:pPr>
      <w:r>
        <w:rPr>
          <w:b w:val="0"/>
          <w:i w:val="0"/>
          <w:sz w:val="19"/>
        </w:rPr>
        <w:t>Parent BR-INT-007   |   P0   |   R1</w:t>
      </w:r>
    </w:p>
    <w:p>
      <w:pPr>
        <w:spacing w:after="60"/>
      </w:pPr>
      <w:r>
        <w:rPr>
          <w:b/>
          <w:i w:val="0"/>
        </w:rPr>
        <w:t xml:space="preserve">Behaviour: </w:t>
      </w:r>
      <w:r>
        <w:rPr>
          <w:b w:val="0"/>
          <w:i w:val="0"/>
        </w:rPr>
        <w:t>Limits are displayed per tenant, credential and job class before activation. When an admission limit is exceeded, return LIMIT_EXCEEDED with safe retry guidance. Approved jobs show queue position class and cancellation; interactive approvals retain their own capacity protection.</w:t>
      </w:r>
    </w:p>
    <w:p>
      <w:pPr>
        <w:spacing w:after="60"/>
      </w:pPr>
      <w:r>
        <w:rPr>
          <w:b/>
          <w:i w:val="0"/>
        </w:rPr>
        <w:t xml:space="preserve">Validation and recovery: </w:t>
      </w:r>
      <w:r>
        <w:rPr>
          <w:b w:val="0"/>
          <w:i w:val="0"/>
        </w:rPr>
        <w:t>A noisy connector cannot consume unlimited pending jobs. Retrying earlier than the indicated window cannot expand its quota or starve other tenants.</w:t>
      </w:r>
    </w:p>
    <w:p>
      <w:pPr>
        <w:spacing w:after="60"/>
      </w:pPr>
      <w:r>
        <w:rPr>
          <w:b/>
          <w:i w:val="0"/>
        </w:rPr>
        <w:t xml:space="preserve">Acceptance FT-INT-007: </w:t>
      </w:r>
      <w:r>
        <w:rPr>
          <w:b w:val="0"/>
          <w:i w:val="0"/>
        </w:rPr>
        <w:t>Exceed one tenant's bulk queue and verify unrelated tenants' record saves and approvals continue within their qualified targets.</w:t>
      </w:r>
    </w:p>
    <w:p>
      <w:bookmarkStart w:id="222" w:name="req_FR_INT_008"/>
      <w:pPr>
        <w:keepNext/>
        <w:spacing w:before="180" w:after="40"/>
      </w:pPr>
      <w:r>
        <w:rPr>
          <w:b/>
          <w:i w:val="0"/>
        </w:rPr>
        <w:t>FR-INT-008   Import export standards</w:t>
      </w:r>
      <w:bookmarkEnd w:id="222"/>
    </w:p>
    <w:p>
      <w:pPr>
        <w:keepNext/>
        <w:spacing w:after="60"/>
      </w:pPr>
      <w:r>
        <w:rPr>
          <w:b w:val="0"/>
          <w:i w:val="0"/>
          <w:sz w:val="19"/>
        </w:rPr>
        <w:t>Parent BR-INT-008   |   P1   |   R2</w:t>
      </w:r>
    </w:p>
    <w:p>
      <w:pPr>
        <w:spacing w:after="60"/>
      </w:pPr>
      <w:r>
        <w:rPr>
          <w:b/>
          <w:i w:val="0"/>
        </w:rPr>
        <w:t xml:space="preserve">Behaviour: </w:t>
      </w:r>
      <w:r>
        <w:rPr>
          <w:b w:val="0"/>
          <w:i w:val="0"/>
        </w:rPr>
        <w:t>An exchange mapping identifies standard version, code lists, units, locale, date representation and information loss. Import and export validate against that mapping and include a manifest for transformed or unsupported fields.</w:t>
      </w:r>
    </w:p>
    <w:p>
      <w:pPr>
        <w:spacing w:after="60"/>
      </w:pPr>
      <w:r>
        <w:rPr>
          <w:b/>
          <w:i w:val="0"/>
        </w:rPr>
        <w:t xml:space="preserve">Validation and recovery: </w:t>
      </w:r>
      <w:r>
        <w:rPr>
          <w:b w:val="0"/>
          <w:i w:val="0"/>
        </w:rPr>
        <w:t>Codes are stable and separate from display translations. An unknown code is quarantined or rejected, not automatically matched to a similar label.</w:t>
      </w:r>
    </w:p>
    <w:p>
      <w:pPr>
        <w:spacing w:after="60"/>
      </w:pPr>
      <w:r>
        <w:rPr>
          <w:b/>
          <w:i w:val="0"/>
        </w:rPr>
        <w:t xml:space="preserve">Acceptance FT-INT-008: </w:t>
      </w:r>
      <w:r>
        <w:rPr>
          <w:b w:val="0"/>
          <w:i w:val="0"/>
        </w:rPr>
        <w:t>Round trip a multilingual record containing currency, unit and geography codes and account for every intentionally transformed field.</w:t>
      </w:r>
    </w:p>
    <w:p>
      <w:bookmarkStart w:id="223" w:name="req_FR_INT_009"/>
      <w:pPr>
        <w:keepNext/>
        <w:spacing w:before="180" w:after="40"/>
      </w:pPr>
      <w:r>
        <w:rPr>
          <w:b/>
          <w:i w:val="0"/>
        </w:rPr>
        <w:t>FR-INT-009   Integration diagnostics</w:t>
      </w:r>
      <w:bookmarkEnd w:id="223"/>
    </w:p>
    <w:p>
      <w:pPr>
        <w:keepNext/>
        <w:spacing w:after="60"/>
      </w:pPr>
      <w:r>
        <w:rPr>
          <w:b w:val="0"/>
          <w:i w:val="0"/>
          <w:sz w:val="19"/>
        </w:rPr>
        <w:t>Parent BR-INT-009   |   P1   |   R1</w:t>
      </w:r>
    </w:p>
    <w:p>
      <w:pPr>
        <w:spacing w:after="60"/>
      </w:pPr>
      <w:r>
        <w:rPr>
          <w:b/>
          <w:i w:val="0"/>
        </w:rPr>
        <w:t xml:space="preserve">Behaviour: </w:t>
      </w:r>
      <w:r>
        <w:rPr>
          <w:b w:val="0"/>
          <w:i w:val="0"/>
        </w:rPr>
        <w:t>Connection health displays last contact, last successful validated run, backlog, source drift and per item counts. Error details use safe field references and correlation IDs. A bounded diagnostic sample requires appropriate content rights.</w:t>
      </w:r>
    </w:p>
    <w:p>
      <w:pPr>
        <w:spacing w:after="60"/>
      </w:pPr>
      <w:r>
        <w:rPr>
          <w:b/>
          <w:i w:val="0"/>
        </w:rPr>
        <w:t xml:space="preserve">Validation and recovery: </w:t>
      </w:r>
      <w:r>
        <w:rPr>
          <w:b w:val="0"/>
          <w:i w:val="0"/>
        </w:rPr>
        <w:t>Never display tokens, unrestricted raw payloads or another tenant's source identity. Retrying requires the reviewed mapping version that resolved the issue.</w:t>
      </w:r>
    </w:p>
    <w:p>
      <w:pPr>
        <w:spacing w:after="60"/>
      </w:pPr>
      <w:r>
        <w:rPr>
          <w:b/>
          <w:i w:val="0"/>
        </w:rPr>
        <w:t xml:space="preserve">Acceptance FT-INT-009: </w:t>
      </w:r>
      <w:r>
        <w:rPr>
          <w:b w:val="0"/>
          <w:i w:val="0"/>
        </w:rPr>
        <w:t>Diagnose a renamed column, publish the mapping fix and replay only the failed records while retaining the original failure manifest.</w:t>
      </w:r>
    </w:p>
    <w:p>
      <w:bookmarkStart w:id="224" w:name="req_FR_INT_010"/>
      <w:pPr>
        <w:keepNext/>
        <w:spacing w:before="180" w:after="40"/>
      </w:pPr>
      <w:r>
        <w:rPr>
          <w:b/>
          <w:i w:val="0"/>
        </w:rPr>
        <w:t>FR-INT-010   Development and testing access</w:t>
      </w:r>
      <w:bookmarkEnd w:id="224"/>
    </w:p>
    <w:p>
      <w:pPr>
        <w:keepNext/>
        <w:spacing w:after="60"/>
      </w:pPr>
      <w:r>
        <w:rPr>
          <w:b w:val="0"/>
          <w:i w:val="0"/>
          <w:sz w:val="19"/>
        </w:rPr>
        <w:t>Parent BR-INT-010   |   P1   |   R2</w:t>
      </w:r>
    </w:p>
    <w:p>
      <w:pPr>
        <w:spacing w:after="60"/>
      </w:pPr>
      <w:r>
        <w:rPr>
          <w:b/>
          <w:i w:val="0"/>
        </w:rPr>
        <w:t xml:space="preserve">Behaviour: </w:t>
      </w:r>
      <w:r>
        <w:rPr>
          <w:b w:val="0"/>
          <w:i w:val="0"/>
        </w:rPr>
        <w:t>A developer workspace provides versioned sample contracts, synthetic fixtures and test credentials with isolated tenant scope. Qualification exercises full update, retry and failure behaviour before a production connection is eligible.</w:t>
      </w:r>
    </w:p>
    <w:p>
      <w:pPr>
        <w:spacing w:after="60"/>
      </w:pPr>
      <w:r>
        <w:rPr>
          <w:b/>
          <w:i w:val="0"/>
        </w:rPr>
        <w:t xml:space="preserve">Validation and recovery: </w:t>
      </w:r>
      <w:r>
        <w:rPr>
          <w:b w:val="0"/>
          <w:i w:val="0"/>
        </w:rPr>
        <w:t>Production secrets and personal data are excluded by default. Debug payload access is a separate time bounded support grant, not a developer entitlement.</w:t>
      </w:r>
    </w:p>
    <w:p>
      <w:pPr>
        <w:spacing w:after="60"/>
      </w:pPr>
      <w:r>
        <w:rPr>
          <w:b/>
          <w:i w:val="0"/>
        </w:rPr>
        <w:t xml:space="preserve">Acceptance FT-INT-010: </w:t>
      </w:r>
      <w:r>
        <w:rPr>
          <w:b w:val="0"/>
          <w:i w:val="0"/>
        </w:rPr>
        <w:t>Run a connector test end to end and demonstrate its credential cannot enumerate or mutate a production project.</w:t>
      </w:r>
    </w:p>
    <w:p>
      <w:bookmarkStart w:id="225" w:name="sec_26"/>
      <w:pPr>
        <w:pStyle w:val="Heading1"/>
      </w:pPr>
      <w:r>
        <w:rPr>
          <w:b w:val="0"/>
          <w:i w:val="0"/>
        </w:rPr>
        <w:t>26 AI assisted functional workflows</w:t>
      </w:r>
      <w:bookmarkEnd w:id="225"/>
    </w:p>
    <w:p>
      <w:pPr>
        <w:spacing w:after="140"/>
      </w:pPr>
      <w:r>
        <w:rPr>
          <w:b w:val="0"/>
          <w:i/>
          <w:sz w:val="21"/>
        </w:rPr>
        <w:t>Primary actors: Author analyst AI administrator and independent reviewer. Interfaces: UI08 UI09 UI15 UI23 UI26. Logical entities: D07 D21 D24 D28 D32.</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26" w:name="req_FR_AI_001"/>
      <w:pPr>
        <w:keepNext/>
        <w:spacing w:before="180" w:after="40"/>
      </w:pPr>
      <w:r>
        <w:rPr>
          <w:b/>
          <w:i w:val="0"/>
        </w:rPr>
        <w:t>FR-AI-001   Explicit enablement and policy</w:t>
      </w:r>
      <w:bookmarkEnd w:id="226"/>
    </w:p>
    <w:p>
      <w:pPr>
        <w:keepNext/>
        <w:spacing w:after="60"/>
      </w:pPr>
      <w:r>
        <w:rPr>
          <w:b w:val="0"/>
          <w:i w:val="0"/>
          <w:sz w:val="19"/>
        </w:rPr>
        <w:t>Parent BR-AI-001   |   P0   |   R1</w:t>
      </w:r>
    </w:p>
    <w:p>
      <w:pPr>
        <w:spacing w:after="60"/>
      </w:pPr>
      <w:r>
        <w:rPr>
          <w:b/>
          <w:i w:val="0"/>
        </w:rPr>
        <w:t xml:space="preserve">Behaviour: </w:t>
      </w:r>
      <w:r>
        <w:rPr>
          <w:b w:val="0"/>
          <w:i w:val="0"/>
        </w:rPr>
        <w:t>The administrator enables named use cases with allowed data classes, destinations, language coverage, budget and required review. The UI shows the active policy before a request. Disabled capabilities make no provider call and preserve the manual path.</w:t>
      </w:r>
    </w:p>
    <w:p>
      <w:pPr>
        <w:spacing w:after="60"/>
      </w:pPr>
      <w:r>
        <w:rPr>
          <w:b/>
          <w:i w:val="0"/>
        </w:rPr>
        <w:t xml:space="preserve">Validation and recovery: </w:t>
      </w:r>
      <w:r>
        <w:rPr>
          <w:b w:val="0"/>
          <w:i w:val="0"/>
        </w:rPr>
        <w:t>Enabling a chat interface does not enable every tool. Sensitive processing requires approved destination and purpose; policy failure blocks transmission before content leaves the authorised boundary.</w:t>
      </w:r>
    </w:p>
    <w:p>
      <w:pPr>
        <w:spacing w:after="60"/>
      </w:pPr>
      <w:r>
        <w:rPr>
          <w:b/>
          <w:i w:val="0"/>
        </w:rPr>
        <w:t xml:space="preserve">Acceptance FT-AI-001: </w:t>
      </w:r>
      <w:r>
        <w:rPr>
          <w:b w:val="0"/>
          <w:i w:val="0"/>
        </w:rPr>
        <w:t>Disable AI for a tenant and complete programme setup, period close and report generation using deterministic and manual workflows.</w:t>
      </w:r>
    </w:p>
    <w:p>
      <w:bookmarkStart w:id="227" w:name="req_FR_AI_002"/>
      <w:pPr>
        <w:keepNext/>
        <w:spacing w:before="180" w:after="40"/>
      </w:pPr>
      <w:r>
        <w:rPr>
          <w:b/>
          <w:i w:val="0"/>
        </w:rPr>
        <w:t>FR-AI-002   Proposal and logframe extraction</w:t>
      </w:r>
      <w:bookmarkEnd w:id="227"/>
    </w:p>
    <w:p>
      <w:pPr>
        <w:keepNext/>
        <w:spacing w:after="60"/>
      </w:pPr>
      <w:r>
        <w:rPr>
          <w:b w:val="0"/>
          <w:i w:val="0"/>
          <w:sz w:val="19"/>
        </w:rPr>
        <w:t>Parent BR-AI-002   |   P1   |   R1</w:t>
      </w:r>
    </w:p>
    <w:p>
      <w:pPr>
        <w:spacing w:after="60"/>
      </w:pPr>
      <w:r>
        <w:rPr>
          <w:b/>
          <w:i w:val="0"/>
        </w:rPr>
        <w:t xml:space="preserve">Behaviour: </w:t>
      </w:r>
      <w:r>
        <w:rPr>
          <w:b w:val="0"/>
          <w:i w:val="0"/>
        </w:rPr>
        <w:t>Extraction selects permitted files and returns proposed entities and fields with source version, page or section, evidence span and classification as extracted, inferred or suggested. The review panel supports selective acceptance and retains unresolved ambiguities.</w:t>
      </w:r>
    </w:p>
    <w:p>
      <w:pPr>
        <w:spacing w:after="60"/>
      </w:pPr>
      <w:r>
        <w:rPr>
          <w:b/>
          <w:i w:val="0"/>
        </w:rPr>
        <w:t xml:space="preserve">Validation and recovery: </w:t>
      </w:r>
      <w:r>
        <w:rPr>
          <w:b w:val="0"/>
          <w:i w:val="0"/>
        </w:rPr>
        <w:t>Dates, targets and population commitments require direct source support or an explicit human addition. Missing values remain missing; contradictory sources are presented separately.</w:t>
      </w:r>
    </w:p>
    <w:p>
      <w:pPr>
        <w:spacing w:after="60"/>
      </w:pPr>
      <w:r>
        <w:rPr>
          <w:b/>
          <w:i w:val="0"/>
        </w:rPr>
        <w:t xml:space="preserve">Acceptance FT-AI-002: </w:t>
      </w:r>
      <w:r>
        <w:rPr>
          <w:b w:val="0"/>
          <w:i w:val="0"/>
        </w:rPr>
        <w:t>Extract a proposal with two end dates and no population; both dates and the missing field are flagged, and activation remains blocked until reviewed.</w:t>
      </w:r>
    </w:p>
    <w:p>
      <w:bookmarkStart w:id="228" w:name="req_FR_AI_003"/>
      <w:pPr>
        <w:keepNext/>
        <w:spacing w:before="180" w:after="40"/>
      </w:pPr>
      <w:r>
        <w:rPr>
          <w:b/>
          <w:i w:val="0"/>
        </w:rPr>
        <w:t>FR-AI-003   Indicator design assistance</w:t>
      </w:r>
      <w:bookmarkEnd w:id="228"/>
    </w:p>
    <w:p>
      <w:pPr>
        <w:keepNext/>
        <w:spacing w:after="60"/>
      </w:pPr>
      <w:r>
        <w:rPr>
          <w:b w:val="0"/>
          <w:i w:val="0"/>
          <w:sz w:val="19"/>
        </w:rPr>
        <w:t>Parent BR-AI-003   |   P1   |   R1</w:t>
      </w:r>
    </w:p>
    <w:p>
      <w:pPr>
        <w:spacing w:after="60"/>
      </w:pPr>
      <w:r>
        <w:rPr>
          <w:b/>
          <w:i w:val="0"/>
        </w:rPr>
        <w:t xml:space="preserve">Behaviour: </w:t>
      </w:r>
      <w:r>
        <w:rPr>
          <w:b w:val="0"/>
          <w:i w:val="0"/>
        </w:rPr>
        <w:t>The assistant receives approved library definitions and the current programme context and proposes a complete draft measurement contract. It highlights missing denominator, unsuitable proxy, population ambiguity and evidence requirements. The user accepts selected fields into a draft.</w:t>
      </w:r>
    </w:p>
    <w:p>
      <w:pPr>
        <w:spacing w:after="60"/>
      </w:pPr>
      <w:r>
        <w:rPr>
          <w:b/>
          <w:i w:val="0"/>
        </w:rPr>
        <w:t xml:space="preserve">Validation and recovery: </w:t>
      </w:r>
      <w:r>
        <w:rPr>
          <w:b w:val="0"/>
          <w:i w:val="0"/>
        </w:rPr>
        <w:t>The draft passes the same schema and method checks as manual authoring. Model confidence cannot approve an indicator or create an unsupported standard mapping.</w:t>
      </w:r>
    </w:p>
    <w:p>
      <w:pPr>
        <w:spacing w:after="60"/>
      </w:pPr>
      <w:r>
        <w:rPr>
          <w:b/>
          <w:i w:val="0"/>
        </w:rPr>
        <w:t xml:space="preserve">Acceptance FT-AI-003: </w:t>
      </w:r>
      <w:r>
        <w:rPr>
          <w:b w:val="0"/>
          <w:i w:val="0"/>
        </w:rPr>
        <w:t>Suggest a completion percentage and verify the proposal requires eligible denominator, reporting period and evidence method before review submission.</w:t>
      </w:r>
    </w:p>
    <w:p>
      <w:bookmarkStart w:id="229" w:name="req_FR_AI_004"/>
      <w:pPr>
        <w:keepNext/>
        <w:spacing w:before="180" w:after="40"/>
      </w:pPr>
      <w:r>
        <w:rPr>
          <w:b/>
          <w:i w:val="0"/>
        </w:rPr>
        <w:t>FR-AI-004   Import and cleaning assistance</w:t>
      </w:r>
      <w:bookmarkEnd w:id="229"/>
    </w:p>
    <w:p>
      <w:pPr>
        <w:keepNext/>
        <w:spacing w:after="60"/>
      </w:pPr>
      <w:r>
        <w:rPr>
          <w:b w:val="0"/>
          <w:i w:val="0"/>
          <w:sz w:val="19"/>
        </w:rPr>
        <w:t>Parent BR-AI-004   |   P1   |   R1</w:t>
      </w:r>
    </w:p>
    <w:p>
      <w:pPr>
        <w:spacing w:after="60"/>
      </w:pPr>
      <w:r>
        <w:rPr>
          <w:b/>
          <w:i w:val="0"/>
        </w:rPr>
        <w:t xml:space="preserve">Behaviour: </w:t>
      </w:r>
      <w:r>
        <w:rPr>
          <w:b w:val="0"/>
          <w:i w:val="0"/>
        </w:rPr>
        <w:t>Mapping assistance returns proposed source-to-destination links and deterministic transformations with affected sample rows. The steward accepts individual proposals and sees the exact mapping diff. Application creates a mapping draft or reviewed transformation version.</w:t>
      </w:r>
    </w:p>
    <w:p>
      <w:pPr>
        <w:spacing w:after="60"/>
      </w:pPr>
      <w:r>
        <w:rPr>
          <w:b/>
          <w:i w:val="0"/>
        </w:rPr>
        <w:t xml:space="preserve">Validation and recovery: </w:t>
      </w:r>
      <w:r>
        <w:rPr>
          <w:b w:val="0"/>
          <w:i w:val="0"/>
        </w:rPr>
        <w:t>AI cannot delete raw rows, merge identities or overwrite approved actuals. Low confidence or ambiguous mapping remains unselected and requires explicit resolution.</w:t>
      </w:r>
    </w:p>
    <w:p>
      <w:pPr>
        <w:spacing w:after="60"/>
      </w:pPr>
      <w:r>
        <w:rPr>
          <w:b/>
          <w:i w:val="0"/>
        </w:rPr>
        <w:t xml:space="preserve">Acceptance FT-AI-004: </w:t>
      </w:r>
      <w:r>
        <w:rPr>
          <w:b w:val="0"/>
          <w:i w:val="0"/>
        </w:rPr>
        <w:t>Accept a date normalisation suggestion but reject a name-based participant merge; only the approved deterministic conversion is applied.</w:t>
      </w:r>
    </w:p>
    <w:p>
      <w:bookmarkStart w:id="230" w:name="req_FR_AI_005"/>
      <w:pPr>
        <w:keepNext/>
        <w:spacing w:before="180" w:after="40"/>
      </w:pPr>
      <w:r>
        <w:rPr>
          <w:b/>
          <w:i w:val="0"/>
        </w:rPr>
        <w:t>FR-AI-005   Evidence based questions</w:t>
      </w:r>
      <w:bookmarkEnd w:id="230"/>
    </w:p>
    <w:p>
      <w:pPr>
        <w:keepNext/>
        <w:spacing w:after="60"/>
      </w:pPr>
      <w:r>
        <w:rPr>
          <w:b w:val="0"/>
          <w:i w:val="0"/>
          <w:sz w:val="19"/>
        </w:rPr>
        <w:t>Parent BR-AI-005   |   P1   |   R1</w:t>
      </w:r>
    </w:p>
    <w:p>
      <w:pPr>
        <w:spacing w:after="60"/>
      </w:pPr>
      <w:r>
        <w:rPr>
          <w:b/>
          <w:i w:val="0"/>
        </w:rPr>
        <w:t xml:space="preserve">Behaviour: </w:t>
      </w:r>
      <w:r>
        <w:rPr>
          <w:b w:val="0"/>
          <w:i w:val="0"/>
        </w:rPr>
        <w:t>A question specifies authorised scope, period and source mode. Retrieval obtains only permitted evidence and results; answers attach citations to material claims and show missing or contradictory evidence. If scope is ambiguous, return a clarification state without guessing an official number.</w:t>
      </w:r>
    </w:p>
    <w:p>
      <w:pPr>
        <w:spacing w:after="60"/>
      </w:pPr>
      <w:r>
        <w:rPr>
          <w:b/>
          <w:i w:val="0"/>
        </w:rPr>
        <w:t xml:space="preserve">Validation and recovery: </w:t>
      </w:r>
      <w:r>
        <w:rPr>
          <w:b w:val="0"/>
          <w:i w:val="0"/>
        </w:rPr>
        <w:t>Unsupported or unauthorised questions receive a bounded abstention without confirming protected resource existence. No fabricated quotations, citations or document titles.</w:t>
      </w:r>
    </w:p>
    <w:p>
      <w:pPr>
        <w:spacing w:after="60"/>
      </w:pPr>
      <w:r>
        <w:rPr>
          <w:b/>
          <w:i w:val="0"/>
        </w:rPr>
        <w:t xml:space="preserve">Acceptance FT-AI-005: </w:t>
      </w:r>
      <w:r>
        <w:rPr>
          <w:b w:val="0"/>
          <w:i w:val="0"/>
        </w:rPr>
        <w:t>Ask a supported programme question and an inaccessible partner question; the first cites source locations and the second reveals no hidden record detail.</w:t>
      </w:r>
    </w:p>
    <w:p>
      <w:bookmarkStart w:id="231" w:name="req_FR_AI_006"/>
      <w:pPr>
        <w:keepNext/>
        <w:spacing w:before="180" w:after="40"/>
      </w:pPr>
      <w:r>
        <w:rPr>
          <w:b/>
          <w:i w:val="0"/>
        </w:rPr>
        <w:t>FR-AI-006   Governed numerical analysis</w:t>
      </w:r>
      <w:bookmarkEnd w:id="231"/>
    </w:p>
    <w:p>
      <w:pPr>
        <w:keepNext/>
        <w:spacing w:after="60"/>
      </w:pPr>
      <w:r>
        <w:rPr>
          <w:b w:val="0"/>
          <w:i w:val="0"/>
          <w:sz w:val="19"/>
        </w:rPr>
        <w:t>Parent BR-AI-006   |   P0   |   R1</w:t>
      </w:r>
    </w:p>
    <w:p>
      <w:pPr>
        <w:spacing w:after="60"/>
      </w:pPr>
      <w:r>
        <w:rPr>
          <w:b/>
          <w:i w:val="0"/>
        </w:rPr>
        <w:t xml:space="preserve">Behaviour: </w:t>
      </w:r>
      <w:r>
        <w:rPr>
          <w:b w:val="0"/>
          <w:i w:val="0"/>
        </w:rPr>
        <w:t>Numeric questions are translated into a constrained typed analysis plan: measure, compatible sources, filters, period, dimensions and permitted operation. An authorised deterministic tool executes it. The answer embeds returned values and result references without model recomputation.</w:t>
      </w:r>
    </w:p>
    <w:p>
      <w:pPr>
        <w:spacing w:after="60"/>
      </w:pPr>
      <w:r>
        <w:rPr>
          <w:b/>
          <w:i w:val="0"/>
        </w:rPr>
        <w:t xml:space="preserve">Validation and recovery: </w:t>
      </w:r>
      <w:r>
        <w:rPr>
          <w:b w:val="0"/>
          <w:i w:val="0"/>
        </w:rPr>
        <w:t>No arbitrary SQL, code execution or user supplied unrestricted query. A mismatch between drafted numeric text and tool value blocks delivery of the official claim.</w:t>
      </w:r>
    </w:p>
    <w:p>
      <w:pPr>
        <w:spacing w:after="60"/>
      </w:pPr>
      <w:r>
        <w:rPr>
          <w:b/>
          <w:i w:val="0"/>
        </w:rPr>
        <w:t xml:space="preserve">Acceptance FT-AI-006: </w:t>
      </w:r>
      <w:r>
        <w:rPr>
          <w:b w:val="0"/>
          <w:i w:val="0"/>
        </w:rPr>
        <w:t>Ask for pooled 50/100 and 1/10; the answer presents 46.36 percent with 51/110 and the approved calculation receipt.</w:t>
      </w:r>
    </w:p>
    <w:p>
      <w:bookmarkStart w:id="232" w:name="req_FR_AI_007"/>
      <w:pPr>
        <w:keepNext/>
        <w:spacing w:before="180" w:after="40"/>
      </w:pPr>
      <w:r>
        <w:rPr>
          <w:b/>
          <w:i w:val="0"/>
        </w:rPr>
        <w:t>FR-AI-007   Report drafting</w:t>
      </w:r>
      <w:bookmarkEnd w:id="232"/>
    </w:p>
    <w:p>
      <w:pPr>
        <w:keepNext/>
        <w:spacing w:after="60"/>
      </w:pPr>
      <w:r>
        <w:rPr>
          <w:b w:val="0"/>
          <w:i w:val="0"/>
          <w:sz w:val="19"/>
        </w:rPr>
        <w:t>Parent BR-AI-007   |   P1   |   R1</w:t>
      </w:r>
    </w:p>
    <w:p>
      <w:pPr>
        <w:spacing w:after="60"/>
      </w:pPr>
      <w:r>
        <w:rPr>
          <w:b/>
          <w:i w:val="0"/>
        </w:rPr>
        <w:t xml:space="preserve">Behaviour: </w:t>
      </w:r>
      <w:r>
        <w:rPr>
          <w:b w:val="0"/>
          <w:i w:val="0"/>
        </w:rPr>
        <w:t>Report drafting binds an approved snapshot and template, then proposes sections with evidence references and metric bindings. Missing sections appear as evidence gaps. Review tracks AI origin, corrections and final human wording.</w:t>
      </w:r>
    </w:p>
    <w:p>
      <w:pPr>
        <w:spacing w:after="60"/>
      </w:pPr>
      <w:r>
        <w:rPr>
          <w:b/>
          <w:i w:val="0"/>
        </w:rPr>
        <w:t xml:space="preserve">Validation and recovery: </w:t>
      </w:r>
      <w:r>
        <w:rPr>
          <w:b w:val="0"/>
          <w:i w:val="0"/>
        </w:rPr>
        <w:t>The assistant cannot create a new official snapshot, invent a result or remove mandatory caveats. Regeneration never overwrites accepted human edits without an explicit reviewed diff.</w:t>
      </w:r>
    </w:p>
    <w:p>
      <w:pPr>
        <w:spacing w:after="60"/>
      </w:pPr>
      <w:r>
        <w:rPr>
          <w:b/>
          <w:i w:val="0"/>
        </w:rPr>
        <w:t xml:space="preserve">Acceptance FT-AI-007: </w:t>
      </w:r>
      <w:r>
        <w:rPr>
          <w:b w:val="0"/>
          <w:i w:val="0"/>
        </w:rPr>
        <w:t>Draft from an incomplete snapshot and confirm missing evidence stays visible while every official number matches its bound result.</w:t>
      </w:r>
    </w:p>
    <w:p>
      <w:bookmarkStart w:id="233" w:name="req_FR_AI_008"/>
      <w:pPr>
        <w:keepNext/>
        <w:spacing w:before="180" w:after="40"/>
      </w:pPr>
      <w:r>
        <w:rPr>
          <w:b/>
          <w:i w:val="0"/>
        </w:rPr>
        <w:t>FR-AI-008   Qualitative assistance</w:t>
      </w:r>
      <w:bookmarkEnd w:id="233"/>
    </w:p>
    <w:p>
      <w:pPr>
        <w:keepNext/>
        <w:spacing w:after="60"/>
      </w:pPr>
      <w:r>
        <w:rPr>
          <w:b w:val="0"/>
          <w:i w:val="0"/>
          <w:sz w:val="19"/>
        </w:rPr>
        <w:t>Parent BR-AI-008   |   P1   |   R2</w:t>
      </w:r>
    </w:p>
    <w:p>
      <w:pPr>
        <w:spacing w:after="60"/>
      </w:pPr>
      <w:r>
        <w:rPr>
          <w:b/>
          <w:i w:val="0"/>
        </w:rPr>
        <w:t xml:space="preserve">Behaviour: </w:t>
      </w:r>
      <w:r>
        <w:rPr>
          <w:b w:val="0"/>
          <w:i w:val="0"/>
        </w:rPr>
        <w:t>Qualitative assistance selects a permitted source set and approved codebook, returning suggested codes, themes, excerpts and translations. Analysts review individual suggestions and retain minority and contradictory viewpoints. Accepted edits create normal coded evidence records.</w:t>
      </w:r>
    </w:p>
    <w:p>
      <w:pPr>
        <w:spacing w:after="60"/>
      </w:pPr>
      <w:r>
        <w:rPr>
          <w:b/>
          <w:i w:val="0"/>
        </w:rPr>
        <w:t xml:space="preserve">Validation and recovery: </w:t>
      </w:r>
      <w:r>
        <w:rPr>
          <w:b w:val="0"/>
          <w:i w:val="0"/>
        </w:rPr>
        <w:t>No invented verbatim quotations or fabricated speaker identities. Machine translation stays labelled until reviewed and cannot broaden source permission.</w:t>
      </w:r>
    </w:p>
    <w:p>
      <w:pPr>
        <w:spacing w:after="60"/>
      </w:pPr>
      <w:r>
        <w:rPr>
          <w:b/>
          <w:i w:val="0"/>
        </w:rPr>
        <w:t xml:space="preserve">Acceptance FT-AI-008: </w:t>
      </w:r>
      <w:r>
        <w:rPr>
          <w:b w:val="0"/>
          <w:i w:val="0"/>
        </w:rPr>
        <w:t>Summarise interviews with opposing views in two languages; both perspectives remain traceable to their original excerpts.</w:t>
      </w:r>
    </w:p>
    <w:p>
      <w:bookmarkStart w:id="234" w:name="req_FR_AI_009"/>
      <w:pPr>
        <w:keepNext/>
        <w:spacing w:before="180" w:after="40"/>
      </w:pPr>
      <w:r>
        <w:rPr>
          <w:b/>
          <w:i w:val="0"/>
        </w:rPr>
        <w:t>FR-AI-009   Proactive findings</w:t>
      </w:r>
      <w:bookmarkEnd w:id="234"/>
    </w:p>
    <w:p>
      <w:pPr>
        <w:keepNext/>
        <w:spacing w:after="60"/>
      </w:pPr>
      <w:r>
        <w:rPr>
          <w:b w:val="0"/>
          <w:i w:val="0"/>
          <w:sz w:val="19"/>
        </w:rPr>
        <w:t>Parent BR-AI-009   |   P1   |   R2</w:t>
      </w:r>
    </w:p>
    <w:p>
      <w:pPr>
        <w:spacing w:after="60"/>
      </w:pPr>
      <w:r>
        <w:rPr>
          <w:b/>
          <w:i w:val="0"/>
        </w:rPr>
        <w:t xml:space="preserve">Behaviour: </w:t>
      </w:r>
      <w:r>
        <w:rPr>
          <w:b w:val="0"/>
          <w:i w:val="0"/>
        </w:rPr>
        <w:t>Proactive findings run only for enabled scopes and defined detection tasks. Each suggestion states affected result versions, evidence, limitation and proposed follow up. Users verify, dismiss or assign it, and feedback is recorded.</w:t>
      </w:r>
    </w:p>
    <w:p>
      <w:pPr>
        <w:spacing w:after="60"/>
      </w:pPr>
      <w:r>
        <w:rPr>
          <w:b/>
          <w:i w:val="0"/>
        </w:rPr>
        <w:t xml:space="preserve">Validation and recovery: </w:t>
      </w:r>
      <w:r>
        <w:rPr>
          <w:b w:val="0"/>
          <w:i w:val="0"/>
        </w:rPr>
        <w:t>Suggestions are not confirmed fraud, impact or programme risk findings until reviewed. Noise controls, cooldown and owner accountability apply.</w:t>
      </w:r>
    </w:p>
    <w:p>
      <w:pPr>
        <w:spacing w:after="60"/>
      </w:pPr>
      <w:r>
        <w:rPr>
          <w:b/>
          <w:i w:val="0"/>
        </w:rPr>
        <w:t xml:space="preserve">Acceptance FT-AI-009: </w:t>
      </w:r>
      <w:r>
        <w:rPr>
          <w:b w:val="0"/>
          <w:i w:val="0"/>
        </w:rPr>
        <w:t>A performance spike creates one suggested finding with context; a manager dismisses it as seasonal and no source value changes.</w:t>
      </w:r>
    </w:p>
    <w:p>
      <w:bookmarkStart w:id="235" w:name="req_FR_AI_010"/>
      <w:pPr>
        <w:keepNext/>
        <w:spacing w:before="180" w:after="40"/>
      </w:pPr>
      <w:r>
        <w:rPr>
          <w:b/>
          <w:i w:val="0"/>
        </w:rPr>
        <w:t>FR-AI-010   Action proposal and approval</w:t>
      </w:r>
      <w:bookmarkEnd w:id="235"/>
    </w:p>
    <w:p>
      <w:pPr>
        <w:keepNext/>
        <w:spacing w:after="60"/>
      </w:pPr>
      <w:r>
        <w:rPr>
          <w:b w:val="0"/>
          <w:i w:val="0"/>
          <w:sz w:val="19"/>
        </w:rPr>
        <w:t>Parent BR-AI-010   |   P0   |   R1</w:t>
      </w:r>
    </w:p>
    <w:p>
      <w:pPr>
        <w:spacing w:after="60"/>
      </w:pPr>
      <w:r>
        <w:rPr>
          <w:b/>
          <w:i w:val="0"/>
        </w:rPr>
        <w:t xml:space="preserve">Behaviour: </w:t>
      </w:r>
      <w:r>
        <w:rPr>
          <w:b w:val="0"/>
          <w:i w:val="0"/>
        </w:rPr>
        <w:t>An AI write proposal contains exact domain command, object scope, before and after values, affected versions, policy context and consequences. Confirmation is separate from generation. Execution rechecks current authority and revisions, then calls the ordinary domain command.</w:t>
      </w:r>
    </w:p>
    <w:p>
      <w:pPr>
        <w:spacing w:after="60"/>
      </w:pPr>
      <w:r>
        <w:rPr>
          <w:b/>
          <w:i w:val="0"/>
        </w:rPr>
        <w:t xml:space="preserve">Validation and recovery: </w:t>
      </w:r>
      <w:r>
        <w:rPr>
          <w:b w:val="0"/>
          <w:i w:val="0"/>
        </w:rPr>
        <w:t>No direct write to approved results, permission grants, publication, privacy deletion or independent decisions. A source or policy change makes the proposal stale; regeneration requires review.</w:t>
      </w:r>
    </w:p>
    <w:p>
      <w:pPr>
        <w:spacing w:after="60"/>
      </w:pPr>
      <w:r>
        <w:rPr>
          <w:b/>
          <w:i w:val="0"/>
        </w:rPr>
        <w:t xml:space="preserve">Acceptance FT-AI-010: </w:t>
      </w:r>
      <w:r>
        <w:rPr>
          <w:b w:val="0"/>
          <w:i w:val="0"/>
        </w:rPr>
        <w:t>Revoke permission after proposal generation and before confirmation; execution fails without applying any stale changes.</w:t>
      </w:r>
    </w:p>
    <w:p>
      <w:bookmarkStart w:id="236" w:name="req_FR_AI_011"/>
      <w:pPr>
        <w:keepNext/>
        <w:spacing w:before="180" w:after="40"/>
      </w:pPr>
      <w:r>
        <w:rPr>
          <w:b/>
          <w:i w:val="0"/>
        </w:rPr>
        <w:t>FR-AI-011   Input and tool isolation</w:t>
      </w:r>
      <w:bookmarkEnd w:id="236"/>
    </w:p>
    <w:p>
      <w:pPr>
        <w:keepNext/>
        <w:spacing w:after="60"/>
      </w:pPr>
      <w:r>
        <w:rPr>
          <w:b w:val="0"/>
          <w:i w:val="0"/>
          <w:sz w:val="19"/>
        </w:rPr>
        <w:t>Parent BR-AI-011   |   P0   |   R1</w:t>
      </w:r>
    </w:p>
    <w:p>
      <w:pPr>
        <w:spacing w:after="60"/>
      </w:pPr>
      <w:r>
        <w:rPr>
          <w:b/>
          <w:i w:val="0"/>
        </w:rPr>
        <w:t xml:space="preserve">Behaviour: </w:t>
      </w:r>
      <w:r>
        <w:rPr>
          <w:b w:val="0"/>
          <w:i w:val="0"/>
        </w:rPr>
        <w:t>Documents, tool outputs and retrieved pages are evidence, never authority to expand tools or change policy. The allowed tool catalogue and scoped arguments are established independently of model generated instructions. External destinations require explicit policy permission.</w:t>
      </w:r>
    </w:p>
    <w:p>
      <w:pPr>
        <w:spacing w:after="60"/>
      </w:pPr>
      <w:r>
        <w:rPr>
          <w:b/>
          <w:i w:val="0"/>
        </w:rPr>
        <w:t xml:space="preserve">Validation and recovery: </w:t>
      </w:r>
      <w:r>
        <w:rPr>
          <w:b w:val="0"/>
          <w:i w:val="0"/>
        </w:rPr>
        <w:t>A document cannot instruct the model to reveal credentials, retrieve all tenants or send outputs elsewhere. Unsafe action attempts are blocked and recorded without executing them.</w:t>
      </w:r>
    </w:p>
    <w:p>
      <w:pPr>
        <w:spacing w:after="60"/>
      </w:pPr>
      <w:r>
        <w:rPr>
          <w:b/>
          <w:i w:val="0"/>
        </w:rPr>
        <w:t xml:space="preserve">Acceptance FT-AI-011: </w:t>
      </w:r>
      <w:r>
        <w:rPr>
          <w:b w:val="0"/>
          <w:i w:val="0"/>
        </w:rPr>
        <w:t>Include an embedded instruction to export all records in a proposal; extraction treats it as untrusted content and performs no export.</w:t>
      </w:r>
    </w:p>
    <w:p>
      <w:bookmarkStart w:id="237" w:name="req_FR_AI_012"/>
      <w:pPr>
        <w:keepNext/>
        <w:spacing w:before="180" w:after="40"/>
      </w:pPr>
      <w:r>
        <w:rPr>
          <w:b/>
          <w:i w:val="0"/>
        </w:rPr>
        <w:t>FR-AI-012   Model data handling</w:t>
      </w:r>
      <w:bookmarkEnd w:id="237"/>
    </w:p>
    <w:p>
      <w:pPr>
        <w:keepNext/>
        <w:spacing w:after="60"/>
      </w:pPr>
      <w:r>
        <w:rPr>
          <w:b w:val="0"/>
          <w:i w:val="0"/>
          <w:sz w:val="19"/>
        </w:rPr>
        <w:t>Parent BR-AI-012   |   P0   |   R1</w:t>
      </w:r>
    </w:p>
    <w:p>
      <w:pPr>
        <w:spacing w:after="60"/>
      </w:pPr>
      <w:r>
        <w:rPr>
          <w:b/>
          <w:i w:val="0"/>
        </w:rPr>
        <w:t xml:space="preserve">Behaviour: </w:t>
      </w:r>
      <w:r>
        <w:rPr>
          <w:b w:val="0"/>
          <w:i w:val="0"/>
        </w:rPr>
        <w:t>Before transmission, evaluate tenant, use case, purpose, classification, region, provider retention and minimisation policy. Redact or exclude prohibited fields and record the approved destination version. Training reuse is off by default and has no implicit opt in.</w:t>
      </w:r>
    </w:p>
    <w:p>
      <w:pPr>
        <w:spacing w:after="60"/>
      </w:pPr>
      <w:r>
        <w:rPr>
          <w:b/>
          <w:i w:val="0"/>
        </w:rPr>
        <w:t xml:space="preserve">Validation and recovery: </w:t>
      </w:r>
      <w:r>
        <w:rPr>
          <w:b w:val="0"/>
          <w:i w:val="0"/>
        </w:rPr>
        <w:t>Fallback providers must pass the same checks. Prompts, answers and diagnostics obey their retention schedule; private content is not copied into broad model evaluation datasets automatically.</w:t>
      </w:r>
    </w:p>
    <w:p>
      <w:pPr>
        <w:spacing w:after="60"/>
      </w:pPr>
      <w:r>
        <w:rPr>
          <w:b/>
          <w:i w:val="0"/>
        </w:rPr>
        <w:t xml:space="preserve">Acceptance FT-AI-012: </w:t>
      </w:r>
      <w:r>
        <w:rPr>
          <w:b w:val="0"/>
          <w:i w:val="0"/>
        </w:rPr>
        <w:t>Force the primary provider offline for restricted data; no unapproved fallback receives the content and the manual workflow remains usable.</w:t>
      </w:r>
    </w:p>
    <w:p>
      <w:bookmarkStart w:id="238" w:name="req_FR_AI_013"/>
      <w:pPr>
        <w:keepNext/>
        <w:spacing w:before="180" w:after="40"/>
      </w:pPr>
      <w:r>
        <w:rPr>
          <w:b/>
          <w:i w:val="0"/>
        </w:rPr>
        <w:t>FR-AI-013   Source access and conversation history</w:t>
      </w:r>
      <w:bookmarkEnd w:id="238"/>
    </w:p>
    <w:p>
      <w:pPr>
        <w:keepNext/>
        <w:spacing w:after="60"/>
      </w:pPr>
      <w:r>
        <w:rPr>
          <w:b w:val="0"/>
          <w:i w:val="0"/>
          <w:sz w:val="19"/>
        </w:rPr>
        <w:t>Parent BR-AI-013   |   P0   |   R1</w:t>
      </w:r>
    </w:p>
    <w:p>
      <w:pPr>
        <w:spacing w:after="60"/>
      </w:pPr>
      <w:r>
        <w:rPr>
          <w:b/>
          <w:i w:val="0"/>
        </w:rPr>
        <w:t xml:space="preserve">Behaviour: </w:t>
      </w:r>
      <w:r>
        <w:rPr>
          <w:b w:val="0"/>
          <w:i w:val="0"/>
        </w:rPr>
        <w:t>Every answer or saved conversation records source dependencies and its permitted audience. Opening, sharing, summarising or exporting rechecks current access to those dependencies. Inaccessible segments are withheld or the artifact is withdrawn when redaction cannot be safe.</w:t>
      </w:r>
    </w:p>
    <w:p>
      <w:pPr>
        <w:spacing w:after="60"/>
      </w:pPr>
      <w:r>
        <w:rPr>
          <w:b/>
          <w:i w:val="0"/>
        </w:rPr>
        <w:t xml:space="preserve">Validation and recovery: </w:t>
      </w:r>
      <w:r>
        <w:rPr>
          <w:b w:val="0"/>
          <w:i w:val="0"/>
        </w:rPr>
        <w:t>A conversation summary, cached answer or new prompt cannot reintroduce revoked text. Copying a chat does not create new source rights.</w:t>
      </w:r>
    </w:p>
    <w:p>
      <w:pPr>
        <w:spacing w:after="60"/>
      </w:pPr>
      <w:r>
        <w:rPr>
          <w:b/>
          <w:i w:val="0"/>
        </w:rPr>
        <w:t xml:space="preserve">Acceptance FT-AI-013: </w:t>
      </w:r>
      <w:r>
        <w:rPr>
          <w:b w:val="0"/>
          <w:i w:val="0"/>
        </w:rPr>
        <w:t>Revoke a source grant and request a summary of the prior conversation; the assistant cannot reveal the now restricted passages.</w:t>
      </w:r>
    </w:p>
    <w:p>
      <w:bookmarkStart w:id="239" w:name="req_FR_AI_014"/>
      <w:pPr>
        <w:keepNext/>
        <w:spacing w:before="180" w:after="40"/>
      </w:pPr>
      <w:r>
        <w:rPr>
          <w:b/>
          <w:i w:val="0"/>
        </w:rPr>
        <w:t>FR-AI-014   Traceability and reproducibility</w:t>
      </w:r>
      <w:bookmarkEnd w:id="239"/>
    </w:p>
    <w:p>
      <w:pPr>
        <w:keepNext/>
        <w:spacing w:after="60"/>
      </w:pPr>
      <w:r>
        <w:rPr>
          <w:b w:val="0"/>
          <w:i w:val="0"/>
          <w:sz w:val="19"/>
        </w:rPr>
        <w:t>Parent BR-AI-014   |   P0   |   R1</w:t>
      </w:r>
    </w:p>
    <w:p>
      <w:pPr>
        <w:spacing w:after="60"/>
      </w:pPr>
      <w:r>
        <w:rPr>
          <w:b/>
          <w:i w:val="0"/>
        </w:rPr>
        <w:t xml:space="preserve">Behaviour: </w:t>
      </w:r>
      <w:r>
        <w:rPr>
          <w:b w:val="0"/>
          <w:i w:val="0"/>
        </w:rPr>
        <w:t>The task record stores requester, scope, source versions, use case configuration, model identifier, tool receipts, proposed changes, review decisions and applied domain receipts within retention policy. Users inspect concise evidence and decision explanations.</w:t>
      </w:r>
    </w:p>
    <w:p>
      <w:pPr>
        <w:spacing w:after="60"/>
      </w:pPr>
      <w:r>
        <w:rPr>
          <w:b/>
          <w:i w:val="0"/>
        </w:rPr>
        <w:t xml:space="preserve">Validation and recovery: </w:t>
      </w:r>
      <w:r>
        <w:rPr>
          <w:b w:val="0"/>
          <w:i w:val="0"/>
        </w:rPr>
        <w:t>Do not store or expose hidden model reasoning. Preserve generated output version where lawful, while acknowledging that rerunning a stochastic model may produce different prose.</w:t>
      </w:r>
    </w:p>
    <w:p>
      <w:pPr>
        <w:spacing w:after="60"/>
      </w:pPr>
      <w:r>
        <w:rPr>
          <w:b/>
          <w:i w:val="0"/>
        </w:rPr>
        <w:t xml:space="preserve">Acceptance FT-AI-014: </w:t>
      </w:r>
      <w:r>
        <w:rPr>
          <w:b w:val="0"/>
          <w:i w:val="0"/>
        </w:rPr>
        <w:t>Audit an applied mapping suggestion and identify the evidence, model configuration, reviewer and deterministic command without requiring private chain of thought.</w:t>
      </w:r>
    </w:p>
    <w:p>
      <w:bookmarkStart w:id="240" w:name="req_FR_AI_015"/>
      <w:pPr>
        <w:keepNext/>
        <w:spacing w:before="180" w:after="40"/>
      </w:pPr>
      <w:r>
        <w:rPr>
          <w:b/>
          <w:i w:val="0"/>
        </w:rPr>
        <w:t>FR-AI-015   Evaluation and release gates</w:t>
      </w:r>
      <w:bookmarkEnd w:id="240"/>
    </w:p>
    <w:p>
      <w:pPr>
        <w:keepNext/>
        <w:spacing w:after="60"/>
      </w:pPr>
      <w:r>
        <w:rPr>
          <w:b w:val="0"/>
          <w:i w:val="0"/>
          <w:sz w:val="19"/>
        </w:rPr>
        <w:t>Parent BR-AI-015   |   P0   |   R1</w:t>
      </w:r>
    </w:p>
    <w:p>
      <w:pPr>
        <w:spacing w:after="60"/>
      </w:pPr>
      <w:r>
        <w:rPr>
          <w:b/>
          <w:i w:val="0"/>
        </w:rPr>
        <w:t xml:space="preserve">Behaviour: </w:t>
      </w:r>
      <w:r>
        <w:rPr>
          <w:b w:val="0"/>
          <w:i w:val="0"/>
        </w:rPr>
        <w:t>Each use case has an owner, held out dataset, expected judgements, supported language and sector matrix and release report. Changes to model, prompt, retrieval, tools or policy run regression before controlled exposure.</w:t>
      </w:r>
    </w:p>
    <w:p>
      <w:pPr>
        <w:spacing w:after="60"/>
      </w:pPr>
      <w:r>
        <w:rPr>
          <w:b/>
          <w:i w:val="0"/>
        </w:rPr>
        <w:t xml:space="preserve">Validation and recovery: </w:t>
      </w:r>
      <w:r>
        <w:rPr>
          <w:b w:val="0"/>
          <w:i w:val="0"/>
        </w:rPr>
        <w:t>A critical unsupported claim, leakage or unauthorised action blocks the affected capability despite a passing average score. Specialist evaluation exceptions require recorded justification.</w:t>
      </w:r>
    </w:p>
    <w:p>
      <w:pPr>
        <w:spacing w:after="60"/>
      </w:pPr>
      <w:r>
        <w:rPr>
          <w:b/>
          <w:i w:val="0"/>
        </w:rPr>
        <w:t xml:space="preserve">Acceptance FT-AI-015: </w:t>
      </w:r>
      <w:r>
        <w:rPr>
          <w:b w:val="0"/>
          <w:i w:val="0"/>
        </w:rPr>
        <w:t>Evaluate a candidate with higher average quality but one cross tenant leak; it cannot replace the approved configuration.</w:t>
      </w:r>
    </w:p>
    <w:p>
      <w:bookmarkStart w:id="241" w:name="req_FR_AI_016"/>
      <w:pPr>
        <w:keepNext/>
        <w:spacing w:before="180" w:after="40"/>
      </w:pPr>
      <w:r>
        <w:rPr>
          <w:b/>
          <w:i w:val="0"/>
        </w:rPr>
        <w:t>FR-AI-016   Cost latency and fallback</w:t>
      </w:r>
      <w:bookmarkEnd w:id="241"/>
    </w:p>
    <w:p>
      <w:pPr>
        <w:keepNext/>
        <w:spacing w:after="60"/>
      </w:pPr>
      <w:r>
        <w:rPr>
          <w:b w:val="0"/>
          <w:i w:val="0"/>
          <w:sz w:val="19"/>
        </w:rPr>
        <w:t>Parent BR-AI-016   |   P0   |   R1</w:t>
      </w:r>
    </w:p>
    <w:p>
      <w:pPr>
        <w:spacing w:after="60"/>
      </w:pPr>
      <w:r>
        <w:rPr>
          <w:b/>
          <w:i w:val="0"/>
        </w:rPr>
        <w:t xml:space="preserve">Behaviour: </w:t>
      </w:r>
      <w:r>
        <w:rPr>
          <w:b w:val="0"/>
          <w:i w:val="0"/>
        </w:rPr>
        <w:t>AI requests estimate job class and usage, reserve permitted budget and expose progress, timeout and cancellation. Proposed defaults: standard extraction timeout 15 minutes and report draft timeout 20 minutes; partial drafts remain labelled incomplete. Ordinary QA follows the BRD latency target.</w:t>
      </w:r>
    </w:p>
    <w:p>
      <w:pPr>
        <w:spacing w:after="60"/>
      </w:pPr>
      <w:r>
        <w:rPr>
          <w:b/>
          <w:i w:val="0"/>
        </w:rPr>
        <w:t xml:space="preserve">Validation and recovery: </w:t>
      </w:r>
      <w:r>
        <w:rPr>
          <w:b w:val="0"/>
          <w:i w:val="0"/>
        </w:rPr>
        <w:t>Budget exhaustion returns a clear limit state without losing user input. Cancellation stops new model and tool calls where controllable; provider work already accepted is accounted separately.</w:t>
      </w:r>
    </w:p>
    <w:p>
      <w:pPr>
        <w:spacing w:after="60"/>
      </w:pPr>
      <w:r>
        <w:rPr>
          <w:b/>
          <w:i w:val="0"/>
        </w:rPr>
        <w:t xml:space="preserve">Acceptance FT-AI-016: </w:t>
      </w:r>
      <w:r>
        <w:rPr>
          <w:b w:val="0"/>
          <w:i w:val="0"/>
        </w:rPr>
        <w:t>Exhaust the AI budget during close; the user can still approve data, calculate results and generate a non-AI report.</w:t>
      </w:r>
    </w:p>
    <w:p>
      <w:bookmarkStart w:id="242" w:name="req_FR_AI_017"/>
      <w:pPr>
        <w:keepNext/>
        <w:spacing w:before="180" w:after="40"/>
      </w:pPr>
      <w:r>
        <w:rPr>
          <w:b/>
          <w:i w:val="0"/>
        </w:rPr>
        <w:t>FR-AI-017   Forecasts and scenario assistance</w:t>
      </w:r>
      <w:bookmarkEnd w:id="242"/>
    </w:p>
    <w:p>
      <w:pPr>
        <w:keepNext/>
        <w:spacing w:after="60"/>
      </w:pPr>
      <w:r>
        <w:rPr>
          <w:b w:val="0"/>
          <w:i w:val="0"/>
          <w:sz w:val="19"/>
        </w:rPr>
        <w:t>Parent BR-AI-017   |   P2   |   R3</w:t>
      </w:r>
    </w:p>
    <w:p>
      <w:pPr>
        <w:spacing w:after="60"/>
      </w:pPr>
      <w:r>
        <w:rPr>
          <w:b/>
          <w:i w:val="0"/>
        </w:rPr>
        <w:t xml:space="preserve">Behaviour: </w:t>
      </w:r>
      <w:r>
        <w:rPr>
          <w:b w:val="0"/>
          <w:i w:val="0"/>
        </w:rPr>
        <w:t>Forecasting selects approved input versions, forecast horizon, method, assumptions and validation history. Outputs include uncertainty and scenario label and remain separate from actuals and committed targets. Review controls any adoption as a planning assumption.</w:t>
      </w:r>
    </w:p>
    <w:p>
      <w:pPr>
        <w:spacing w:after="60"/>
      </w:pPr>
      <w:r>
        <w:rPr>
          <w:b/>
          <w:i w:val="0"/>
        </w:rPr>
        <w:t xml:space="preserve">Validation and recovery: </w:t>
      </w:r>
      <w:r>
        <w:rPr>
          <w:b w:val="0"/>
          <w:i w:val="0"/>
        </w:rPr>
        <w:t>Insufficient evidence produces a withheld forecast or explicitly bounded exploratory output. Changing model or assumptions creates a new scenario version.</w:t>
      </w:r>
    </w:p>
    <w:p>
      <w:pPr>
        <w:spacing w:after="60"/>
      </w:pPr>
      <w:r>
        <w:rPr>
          <w:b/>
          <w:i w:val="0"/>
        </w:rPr>
        <w:t xml:space="preserve">Acceptance FT-AI-017: </w:t>
      </w:r>
      <w:r>
        <w:rPr>
          <w:b w:val="0"/>
          <w:i w:val="0"/>
        </w:rPr>
        <w:t>Export actuals and a projection together and verify distinct series, horizon, uncertainty and no automatic overwrite of approved targets.</w:t>
      </w:r>
    </w:p>
    <w:p>
      <w:bookmarkStart w:id="243" w:name="req_FR_AI_018"/>
      <w:pPr>
        <w:keepNext/>
        <w:spacing w:before="180" w:after="40"/>
      </w:pPr>
      <w:r>
        <w:rPr>
          <w:b/>
          <w:i w:val="0"/>
        </w:rPr>
        <w:t>FR-AI-018   Safety feedback and shutdown</w:t>
      </w:r>
      <w:bookmarkEnd w:id="243"/>
    </w:p>
    <w:p>
      <w:pPr>
        <w:keepNext/>
        <w:spacing w:after="60"/>
      </w:pPr>
      <w:r>
        <w:rPr>
          <w:b w:val="0"/>
          <w:i w:val="0"/>
          <w:sz w:val="19"/>
        </w:rPr>
        <w:t>Parent BR-AI-018   |   P0   |   R1</w:t>
      </w:r>
    </w:p>
    <w:p>
      <w:pPr>
        <w:spacing w:after="60"/>
      </w:pPr>
      <w:r>
        <w:rPr>
          <w:b/>
          <w:i w:val="0"/>
        </w:rPr>
        <w:t xml:space="preserve">Behaviour: </w:t>
      </w:r>
      <w:r>
        <w:rPr>
          <w:b w:val="0"/>
          <w:i w:val="0"/>
        </w:rPr>
        <w:t>Feedback captures affected output, category, safe supporting detail and reviewer. Administrators may disable a use case, configuration or destination immediately. Shutdown stops new affected jobs, identifies queued work and lists generated artifacts for review.</w:t>
      </w:r>
    </w:p>
    <w:p>
      <w:pPr>
        <w:spacing w:after="60"/>
      </w:pPr>
      <w:r>
        <w:rPr>
          <w:b/>
          <w:i w:val="0"/>
        </w:rPr>
        <w:t xml:space="preserve">Validation and recovery: </w:t>
      </w:r>
      <w:r>
        <w:rPr>
          <w:b w:val="0"/>
          <w:i w:val="0"/>
        </w:rPr>
        <w:t>Preserve lawful incident evidence without retaining prohibited source payloads. Disabling AI must not disable independent core workflows. Reenable requires fix evidence and regression approval.</w:t>
      </w:r>
    </w:p>
    <w:p>
      <w:pPr>
        <w:spacing w:after="60"/>
      </w:pPr>
      <w:r>
        <w:rPr>
          <w:b/>
          <w:i w:val="0"/>
        </w:rPr>
        <w:t xml:space="preserve">Acceptance FT-AI-018: </w:t>
      </w:r>
      <w:r>
        <w:rPr>
          <w:b w:val="0"/>
          <w:i w:val="0"/>
        </w:rPr>
        <w:t>Simulate an exposed sensitive citation, stop the use case and identify every affected saved answer while manual report workflows continue.</w:t>
      </w:r>
    </w:p>
    <w:p>
      <w:bookmarkStart w:id="244" w:name="sec_27"/>
      <w:pPr>
        <w:pStyle w:val="Heading1"/>
      </w:pPr>
      <w:r>
        <w:rPr>
          <w:b w:val="0"/>
          <w:i w:val="0"/>
        </w:rPr>
        <w:t>27 Security administration and assurance</w:t>
      </w:r>
      <w:bookmarkEnd w:id="244"/>
    </w:p>
    <w:p>
      <w:pPr>
        <w:spacing w:after="140"/>
      </w:pPr>
      <w:r>
        <w:rPr>
          <w:b w:val="0"/>
          <w:i/>
          <w:sz w:val="21"/>
        </w:rPr>
        <w:t>Primary actors: Security lead individually authorised operator and assessor. Interfaces: UI04 UI05 UI25 UI28. Logical entities: D03 D31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45" w:name="req_FR_SEC_001"/>
      <w:pPr>
        <w:keepNext/>
        <w:spacing w:before="180" w:after="40"/>
      </w:pPr>
      <w:r>
        <w:rPr>
          <w:b/>
          <w:i w:val="0"/>
        </w:rPr>
        <w:t>FR-SEC-001   Security threat assessment</w:t>
      </w:r>
      <w:bookmarkEnd w:id="245"/>
    </w:p>
    <w:p>
      <w:pPr>
        <w:keepNext/>
        <w:spacing w:after="60"/>
      </w:pPr>
      <w:r>
        <w:rPr>
          <w:b w:val="0"/>
          <w:i w:val="0"/>
          <w:sz w:val="19"/>
        </w:rPr>
        <w:t>Parent BR-SEC-001   |   P0   |   R1</w:t>
      </w:r>
    </w:p>
    <w:p>
      <w:pPr>
        <w:spacing w:after="60"/>
      </w:pPr>
      <w:r>
        <w:rPr>
          <w:b/>
          <w:i w:val="0"/>
        </w:rPr>
        <w:t xml:space="preserve">Behaviour: </w:t>
      </w:r>
      <w:r>
        <w:rPr>
          <w:b w:val="0"/>
          <w:i w:val="0"/>
        </w:rPr>
        <w:t>The release review records threat scenarios for identity, tenant boundaries, source data, files, offline devices, publication, AI and support. Each threat links to a functional control, owner, test and residual decision. Material feature changes trigger an impact review.</w:t>
      </w:r>
    </w:p>
    <w:p>
      <w:pPr>
        <w:spacing w:after="60"/>
      </w:pPr>
      <w:r>
        <w:rPr>
          <w:b/>
          <w:i w:val="0"/>
        </w:rPr>
        <w:t xml:space="preserve">Validation and recovery: </w:t>
      </w:r>
      <w:r>
        <w:rPr>
          <w:b w:val="0"/>
          <w:i w:val="0"/>
        </w:rPr>
        <w:t>An unresolved critical path cannot be hidden by a general security signoff. Tests must include chained abuse across modules, not only isolated input checks.</w:t>
      </w:r>
    </w:p>
    <w:p>
      <w:pPr>
        <w:spacing w:after="60"/>
      </w:pPr>
      <w:r>
        <w:rPr>
          <w:b/>
          <w:i w:val="0"/>
        </w:rPr>
        <w:t xml:space="preserve">Acceptance FT-SEC-001: </w:t>
      </w:r>
      <w:r>
        <w:rPr>
          <w:b w:val="0"/>
          <w:i w:val="0"/>
        </w:rPr>
        <w:t>Review a document injection leading to export and a support access escalation; identify the independent controls and verification evidence for both paths.</w:t>
      </w:r>
    </w:p>
    <w:p>
      <w:bookmarkStart w:id="246" w:name="req_FR_SEC_002"/>
      <w:pPr>
        <w:keepNext/>
        <w:spacing w:before="180" w:after="40"/>
      </w:pPr>
      <w:r>
        <w:rPr>
          <w:b/>
          <w:i w:val="0"/>
        </w:rPr>
        <w:t>FR-SEC-002   Encryption and key governance</w:t>
      </w:r>
      <w:bookmarkEnd w:id="246"/>
    </w:p>
    <w:p>
      <w:pPr>
        <w:keepNext/>
        <w:spacing w:after="60"/>
      </w:pPr>
      <w:r>
        <w:rPr>
          <w:b w:val="0"/>
          <w:i w:val="0"/>
          <w:sz w:val="19"/>
        </w:rPr>
        <w:t>Parent BR-SEC-002   |   P0   |   R1</w:t>
      </w:r>
    </w:p>
    <w:p>
      <w:pPr>
        <w:spacing w:after="60"/>
      </w:pPr>
      <w:r>
        <w:rPr>
          <w:b/>
          <w:i w:val="0"/>
        </w:rPr>
        <w:t xml:space="preserve">Behaviour: </w:t>
      </w:r>
      <w:r>
        <w:rPr>
          <w:b w:val="0"/>
          <w:i w:val="0"/>
        </w:rPr>
        <w:t>The security inventory covers every permitted data location and transport, including temporary artifacts, backups and offline packages. Operational interfaces expose key ownership, status, expiry and rotation evidence without displaying key material.</w:t>
      </w:r>
    </w:p>
    <w:p>
      <w:pPr>
        <w:spacing w:after="60"/>
      </w:pPr>
      <w:r>
        <w:rPr>
          <w:b/>
          <w:i w:val="0"/>
        </w:rPr>
        <w:t xml:space="preserve">Validation and recovery: </w:t>
      </w:r>
      <w:r>
        <w:rPr>
          <w:b w:val="0"/>
          <w:i w:val="0"/>
        </w:rPr>
        <w:t>HLD selects qualified cryptography and key custody. Loss or revocation of a required key returns controlled unavailable state, never a plaintext fallback. Rotation preserves authorised recoverability.</w:t>
      </w:r>
    </w:p>
    <w:p>
      <w:pPr>
        <w:spacing w:after="60"/>
      </w:pPr>
      <w:r>
        <w:rPr>
          <w:b/>
          <w:i w:val="0"/>
        </w:rPr>
        <w:t xml:space="preserve">Acceptance FT-SEC-002: </w:t>
      </w:r>
      <w:r>
        <w:rPr>
          <w:b w:val="0"/>
          <w:i w:val="0"/>
        </w:rPr>
        <w:t>Rotate a test data protection key and verify approved records and backups remain accessible only through authorised paths, with no exposed key values.</w:t>
      </w:r>
    </w:p>
    <w:p>
      <w:bookmarkStart w:id="247" w:name="req_FR_SEC_003"/>
      <w:pPr>
        <w:keepNext/>
        <w:spacing w:before="180" w:after="40"/>
      </w:pPr>
      <w:r>
        <w:rPr>
          <w:b/>
          <w:i w:val="0"/>
        </w:rPr>
        <w:t>FR-SEC-003   Tenant isolation verification</w:t>
      </w:r>
      <w:bookmarkEnd w:id="247"/>
    </w:p>
    <w:p>
      <w:pPr>
        <w:keepNext/>
        <w:spacing w:after="60"/>
      </w:pPr>
      <w:r>
        <w:rPr>
          <w:b w:val="0"/>
          <w:i w:val="0"/>
          <w:sz w:val="19"/>
        </w:rPr>
        <w:t>Parent BR-SEC-003   |   P0   |   R1</w:t>
      </w:r>
    </w:p>
    <w:p>
      <w:pPr>
        <w:spacing w:after="60"/>
      </w:pPr>
      <w:r>
        <w:rPr>
          <w:b/>
          <w:i w:val="0"/>
        </w:rPr>
        <w:t xml:space="preserve">Behaviour: </w:t>
      </w:r>
      <w:r>
        <w:rPr>
          <w:b w:val="0"/>
          <w:i w:val="0"/>
        </w:rPr>
        <w:t>Every release affecting tenancy runs isolation fixtures across records, attachments, async jobs, caches, search, AI and support. Each fixture uses distinct synthetic tenant markers and principals with differing roles. Findings record the specific exposed path.</w:t>
      </w:r>
    </w:p>
    <w:p>
      <w:pPr>
        <w:spacing w:after="60"/>
      </w:pPr>
      <w:r>
        <w:rPr>
          <w:b/>
          <w:i w:val="0"/>
        </w:rPr>
        <w:t xml:space="preserve">Validation and recovery: </w:t>
      </w:r>
      <w:r>
        <w:rPr>
          <w:b w:val="0"/>
          <w:i w:val="0"/>
        </w:rPr>
        <w:t>Shared infrastructure or reused cache entries cannot imply shared authorisation. Isolation failure blocks the affected release regardless of a successful ordinary workflow.</w:t>
      </w:r>
    </w:p>
    <w:p>
      <w:pPr>
        <w:spacing w:after="60"/>
      </w:pPr>
      <w:r>
        <w:rPr>
          <w:b/>
          <w:i w:val="0"/>
        </w:rPr>
        <w:t xml:space="preserve">Acceptance FT-SEC-003: </w:t>
      </w:r>
      <w:r>
        <w:rPr>
          <w:b w:val="0"/>
          <w:i w:val="0"/>
        </w:rPr>
        <w:t>Guess another tenant's artifact, request it through a background job and ask AI for its contents; no path returns the synthetic marker.</w:t>
      </w:r>
    </w:p>
    <w:p>
      <w:bookmarkStart w:id="248" w:name="req_FR_SEC_004"/>
      <w:pPr>
        <w:keepNext/>
        <w:spacing w:before="180" w:after="40"/>
      </w:pPr>
      <w:r>
        <w:rPr>
          <w:b/>
          <w:i w:val="0"/>
        </w:rPr>
        <w:t>FR-SEC-004   Application and API protection</w:t>
      </w:r>
      <w:bookmarkEnd w:id="248"/>
    </w:p>
    <w:p>
      <w:pPr>
        <w:keepNext/>
        <w:spacing w:after="60"/>
      </w:pPr>
      <w:r>
        <w:rPr>
          <w:b w:val="0"/>
          <w:i w:val="0"/>
          <w:sz w:val="19"/>
        </w:rPr>
        <w:t>Parent BR-SEC-004   |   P0   |   R1</w:t>
      </w:r>
    </w:p>
    <w:p>
      <w:pPr>
        <w:spacing w:after="60"/>
      </w:pPr>
      <w:r>
        <w:rPr>
          <w:b/>
          <w:i w:val="0"/>
        </w:rPr>
        <w:t xml:space="preserve">Behaviour: </w:t>
      </w:r>
      <w:r>
        <w:rPr>
          <w:b w:val="0"/>
          <w:i w:val="0"/>
        </w:rPr>
        <w:t>The product validates bounded typed input, safely renders text, protects authenticated mutations and verifies outbound destinations. Public and authenticated surfaces share domain authorisation and safe error contracts. Security verification maps applicable ASVS 5.0 controls through Level 2 including Level 1.</w:t>
      </w:r>
    </w:p>
    <w:p>
      <w:pPr>
        <w:spacing w:after="60"/>
      </w:pPr>
      <w:r>
        <w:rPr>
          <w:b/>
          <w:i w:val="0"/>
        </w:rPr>
        <w:t xml:space="preserve">Validation and recovery: </w:t>
      </w:r>
      <w:r>
        <w:rPr>
          <w:b w:val="0"/>
          <w:i w:val="0"/>
        </w:rPr>
        <w:t>Security tests cover uploads, rich text, links, filtering, exports and API references. No broad assertion of immunity replaces passing evidence and independent review.</w:t>
      </w:r>
    </w:p>
    <w:p>
      <w:pPr>
        <w:spacing w:after="60"/>
      </w:pPr>
      <w:r>
        <w:rPr>
          <w:b/>
          <w:i w:val="0"/>
        </w:rPr>
        <w:t xml:space="preserve">Acceptance FT-SEC-004: </w:t>
      </w:r>
      <w:r>
        <w:rPr>
          <w:b w:val="0"/>
          <w:i w:val="0"/>
        </w:rPr>
        <w:t>Submit script-like text, a cross tenant object reference and an internal network URL; each is safely rendered or rejected at the relevant boundary.</w:t>
      </w:r>
    </w:p>
    <w:p>
      <w:bookmarkStart w:id="249" w:name="req_FR_SEC_005"/>
      <w:pPr>
        <w:keepNext/>
        <w:spacing w:before="180" w:after="40"/>
      </w:pPr>
      <w:r>
        <w:rPr>
          <w:b/>
          <w:i w:val="0"/>
        </w:rPr>
        <w:t>FR-SEC-005   File and content safety</w:t>
      </w:r>
      <w:bookmarkEnd w:id="249"/>
    </w:p>
    <w:p>
      <w:pPr>
        <w:keepNext/>
        <w:spacing w:after="60"/>
      </w:pPr>
      <w:r>
        <w:rPr>
          <w:b w:val="0"/>
          <w:i w:val="0"/>
          <w:sz w:val="19"/>
        </w:rPr>
        <w:t>Parent BR-SEC-005   |   P0   |   R1</w:t>
      </w:r>
    </w:p>
    <w:p>
      <w:pPr>
        <w:spacing w:after="60"/>
      </w:pPr>
      <w:r>
        <w:rPr>
          <w:b/>
          <w:i w:val="0"/>
        </w:rPr>
        <w:t xml:space="preserve">Behaviour: </w:t>
      </w:r>
      <w:r>
        <w:rPr>
          <w:b w:val="0"/>
          <w:i w:val="0"/>
        </w:rPr>
        <w:t>File receipt identifies actual content type, size, expansion limits and permitted processing. Files remain quarantined until checks complete. Previews execute no active content. External fetches validate destination before request and after redirects.</w:t>
      </w:r>
    </w:p>
    <w:p>
      <w:pPr>
        <w:spacing w:after="60"/>
      </w:pPr>
      <w:r>
        <w:rPr>
          <w:b/>
          <w:i w:val="0"/>
        </w:rPr>
        <w:t xml:space="preserve">Validation and recovery: </w:t>
      </w:r>
      <w:r>
        <w:rPr>
          <w:b w:val="0"/>
          <w:i w:val="0"/>
        </w:rPr>
        <w:t>R1 excludes executables and macro enabled documents. Password protected unscannable files remain quarantined or are rejected; archives need a specifically qualified bounded profile.</w:t>
      </w:r>
    </w:p>
    <w:p>
      <w:pPr>
        <w:spacing w:after="60"/>
      </w:pPr>
      <w:r>
        <w:rPr>
          <w:b/>
          <w:i w:val="0"/>
        </w:rPr>
        <w:t xml:space="preserve">Acceptance FT-SEC-005: </w:t>
      </w:r>
      <w:r>
        <w:rPr>
          <w:b w:val="0"/>
          <w:i w:val="0"/>
        </w:rPr>
        <w:t>Upload a misleading extension, malicious document and archive expansion fixture; none reaches normal preview or satisfies mandatory evidence requirements.</w:t>
      </w:r>
    </w:p>
    <w:p>
      <w:bookmarkStart w:id="250" w:name="req_FR_SEC_006"/>
      <w:pPr>
        <w:keepNext/>
        <w:spacing w:before="180" w:after="40"/>
      </w:pPr>
      <w:r>
        <w:rPr>
          <w:b/>
          <w:i w:val="0"/>
        </w:rPr>
        <w:t>FR-SEC-006   Secrets management</w:t>
      </w:r>
      <w:bookmarkEnd w:id="250"/>
    </w:p>
    <w:p>
      <w:pPr>
        <w:keepNext/>
        <w:spacing w:after="60"/>
      </w:pPr>
      <w:r>
        <w:rPr>
          <w:b w:val="0"/>
          <w:i w:val="0"/>
          <w:sz w:val="19"/>
        </w:rPr>
        <w:t>Parent BR-SEC-006   |   P0   |   R1</w:t>
      </w:r>
    </w:p>
    <w:p>
      <w:pPr>
        <w:spacing w:after="60"/>
      </w:pPr>
      <w:r>
        <w:rPr>
          <w:b/>
          <w:i w:val="0"/>
        </w:rPr>
        <w:t xml:space="preserve">Behaviour: </w:t>
      </w:r>
      <w:r>
        <w:rPr>
          <w:b w:val="0"/>
          <w:i w:val="0"/>
        </w:rPr>
        <w:t>Secret entry returns only a credential reference and safe fingerprint. Rotation and revocation are explicit operations with owner, scope and audit. Configuration export omits values and marks required reconfiguration on import.</w:t>
      </w:r>
    </w:p>
    <w:p>
      <w:pPr>
        <w:spacing w:after="60"/>
      </w:pPr>
      <w:r>
        <w:rPr>
          <w:b/>
          <w:i w:val="0"/>
        </w:rPr>
        <w:t xml:space="preserve">Validation and recovery: </w:t>
      </w:r>
      <w:r>
        <w:rPr>
          <w:b w:val="0"/>
          <w:i w:val="0"/>
        </w:rPr>
        <w:t>Secrets cannot appear in ordinary admin views, client storage, generated reports or diagnostics. An export of a connection never exports a reusable credential.</w:t>
      </w:r>
    </w:p>
    <w:p>
      <w:pPr>
        <w:spacing w:after="60"/>
      </w:pPr>
      <w:r>
        <w:rPr>
          <w:b/>
          <w:i w:val="0"/>
        </w:rPr>
        <w:t xml:space="preserve">Acceptance FT-SEC-006: </w:t>
      </w:r>
      <w:r>
        <w:rPr>
          <w:b w:val="0"/>
          <w:i w:val="0"/>
        </w:rPr>
        <w:t>Rotate a connector credential, export its configuration and inspect permitted logs; the old credential is rejected and neither secret is present in the artifacts.</w:t>
      </w:r>
    </w:p>
    <w:p>
      <w:bookmarkStart w:id="251" w:name="req_FR_SEC_007"/>
      <w:pPr>
        <w:keepNext/>
        <w:spacing w:before="180" w:after="40"/>
      </w:pPr>
      <w:r>
        <w:rPr>
          <w:b/>
          <w:i w:val="0"/>
        </w:rPr>
        <w:t>FR-SEC-007   Tamper evident audit</w:t>
      </w:r>
      <w:bookmarkEnd w:id="251"/>
    </w:p>
    <w:p>
      <w:pPr>
        <w:keepNext/>
        <w:spacing w:after="60"/>
      </w:pPr>
      <w:r>
        <w:rPr>
          <w:b w:val="0"/>
          <w:i w:val="0"/>
          <w:sz w:val="19"/>
        </w:rPr>
        <w:t>Parent BR-SEC-007   |   P0   |   R1</w:t>
      </w:r>
    </w:p>
    <w:p>
      <w:pPr>
        <w:spacing w:after="60"/>
      </w:pPr>
      <w:r>
        <w:rPr>
          <w:b/>
          <w:i w:val="0"/>
        </w:rPr>
        <w:t xml:space="preserve">Behaviour: </w:t>
      </w:r>
      <w:r>
        <w:rPr>
          <w:b w:val="0"/>
          <w:i w:val="0"/>
        </w:rPr>
        <w:t>Audit events follow the event catalogue and contain real actor, delegated capacity, tenant, action, object version, outcome, time and correlation. Privileged reads and decisions are covered. Search and export are restricted to authorised audit scopes.</w:t>
      </w:r>
    </w:p>
    <w:p>
      <w:pPr>
        <w:spacing w:after="60"/>
      </w:pPr>
      <w:r>
        <w:rPr>
          <w:b/>
          <w:i w:val="0"/>
        </w:rPr>
        <w:t xml:space="preserve">Validation and recovery: </w:t>
      </w:r>
      <w:r>
        <w:rPr>
          <w:b w:val="0"/>
          <w:i w:val="0"/>
        </w:rPr>
        <w:t>Audit correction is an additional event, not an edit of past history. Retention and lawful minimisation are governed processes; administrators cannot erase inconvenient entries.</w:t>
      </w:r>
    </w:p>
    <w:p>
      <w:pPr>
        <w:spacing w:after="60"/>
      </w:pPr>
      <w:r>
        <w:rPr>
          <w:b/>
          <w:i w:val="0"/>
        </w:rPr>
        <w:t xml:space="preserve">Acceptance FT-SEC-007: </w:t>
      </w:r>
      <w:r>
        <w:rPr>
          <w:b w:val="0"/>
          <w:i w:val="0"/>
        </w:rPr>
        <w:t>Attempt to change an approval event through ordinary administration; it fails, and the attempt plus original decision remain attributable.</w:t>
      </w:r>
    </w:p>
    <w:p>
      <w:bookmarkStart w:id="252" w:name="req_FR_SEC_008"/>
      <w:pPr>
        <w:keepNext/>
        <w:spacing w:before="180" w:after="40"/>
      </w:pPr>
      <w:r>
        <w:rPr>
          <w:b/>
          <w:i w:val="0"/>
        </w:rPr>
        <w:t>FR-SEC-008   Secure engineering lifecycle</w:t>
      </w:r>
      <w:bookmarkEnd w:id="252"/>
    </w:p>
    <w:p>
      <w:pPr>
        <w:keepNext/>
        <w:spacing w:after="60"/>
      </w:pPr>
      <w:r>
        <w:rPr>
          <w:b w:val="0"/>
          <w:i w:val="0"/>
          <w:sz w:val="19"/>
        </w:rPr>
        <w:t>Parent BR-SEC-008   |   P0   |   R1</w:t>
      </w:r>
    </w:p>
    <w:p>
      <w:pPr>
        <w:spacing w:after="60"/>
      </w:pPr>
      <w:r>
        <w:rPr>
          <w:b/>
          <w:i w:val="0"/>
        </w:rPr>
        <w:t xml:space="preserve">Behaviour: </w:t>
      </w:r>
      <w:r>
        <w:rPr>
          <w:b w:val="0"/>
          <w:i w:val="0"/>
        </w:rPr>
        <w:t>A release record links requirement and specification changes, reviewed code, dependency and licence inventory, security checks, migration results and approvers. Security relevant changes identify their affected threat and regression cases.</w:t>
      </w:r>
    </w:p>
    <w:p>
      <w:pPr>
        <w:spacing w:after="60"/>
      </w:pPr>
      <w:r>
        <w:rPr>
          <w:b/>
          <w:i w:val="0"/>
        </w:rPr>
        <w:t xml:space="preserve">Validation and recovery: </w:t>
      </w:r>
      <w:r>
        <w:rPr>
          <w:b w:val="0"/>
          <w:i w:val="0"/>
        </w:rPr>
        <w:t>A feature flag is not a security exemption. Production promotion requires the declared gate evidence; unsupported dependencies receive an owned risk and resolution decision.</w:t>
      </w:r>
    </w:p>
    <w:p>
      <w:pPr>
        <w:spacing w:after="60"/>
      </w:pPr>
      <w:r>
        <w:rPr>
          <w:b/>
          <w:i w:val="0"/>
        </w:rPr>
        <w:t xml:space="preserve">Acceptance FT-SEC-008: </w:t>
      </w:r>
      <w:r>
        <w:rPr>
          <w:b w:val="0"/>
          <w:i w:val="0"/>
        </w:rPr>
        <w:t>Select a production version and trace a changed export rule to its FSD parent, reviewed change, negative tests and release approval.</w:t>
      </w:r>
    </w:p>
    <w:p>
      <w:bookmarkStart w:id="253" w:name="req_FR_SEC_009"/>
      <w:pPr>
        <w:keepNext/>
        <w:spacing w:before="180" w:after="40"/>
      </w:pPr>
      <w:r>
        <w:rPr>
          <w:b/>
          <w:i w:val="0"/>
        </w:rPr>
        <w:t>FR-SEC-009   Vulnerability management</w:t>
      </w:r>
      <w:bookmarkEnd w:id="253"/>
    </w:p>
    <w:p>
      <w:pPr>
        <w:keepNext/>
        <w:spacing w:after="60"/>
      </w:pPr>
      <w:r>
        <w:rPr>
          <w:b w:val="0"/>
          <w:i w:val="0"/>
          <w:sz w:val="19"/>
        </w:rPr>
        <w:t>Parent BR-SEC-009   |   P0   |   R1</w:t>
      </w:r>
    </w:p>
    <w:p>
      <w:pPr>
        <w:spacing w:after="60"/>
      </w:pPr>
      <w:r>
        <w:rPr>
          <w:b/>
          <w:i w:val="0"/>
        </w:rPr>
        <w:t xml:space="preserve">Behaviour: </w:t>
      </w:r>
      <w:r>
        <w:rPr>
          <w:b w:val="0"/>
          <w:i w:val="0"/>
        </w:rPr>
        <w:t>Vulnerability intake creates a restricted case with reported scope, severity, affected versions, owner and timing targets. Triage distinguishes confirmed exposure from suspected risk; mitigation, fix, independent retest and closure are separate milestones.</w:t>
      </w:r>
    </w:p>
    <w:p>
      <w:pPr>
        <w:spacing w:after="60"/>
      </w:pPr>
      <w:r>
        <w:rPr>
          <w:b/>
          <w:i w:val="0"/>
        </w:rPr>
        <w:t xml:space="preserve">Validation and recovery: </w:t>
      </w:r>
      <w:r>
        <w:rPr>
          <w:b w:val="0"/>
          <w:i w:val="0"/>
        </w:rPr>
        <w:t>Critical and high findings affecting confidentiality, integrity or access follow the BRD release block and timing targets. Exceptions never silently downgrade severity.</w:t>
      </w:r>
    </w:p>
    <w:p>
      <w:pPr>
        <w:spacing w:after="60"/>
      </w:pPr>
      <w:r>
        <w:rPr>
          <w:b/>
          <w:i w:val="0"/>
        </w:rPr>
        <w:t xml:space="preserve">Acceptance FT-SEC-009: </w:t>
      </w:r>
      <w:r>
        <w:rPr>
          <w:b w:val="0"/>
          <w:i w:val="0"/>
        </w:rPr>
        <w:t>Simulate a credential exposure and record report, acknowledgement, containment, rotation, fix and retest times against the applicable targets.</w:t>
      </w:r>
    </w:p>
    <w:p>
      <w:bookmarkStart w:id="254" w:name="req_FR_SEC_010"/>
      <w:pPr>
        <w:keepNext/>
        <w:spacing w:before="180" w:after="40"/>
      </w:pPr>
      <w:r>
        <w:rPr>
          <w:b/>
          <w:i w:val="0"/>
        </w:rPr>
        <w:t>FR-SEC-010   Independent assurance</w:t>
      </w:r>
      <w:bookmarkEnd w:id="254"/>
    </w:p>
    <w:p>
      <w:pPr>
        <w:keepNext/>
        <w:spacing w:after="60"/>
      </w:pPr>
      <w:r>
        <w:rPr>
          <w:b w:val="0"/>
          <w:i w:val="0"/>
          <w:sz w:val="19"/>
        </w:rPr>
        <w:t>Parent BR-SEC-010   |   P0   |   R1</w:t>
      </w:r>
    </w:p>
    <w:p>
      <w:pPr>
        <w:spacing w:after="60"/>
      </w:pPr>
      <w:r>
        <w:rPr>
          <w:b/>
          <w:i w:val="0"/>
        </w:rPr>
        <w:t xml:space="preserve">Behaviour: </w:t>
      </w:r>
      <w:r>
        <w:rPr>
          <w:b w:val="0"/>
          <w:i w:val="0"/>
        </w:rPr>
        <w:t>The assurance record names the assessment scope, deployment profile, assessor independence, dates, findings and retest evidence. General production release requires the defined independent assessment; material changes or annual recurrence create another obligation.</w:t>
      </w:r>
    </w:p>
    <w:p>
      <w:pPr>
        <w:spacing w:after="60"/>
      </w:pPr>
      <w:r>
        <w:rPr>
          <w:b/>
          <w:i w:val="0"/>
        </w:rPr>
        <w:t xml:space="preserve">Validation and recovery: </w:t>
      </w:r>
      <w:r>
        <w:rPr>
          <w:b w:val="0"/>
          <w:i w:val="0"/>
        </w:rPr>
        <w:t>Do not label a partial review as whole product certification. Unresolved critical or high exposure needs an effective verified mitigation before release.</w:t>
      </w:r>
    </w:p>
    <w:p>
      <w:pPr>
        <w:spacing w:after="60"/>
      </w:pPr>
      <w:r>
        <w:rPr>
          <w:b/>
          <w:i w:val="0"/>
        </w:rPr>
        <w:t xml:space="preserve">Acceptance FT-SEC-010: </w:t>
      </w:r>
      <w:r>
        <w:rPr>
          <w:b w:val="0"/>
          <w:i w:val="0"/>
        </w:rPr>
        <w:t>Attempt release with an unretired high object-authorisation finding; the gate remains blocked until independently retested mitigation is recorded.</w:t>
      </w:r>
    </w:p>
    <w:p>
      <w:bookmarkStart w:id="255" w:name="req_FR_SEC_011"/>
      <w:pPr>
        <w:keepNext/>
        <w:spacing w:before="180" w:after="40"/>
      </w:pPr>
      <w:r>
        <w:rPr>
          <w:b/>
          <w:i w:val="0"/>
        </w:rPr>
        <w:t>FR-SEC-011   Detection and incident response</w:t>
      </w:r>
      <w:bookmarkEnd w:id="255"/>
    </w:p>
    <w:p>
      <w:pPr>
        <w:keepNext/>
        <w:spacing w:after="60"/>
      </w:pPr>
      <w:r>
        <w:rPr>
          <w:b w:val="0"/>
          <w:i w:val="0"/>
          <w:sz w:val="19"/>
        </w:rPr>
        <w:t>Parent BR-SEC-011   |   P0   |   R1</w:t>
      </w:r>
    </w:p>
    <w:p>
      <w:pPr>
        <w:spacing w:after="60"/>
      </w:pPr>
      <w:r>
        <w:rPr>
          <w:b/>
          <w:i w:val="0"/>
        </w:rPr>
        <w:t xml:space="preserve">Behaviour: </w:t>
      </w:r>
      <w:r>
        <w:rPr>
          <w:b w:val="0"/>
          <w:i w:val="0"/>
        </w:rPr>
        <w:t>Detection rules generate restricted incident records for suspicious identity changes, bulk extraction, service misuse and failed controls. On call receives safe context and correlation references. Incident handling records containment, affected tenants, evidence preservation, recovery and communications decisions.</w:t>
      </w:r>
    </w:p>
    <w:p>
      <w:pPr>
        <w:spacing w:after="60"/>
      </w:pPr>
      <w:r>
        <w:rPr>
          <w:b/>
          <w:i w:val="0"/>
        </w:rPr>
        <w:t xml:space="preserve">Validation and recovery: </w:t>
      </w:r>
      <w:r>
        <w:rPr>
          <w:b w:val="0"/>
          <w:i w:val="0"/>
        </w:rPr>
        <w:t>Notifications use the approved legal and contractual policy, not an invented universal deadline. Investigation access follows exceptional support controls.</w:t>
      </w:r>
    </w:p>
    <w:p>
      <w:pPr>
        <w:spacing w:after="60"/>
      </w:pPr>
      <w:r>
        <w:rPr>
          <w:b/>
          <w:i w:val="0"/>
        </w:rPr>
        <w:t xml:space="preserve">Acceptance FT-SEC-011: </w:t>
      </w:r>
      <w:r>
        <w:rPr>
          <w:b w:val="0"/>
          <w:i w:val="0"/>
        </w:rPr>
        <w:t>A simulated compromised service identity triggers detection and revocation; the incident identifies affected jobs and potential disclosures without exposing payloads in general alerts.</w:t>
      </w:r>
    </w:p>
    <w:p>
      <w:bookmarkStart w:id="256" w:name="req_FR_SEC_012"/>
      <w:pPr>
        <w:keepNext/>
        <w:spacing w:before="180" w:after="40"/>
      </w:pPr>
      <w:r>
        <w:rPr>
          <w:b/>
          <w:i w:val="0"/>
        </w:rPr>
        <w:t>FR-SEC-012   Environment separation</w:t>
      </w:r>
      <w:bookmarkEnd w:id="256"/>
    </w:p>
    <w:p>
      <w:pPr>
        <w:keepNext/>
        <w:spacing w:after="60"/>
      </w:pPr>
      <w:r>
        <w:rPr>
          <w:b w:val="0"/>
          <w:i w:val="0"/>
          <w:sz w:val="19"/>
        </w:rPr>
        <w:t>Parent BR-SEC-012   |   P0   |   R1</w:t>
      </w:r>
    </w:p>
    <w:p>
      <w:pPr>
        <w:spacing w:after="60"/>
      </w:pPr>
      <w:r>
        <w:rPr>
          <w:b/>
          <w:i w:val="0"/>
        </w:rPr>
        <w:t xml:space="preserve">Behaviour: </w:t>
      </w:r>
      <w:r>
        <w:rPr>
          <w:b w:val="0"/>
          <w:i w:val="0"/>
        </w:rPr>
        <w:t>Environment identity is visible to operators and integration developers. Test and production credentials are distinct and cannot cross authenticate. Synthetic data is the default for lower environments; exceptional production samples require approved minimisation and expiry.</w:t>
      </w:r>
    </w:p>
    <w:p>
      <w:pPr>
        <w:spacing w:after="60"/>
      </w:pPr>
      <w:r>
        <w:rPr>
          <w:b/>
          <w:i w:val="0"/>
        </w:rPr>
        <w:t xml:space="preserve">Validation and recovery: </w:t>
      </w:r>
      <w:r>
        <w:rPr>
          <w:b w:val="0"/>
          <w:i w:val="0"/>
        </w:rPr>
        <w:t>No hidden production test users or bypass roles. A copied configuration omits production secrets, external recipients and active schedules.</w:t>
      </w:r>
    </w:p>
    <w:p>
      <w:pPr>
        <w:spacing w:after="60"/>
      </w:pPr>
      <w:r>
        <w:rPr>
          <w:b/>
          <w:i w:val="0"/>
        </w:rPr>
        <w:t xml:space="preserve">Acceptance FT-SEC-012: </w:t>
      </w:r>
      <w:r>
        <w:rPr>
          <w:b w:val="0"/>
          <w:i w:val="0"/>
        </w:rPr>
        <w:t>Use a test credential against production and attempt to activate copied report schedules in a sandbox; both are prevented.</w:t>
      </w:r>
    </w:p>
    <w:p>
      <w:bookmarkStart w:id="257" w:name="req_FR_SEC_013"/>
      <w:pPr>
        <w:keepNext/>
        <w:spacing w:before="180" w:after="40"/>
      </w:pPr>
      <w:r>
        <w:rPr>
          <w:b/>
          <w:i w:val="0"/>
        </w:rPr>
        <w:t>FR-SEC-013   Privileged operations</w:t>
      </w:r>
      <w:bookmarkEnd w:id="257"/>
    </w:p>
    <w:p>
      <w:pPr>
        <w:keepNext/>
        <w:spacing w:after="60"/>
      </w:pPr>
      <w:r>
        <w:rPr>
          <w:b w:val="0"/>
          <w:i w:val="0"/>
          <w:sz w:val="19"/>
        </w:rPr>
        <w:t>Parent BR-SEC-013   |   P0   |   R1</w:t>
      </w:r>
    </w:p>
    <w:p>
      <w:pPr>
        <w:spacing w:after="60"/>
      </w:pPr>
      <w:r>
        <w:rPr>
          <w:b/>
          <w:i w:val="0"/>
        </w:rPr>
        <w:t xml:space="preserve">Behaviour: </w:t>
      </w:r>
      <w:r>
        <w:rPr>
          <w:b w:val="0"/>
          <w:i w:val="0"/>
        </w:rPr>
        <w:t>Operators request elevation for a named incident or maintenance task, exact capability scope and duration. A distinct reviewer approves where required; emergency activation creates mandatory retrospective review. Sessions retain real actor and expire automatically.</w:t>
      </w:r>
    </w:p>
    <w:p>
      <w:pPr>
        <w:spacing w:after="60"/>
      </w:pPr>
      <w:r>
        <w:rPr>
          <w:b/>
          <w:i w:val="0"/>
        </w:rPr>
        <w:t xml:space="preserve">Validation and recovery: </w:t>
      </w:r>
      <w:r>
        <w:rPr>
          <w:b w:val="0"/>
          <w:i w:val="0"/>
        </w:rPr>
        <w:t>Standing broad content access is prohibited by default. A privileged operation rechecks current elevation and cannot continue from an expired job credential.</w:t>
      </w:r>
    </w:p>
    <w:p>
      <w:pPr>
        <w:spacing w:after="60"/>
      </w:pPr>
      <w:r>
        <w:rPr>
          <w:b/>
          <w:i w:val="0"/>
        </w:rPr>
        <w:t xml:space="preserve">Acceptance FT-SEC-013: </w:t>
      </w:r>
      <w:r>
        <w:rPr>
          <w:b w:val="0"/>
          <w:i w:val="0"/>
        </w:rPr>
        <w:t>Elevate an operator for recovery diagnostics, expire the grant and verify further reads and queued sensitive operations are denied.</w:t>
      </w:r>
    </w:p>
    <w:p>
      <w:bookmarkStart w:id="258" w:name="req_FR_SEC_014"/>
      <w:pPr>
        <w:keepNext/>
        <w:spacing w:before="180" w:after="40"/>
      </w:pPr>
      <w:r>
        <w:rPr>
          <w:b/>
          <w:i w:val="0"/>
        </w:rPr>
        <w:t>FR-SEC-014   Resilience to abusive traffic</w:t>
      </w:r>
      <w:bookmarkEnd w:id="258"/>
    </w:p>
    <w:p>
      <w:pPr>
        <w:keepNext/>
        <w:spacing w:after="60"/>
      </w:pPr>
      <w:r>
        <w:rPr>
          <w:b w:val="0"/>
          <w:i w:val="0"/>
          <w:sz w:val="19"/>
        </w:rPr>
        <w:t>Parent BR-SEC-014   |   P0   |   R1</w:t>
      </w:r>
    </w:p>
    <w:p>
      <w:pPr>
        <w:spacing w:after="60"/>
      </w:pPr>
      <w:r>
        <w:rPr>
          <w:b/>
          <w:i w:val="0"/>
        </w:rPr>
        <w:t xml:space="preserve">Behaviour: </w:t>
      </w:r>
      <w:r>
        <w:rPr>
          <w:b w:val="0"/>
          <w:i w:val="0"/>
        </w:rPr>
        <w:t>Abuse controls separately govern login, public collection, search, exports and AI. Affected users see a safe wait or recovery route. Limits use tenant and credential context so one abusive source does not indiscriminately lock out unrelated organisations.</w:t>
      </w:r>
    </w:p>
    <w:p>
      <w:pPr>
        <w:spacing w:after="60"/>
      </w:pPr>
      <w:r>
        <w:rPr>
          <w:b/>
          <w:i w:val="0"/>
        </w:rPr>
        <w:t xml:space="preserve">Validation and recovery: </w:t>
      </w:r>
      <w:r>
        <w:rPr>
          <w:b w:val="0"/>
          <w:i w:val="0"/>
        </w:rPr>
        <w:t>Accessible challenges and assisted recovery are available where needed. Denial controls cannot expose account existence or participant lookup results.</w:t>
      </w:r>
    </w:p>
    <w:p>
      <w:pPr>
        <w:spacing w:after="60"/>
      </w:pPr>
      <w:r>
        <w:rPr>
          <w:b/>
          <w:i w:val="0"/>
        </w:rPr>
        <w:t xml:space="preserve">Acceptance FT-SEC-014: </w:t>
      </w:r>
      <w:r>
        <w:rPr>
          <w:b w:val="0"/>
          <w:i w:val="0"/>
        </w:rPr>
        <w:t>Apply a burst to one public form and verify bounded rejection there while other tenants continue collecting and approving records.</w:t>
      </w:r>
    </w:p>
    <w:p>
      <w:bookmarkStart w:id="259" w:name="req_FR_SEC_015"/>
      <w:pPr>
        <w:keepNext/>
        <w:spacing w:before="180" w:after="40"/>
      </w:pPr>
      <w:r>
        <w:rPr>
          <w:b/>
          <w:i w:val="0"/>
        </w:rPr>
        <w:t>FR-SEC-015   Enterprise assurance options</w:t>
      </w:r>
      <w:bookmarkEnd w:id="259"/>
    </w:p>
    <w:p>
      <w:pPr>
        <w:keepNext/>
        <w:spacing w:after="60"/>
      </w:pPr>
      <w:r>
        <w:rPr>
          <w:b w:val="0"/>
          <w:i w:val="0"/>
          <w:sz w:val="19"/>
        </w:rPr>
        <w:t>Parent BR-SEC-015   |   P2   |   R3</w:t>
      </w:r>
    </w:p>
    <w:p>
      <w:pPr>
        <w:spacing w:after="60"/>
      </w:pPr>
      <w:r>
        <w:rPr>
          <w:b/>
          <w:i w:val="0"/>
        </w:rPr>
        <w:t xml:space="preserve">Behaviour: </w:t>
      </w:r>
      <w:r>
        <w:rPr>
          <w:b w:val="0"/>
          <w:i w:val="0"/>
        </w:rPr>
        <w:t>A deployment variant has a named capability profile, region and recovery constraints, responsibilities, upgrade process, key custody and exit process. Product screens show supported and unsupported features for that qualified profile.</w:t>
      </w:r>
    </w:p>
    <w:p>
      <w:pPr>
        <w:spacing w:after="60"/>
      </w:pPr>
      <w:r>
        <w:rPr>
          <w:b/>
          <w:i w:val="0"/>
        </w:rPr>
        <w:t xml:space="preserve">Validation and recovery: </w:t>
      </w:r>
      <w:r>
        <w:rPr>
          <w:b w:val="0"/>
          <w:i w:val="0"/>
        </w:rPr>
        <w:t>Dedicated deployment and customer controlled keys are not available merely by selecting a commercial checkbox. Each offered variant must pass equivalent functional, isolation and recovery gates.</w:t>
      </w:r>
    </w:p>
    <w:p>
      <w:pPr>
        <w:spacing w:after="60"/>
      </w:pPr>
      <w:r>
        <w:rPr>
          <w:b/>
          <w:i w:val="0"/>
        </w:rPr>
        <w:t xml:space="preserve">Acceptance FT-SEC-015: </w:t>
      </w:r>
      <w:r>
        <w:rPr>
          <w:b w:val="0"/>
          <w:i w:val="0"/>
        </w:rPr>
        <w:t>Qualify one dedicated profile, lose its customer controlled key and verify the documented unavailable and recovery behaviour without silently moving data elsewhere.</w:t>
      </w:r>
    </w:p>
    <w:p>
      <w:bookmarkStart w:id="260" w:name="sec_28"/>
      <w:pPr>
        <w:pStyle w:val="Heading1"/>
      </w:pPr>
      <w:r>
        <w:rPr>
          <w:b w:val="0"/>
          <w:i w:val="0"/>
        </w:rPr>
        <w:t>28 Privacy retention and disclosure governance</w:t>
      </w:r>
      <w:bookmarkEnd w:id="260"/>
    </w:p>
    <w:p>
      <w:pPr>
        <w:spacing w:after="140"/>
      </w:pPr>
      <w:r>
        <w:rPr>
          <w:b w:val="0"/>
          <w:i/>
          <w:sz w:val="21"/>
        </w:rPr>
        <w:t>Primary actors: Privacy officer accountable tenant owner and verified handler. Interfaces: UI18 UI27 UI29. Logical entities: D18 D20 D29 D33 D36.</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61" w:name="req_FR_PRV_001"/>
      <w:pPr>
        <w:keepNext/>
        <w:spacing w:before="180" w:after="40"/>
      </w:pPr>
      <w:r>
        <w:rPr>
          <w:b/>
          <w:i w:val="0"/>
        </w:rPr>
        <w:t>FR-PRV-001   Data inventory and classification</w:t>
      </w:r>
      <w:bookmarkEnd w:id="261"/>
    </w:p>
    <w:p>
      <w:pPr>
        <w:keepNext/>
        <w:spacing w:after="60"/>
      </w:pPr>
      <w:r>
        <w:rPr>
          <w:b w:val="0"/>
          <w:i w:val="0"/>
          <w:sz w:val="19"/>
        </w:rPr>
        <w:t>Parent BR-PRV-001   |   P0   |   R1</w:t>
      </w:r>
    </w:p>
    <w:p>
      <w:pPr>
        <w:spacing w:after="60"/>
      </w:pPr>
      <w:r>
        <w:rPr>
          <w:b/>
          <w:i w:val="0"/>
        </w:rPr>
        <w:t xml:space="preserve">Behaviour: </w:t>
      </w:r>
      <w:r>
        <w:rPr>
          <w:b w:val="0"/>
          <w:i w:val="0"/>
        </w:rPr>
        <w:t>Every new data field and source receives classification, purpose, owner and retention. Default inheritance uses the stricter source classification; explicit reclassification requires review and shows affected forms, exports, indexes and AI policies.</w:t>
      </w:r>
    </w:p>
    <w:p>
      <w:pPr>
        <w:spacing w:after="60"/>
      </w:pPr>
      <w:r>
        <w:rPr>
          <w:b/>
          <w:i w:val="0"/>
        </w:rPr>
        <w:t xml:space="preserve">Validation and recovery: </w:t>
      </w:r>
      <w:r>
        <w:rPr>
          <w:b w:val="0"/>
          <w:i w:val="0"/>
        </w:rPr>
        <w:t>Derived data cannot downgrade itself. Credentials are excluded from ordinary content classification and handled as secrets. Unclassified sensitive production collection is blocked.</w:t>
      </w:r>
    </w:p>
    <w:p>
      <w:pPr>
        <w:spacing w:after="60"/>
      </w:pPr>
      <w:r>
        <w:rPr>
          <w:b/>
          <w:i w:val="0"/>
        </w:rPr>
        <w:t xml:space="preserve">Acceptance FT-PRV-001: </w:t>
      </w:r>
      <w:r>
        <w:rPr>
          <w:b w:val="0"/>
          <w:i w:val="0"/>
        </w:rPr>
        <w:t>Add a restricted participant field and verify its values are absent from ordinary logs, analyst views, exports and unapproved model inputs.</w:t>
      </w:r>
    </w:p>
    <w:p>
      <w:bookmarkStart w:id="262" w:name="req_FR_PRV_002"/>
      <w:pPr>
        <w:keepNext/>
        <w:spacing w:before="180" w:after="40"/>
      </w:pPr>
      <w:r>
        <w:rPr>
          <w:b/>
          <w:i w:val="0"/>
        </w:rPr>
        <w:t>FR-PRV-002   Minimisation and purpose controls</w:t>
      </w:r>
      <w:bookmarkEnd w:id="262"/>
    </w:p>
    <w:p>
      <w:pPr>
        <w:keepNext/>
        <w:spacing w:after="60"/>
      </w:pPr>
      <w:r>
        <w:rPr>
          <w:b w:val="0"/>
          <w:i w:val="0"/>
          <w:sz w:val="19"/>
        </w:rPr>
        <w:t>Parent BR-PRV-002   |   P0   |   R1</w:t>
      </w:r>
    </w:p>
    <w:p>
      <w:pPr>
        <w:spacing w:after="60"/>
      </w:pPr>
      <w:r>
        <w:rPr>
          <w:b/>
          <w:i w:val="0"/>
        </w:rPr>
        <w:t xml:space="preserve">Behaviour: </w:t>
      </w:r>
      <w:r>
        <w:rPr>
          <w:b w:val="0"/>
          <w:i w:val="0"/>
        </w:rPr>
        <w:t>Programme setup records why each personal field is necessary and which uses are allowed. New research, linkage or model improvement creates a separate purpose review and data scope selection. Optional fields remain optional in collection.</w:t>
      </w:r>
    </w:p>
    <w:p>
      <w:pPr>
        <w:spacing w:after="60"/>
      </w:pPr>
      <w:r>
        <w:rPr>
          <w:b/>
          <w:i w:val="0"/>
        </w:rPr>
        <w:t xml:space="preserve">Validation and recovery: </w:t>
      </w:r>
      <w:r>
        <w:rPr>
          <w:b w:val="0"/>
          <w:i w:val="0"/>
        </w:rPr>
        <w:t>A broad project permission does not authorise every reuse. Rejected purposes cannot be enabled by copying the dataset or changing its label.</w:t>
      </w:r>
    </w:p>
    <w:p>
      <w:pPr>
        <w:spacing w:after="60"/>
      </w:pPr>
      <w:r>
        <w:rPr>
          <w:b/>
          <w:i w:val="0"/>
        </w:rPr>
        <w:t xml:space="preserve">Acceptance FT-PRV-002: </w:t>
      </w:r>
      <w:r>
        <w:rPr>
          <w:b w:val="0"/>
          <w:i w:val="0"/>
        </w:rPr>
        <w:t>Attempt to send service delivery identities for shared model training under a monitoring purpose; policy denies the transfer before transmission.</w:t>
      </w:r>
    </w:p>
    <w:p>
      <w:bookmarkStart w:id="263" w:name="req_FR_PRV_003"/>
      <w:pPr>
        <w:keepNext/>
        <w:spacing w:before="180" w:after="40"/>
      </w:pPr>
      <w:r>
        <w:rPr>
          <w:b/>
          <w:i w:val="0"/>
        </w:rPr>
        <w:t>FR-PRV-003   Hosting and transfer policy</w:t>
      </w:r>
      <w:bookmarkEnd w:id="263"/>
    </w:p>
    <w:p>
      <w:pPr>
        <w:keepNext/>
        <w:spacing w:after="60"/>
      </w:pPr>
      <w:r>
        <w:rPr>
          <w:b w:val="0"/>
          <w:i w:val="0"/>
          <w:sz w:val="19"/>
        </w:rPr>
        <w:t>Parent BR-PRV-003   |   P0   |   R1</w:t>
      </w:r>
    </w:p>
    <w:p>
      <w:pPr>
        <w:spacing w:after="60"/>
      </w:pPr>
      <w:r>
        <w:rPr>
          <w:b/>
          <w:i w:val="0"/>
        </w:rPr>
        <w:t xml:space="preserve">Behaviour: </w:t>
      </w:r>
      <w:r>
        <w:rPr>
          <w:b w:val="0"/>
          <w:i w:val="0"/>
        </w:rPr>
        <w:t>The tenant policy lists permitted regions and destinations for primary data, recovery, support and models. Adding a destination requires the applicable approval and impact notice. Processing checks destination eligibility before transfer.</w:t>
      </w:r>
    </w:p>
    <w:p>
      <w:pPr>
        <w:spacing w:after="60"/>
      </w:pPr>
      <w:r>
        <w:rPr>
          <w:b/>
          <w:i w:val="0"/>
        </w:rPr>
        <w:t xml:space="preserve">Validation and recovery: </w:t>
      </w:r>
      <w:r>
        <w:rPr>
          <w:b w:val="0"/>
          <w:i w:val="0"/>
        </w:rPr>
        <w:t>Failover cannot override residency. If no permitted recovery destination is available, maintain a controlled outage and communicate the restriction rather than moving data silently.</w:t>
      </w:r>
    </w:p>
    <w:p>
      <w:pPr>
        <w:spacing w:after="60"/>
      </w:pPr>
      <w:r>
        <w:rPr>
          <w:b/>
          <w:i w:val="0"/>
        </w:rPr>
        <w:t xml:space="preserve">Acceptance FT-PRV-003: </w:t>
      </w:r>
      <w:r>
        <w:rPr>
          <w:b w:val="0"/>
          <w:i w:val="0"/>
        </w:rPr>
        <w:t>Fail the primary region and request recovery in a prohibited region; recovery is blocked and the incident records the approved alternative or continued outage.</w:t>
      </w:r>
    </w:p>
    <w:p>
      <w:bookmarkStart w:id="264" w:name="req_FR_PRV_004"/>
      <w:pPr>
        <w:keepNext/>
        <w:spacing w:before="180" w:after="40"/>
      </w:pPr>
      <w:r>
        <w:rPr>
          <w:b/>
          <w:i w:val="0"/>
        </w:rPr>
        <w:t>FR-PRV-004   Retention schedules</w:t>
      </w:r>
      <w:bookmarkEnd w:id="264"/>
    </w:p>
    <w:p>
      <w:pPr>
        <w:keepNext/>
        <w:spacing w:after="60"/>
      </w:pPr>
      <w:r>
        <w:rPr>
          <w:b w:val="0"/>
          <w:i w:val="0"/>
          <w:sz w:val="19"/>
        </w:rPr>
        <w:t>Parent BR-PRV-004   |   P0   |   R1</w:t>
      </w:r>
    </w:p>
    <w:p>
      <w:pPr>
        <w:spacing w:after="60"/>
      </w:pPr>
      <w:r>
        <w:rPr>
          <w:b/>
          <w:i w:val="0"/>
        </w:rPr>
        <w:t xml:space="preserve">Behaviour: </w:t>
      </w:r>
      <w:r>
        <w:rPr>
          <w:b w:val="0"/>
          <w:i w:val="0"/>
        </w:rPr>
        <w:t>Retention policies specify data class, purpose, trigger, duration, expiry action and owner. A preview calculates affected objects and holds. Collection activation requires approved record and evidence policies; operational defaults inherit the BRD bounds.</w:t>
      </w:r>
    </w:p>
    <w:p>
      <w:pPr>
        <w:spacing w:after="60"/>
      </w:pPr>
      <w:r>
        <w:rPr>
          <w:b/>
          <w:i w:val="0"/>
        </w:rPr>
        <w:t xml:space="preserve">Validation and recovery: </w:t>
      </w:r>
      <w:r>
        <w:rPr>
          <w:b w:val="0"/>
          <w:i w:val="0"/>
        </w:rPr>
        <w:t>A generic tenant retention value cannot accidentally cover every class. Policy changes must disclose earlier or later deletion impact and preserve valid holds.</w:t>
      </w:r>
    </w:p>
    <w:p>
      <w:pPr>
        <w:spacing w:after="60"/>
      </w:pPr>
      <w:r>
        <w:rPr>
          <w:b/>
          <w:i w:val="0"/>
        </w:rPr>
        <w:t xml:space="preserve">Acceptance FT-PRV-004: </w:t>
      </w:r>
      <w:r>
        <w:rPr>
          <w:b w:val="0"/>
          <w:i w:val="0"/>
        </w:rPr>
        <w:t>Configure 90 day diagnostic logs and a separate approved evidence term; each expires through its own schedule with accountable exceptions.</w:t>
      </w:r>
    </w:p>
    <w:p>
      <w:bookmarkStart w:id="265" w:name="req_FR_PRV_005"/>
      <w:pPr>
        <w:keepNext/>
        <w:spacing w:before="180" w:after="40"/>
      </w:pPr>
      <w:r>
        <w:rPr>
          <w:b/>
          <w:i w:val="0"/>
        </w:rPr>
        <w:t>FR-PRV-005   Deletion restriction and holds</w:t>
      </w:r>
      <w:bookmarkEnd w:id="265"/>
    </w:p>
    <w:p>
      <w:pPr>
        <w:keepNext/>
        <w:spacing w:after="60"/>
      </w:pPr>
      <w:r>
        <w:rPr>
          <w:b w:val="0"/>
          <w:i w:val="0"/>
          <w:sz w:val="19"/>
        </w:rPr>
        <w:t>Parent BR-PRV-005   |   P0   |   R1</w:t>
      </w:r>
    </w:p>
    <w:p>
      <w:pPr>
        <w:spacing w:after="60"/>
      </w:pPr>
      <w:r>
        <w:rPr>
          <w:b/>
          <w:i w:val="0"/>
        </w:rPr>
        <w:t xml:space="preserve">Behaviour: </w:t>
      </w:r>
      <w:r>
        <w:rPr>
          <w:b w:val="0"/>
          <w:i w:val="0"/>
        </w:rPr>
        <w:t>An authorised request first restricts eligible content where needed, then enumerates primary records, derivatives, indexes, generated artifacts and disclosures. Execution records per store outcome, hold, retry and completion time. Anonymisation is a separately verified transformation.</w:t>
      </w:r>
    </w:p>
    <w:p>
      <w:pPr>
        <w:spacing w:after="60"/>
      </w:pPr>
      <w:r>
        <w:rPr>
          <w:b/>
          <w:i w:val="0"/>
        </w:rPr>
        <w:t xml:space="preserve">Validation and recovery: </w:t>
      </w:r>
      <w:r>
        <w:rPr>
          <w:b w:val="0"/>
          <w:i w:val="0"/>
        </w:rPr>
        <w:t>Deletion cannot be marked complete while active accessible copies remain. Held content is isolated for the approved purpose; a hold is not general continued operational use.</w:t>
      </w:r>
    </w:p>
    <w:p>
      <w:pPr>
        <w:spacing w:after="60"/>
      </w:pPr>
      <w:r>
        <w:rPr>
          <w:b/>
          <w:i w:val="0"/>
        </w:rPr>
        <w:t xml:space="preserve">Acceptance FT-PRV-005: </w:t>
      </w:r>
      <w:r>
        <w:rPr>
          <w:b w:val="0"/>
          <w:i w:val="0"/>
        </w:rPr>
        <w:t>Delete a participant record with one held attachment; active data disappears within the target and the case explicitly reports the held item and review date.</w:t>
      </w:r>
    </w:p>
    <w:p>
      <w:bookmarkStart w:id="266" w:name="req_FR_PRV_006"/>
      <w:pPr>
        <w:keepNext/>
        <w:spacing w:before="180" w:after="40"/>
      </w:pPr>
      <w:r>
        <w:rPr>
          <w:b/>
          <w:i w:val="0"/>
        </w:rPr>
        <w:t>FR-PRV-006   Backup deletion handling</w:t>
      </w:r>
      <w:bookmarkEnd w:id="266"/>
    </w:p>
    <w:p>
      <w:pPr>
        <w:keepNext/>
        <w:spacing w:after="60"/>
      </w:pPr>
      <w:r>
        <w:rPr>
          <w:b w:val="0"/>
          <w:i w:val="0"/>
          <w:sz w:val="19"/>
        </w:rPr>
        <w:t>Parent BR-PRV-006   |   P0   |   R1</w:t>
      </w:r>
    </w:p>
    <w:p>
      <w:pPr>
        <w:spacing w:after="60"/>
      </w:pPr>
      <w:r>
        <w:rPr>
          <w:b/>
          <w:i w:val="0"/>
        </w:rPr>
        <w:t xml:space="preserve">Behaviour: </w:t>
      </w:r>
      <w:r>
        <w:rPr>
          <w:b w:val="0"/>
          <w:i w:val="0"/>
        </w:rPr>
        <w:t>The deletion ledger records minimal object identifiers and restriction instructions needed to prevent restoration. Restore remains closed to ordinary users until these instructions and current grants are reapplied and verified. Backup expiry is recorded separately.</w:t>
      </w:r>
    </w:p>
    <w:p>
      <w:pPr>
        <w:spacing w:after="60"/>
      </w:pPr>
      <w:r>
        <w:rPr>
          <w:b/>
          <w:i w:val="0"/>
        </w:rPr>
        <w:t xml:space="preserve">Validation and recovery: </w:t>
      </w:r>
      <w:r>
        <w:rPr>
          <w:b w:val="0"/>
          <w:i w:val="0"/>
        </w:rPr>
        <w:t>Do not claim instant physical erasure from immutable backups when only bounded expiry is supported. A restored historic grant cannot reopen revoked access.</w:t>
      </w:r>
    </w:p>
    <w:p>
      <w:pPr>
        <w:spacing w:after="60"/>
      </w:pPr>
      <w:r>
        <w:rPr>
          <w:b/>
          <w:i w:val="0"/>
        </w:rPr>
        <w:t xml:space="preserve">Acceptance FT-PRV-006: </w:t>
      </w:r>
      <w:r>
        <w:rPr>
          <w:b w:val="0"/>
          <w:i w:val="0"/>
        </w:rPr>
        <w:t>Restore a backup from before a deletion and verify the participant is still unavailable before any user or AI query is admitted.</w:t>
      </w:r>
    </w:p>
    <w:p>
      <w:bookmarkStart w:id="267" w:name="req_FR_PRV_007"/>
      <w:pPr>
        <w:keepNext/>
        <w:spacing w:before="180" w:after="40"/>
      </w:pPr>
      <w:r>
        <w:rPr>
          <w:b/>
          <w:i w:val="0"/>
        </w:rPr>
        <w:t>FR-PRV-007   Data subject request handling</w:t>
      </w:r>
      <w:bookmarkEnd w:id="267"/>
    </w:p>
    <w:p>
      <w:pPr>
        <w:keepNext/>
        <w:spacing w:after="60"/>
      </w:pPr>
      <w:r>
        <w:rPr>
          <w:b w:val="0"/>
          <w:i w:val="0"/>
          <w:sz w:val="19"/>
        </w:rPr>
        <w:t>Parent BR-PRV-007   |   P0   |   R1</w:t>
      </w:r>
    </w:p>
    <w:p>
      <w:pPr>
        <w:spacing w:after="60"/>
      </w:pPr>
      <w:r>
        <w:rPr>
          <w:b/>
          <w:i w:val="0"/>
        </w:rPr>
        <w:t xml:space="preserve">Behaviour: </w:t>
      </w:r>
      <w:r>
        <w:rPr>
          <w:b w:val="0"/>
          <w:i w:val="0"/>
        </w:rPr>
        <w:t>A privacy case selects request type, verified subject scope, deadline policy and authorised handler. Search and response preparation exclude other persons' information. Outcome may be completed, partially completed, rejected or on hold with reason and review evidence.</w:t>
      </w:r>
    </w:p>
    <w:p>
      <w:pPr>
        <w:spacing w:after="60"/>
      </w:pPr>
      <w:r>
        <w:rPr>
          <w:b/>
          <w:i w:val="0"/>
        </w:rPr>
        <w:t xml:space="preserve">Validation and recovery: </w:t>
      </w:r>
      <w:r>
        <w:rPr>
          <w:b w:val="0"/>
          <w:i w:val="0"/>
        </w:rPr>
        <w:t>Do not hardcode one jurisdiction's response deadline as universal. Verification collects minimal evidence and never creates a public participant lookup.</w:t>
      </w:r>
    </w:p>
    <w:p>
      <w:pPr>
        <w:spacing w:after="60"/>
      </w:pPr>
      <w:r>
        <w:rPr>
          <w:b/>
          <w:i w:val="0"/>
        </w:rPr>
        <w:t xml:space="preserve">Acceptance FT-PRV-007: </w:t>
      </w:r>
      <w:r>
        <w:rPr>
          <w:b w:val="0"/>
          <w:i w:val="0"/>
        </w:rPr>
        <w:t>Process one household member's access request and deliver only their permitted information, excluding another member's confidential answers.</w:t>
      </w:r>
    </w:p>
    <w:p>
      <w:bookmarkStart w:id="268" w:name="req_FR_PRV_008"/>
      <w:pPr>
        <w:keepNext/>
        <w:spacing w:before="180" w:after="40"/>
      </w:pPr>
      <w:r>
        <w:rPr>
          <w:b/>
          <w:i w:val="0"/>
        </w:rPr>
        <w:t>FR-PRV-008   Sharing register and agreements</w:t>
      </w:r>
      <w:bookmarkEnd w:id="268"/>
    </w:p>
    <w:p>
      <w:pPr>
        <w:keepNext/>
        <w:spacing w:after="60"/>
      </w:pPr>
      <w:r>
        <w:rPr>
          <w:b w:val="0"/>
          <w:i w:val="0"/>
          <w:sz w:val="19"/>
        </w:rPr>
        <w:t>Parent BR-PRV-008   |   P1   |   R1</w:t>
      </w:r>
    </w:p>
    <w:p>
      <w:pPr>
        <w:spacing w:after="60"/>
      </w:pPr>
      <w:r>
        <w:rPr>
          <w:b/>
          <w:i w:val="0"/>
        </w:rPr>
        <w:t xml:space="preserve">Behaviour: </w:t>
      </w:r>
      <w:r>
        <w:rPr>
          <w:b w:val="0"/>
          <w:i w:val="0"/>
        </w:rPr>
        <w:t>Every disclosure records recipient, purpose, source or artifact version, allowed reuse, expiry and owner. A selected source can list active disclosures within authorised scope. Correction or withdrawal starts recipient notice tasks and tracks acknowledgement where available.</w:t>
      </w:r>
    </w:p>
    <w:p>
      <w:pPr>
        <w:spacing w:after="60"/>
      </w:pPr>
      <w:r>
        <w:rPr>
          <w:b/>
          <w:i w:val="0"/>
        </w:rPr>
        <w:t xml:space="preserve">Validation and recovery: </w:t>
      </w:r>
      <w:r>
        <w:rPr>
          <w:b w:val="0"/>
          <w:i w:val="0"/>
        </w:rPr>
        <w:t>External data deletion is not asserted solely because a notice was sent. Live platform grants and retained external copies have separate statuses.</w:t>
      </w:r>
    </w:p>
    <w:p>
      <w:pPr>
        <w:spacing w:after="60"/>
      </w:pPr>
      <w:r>
        <w:rPr>
          <w:b/>
          <w:i w:val="0"/>
        </w:rPr>
        <w:t xml:space="preserve">Acceptance FT-PRV-008: </w:t>
      </w:r>
      <w:r>
        <w:rPr>
          <w:b w:val="0"/>
          <w:i w:val="0"/>
        </w:rPr>
        <w:t>Correct a shared dataset and identify its two partner disclosures, revoke live access where required and record each correction notice outcome.</w:t>
      </w:r>
    </w:p>
    <w:p>
      <w:bookmarkStart w:id="269" w:name="req_FR_PRV_009"/>
      <w:pPr>
        <w:keepNext/>
        <w:spacing w:before="180" w:after="40"/>
      </w:pPr>
      <w:r>
        <w:rPr>
          <w:b/>
          <w:i w:val="0"/>
        </w:rPr>
        <w:t>FR-PRV-009   Privacy review and country policy</w:t>
      </w:r>
      <w:bookmarkEnd w:id="269"/>
    </w:p>
    <w:p>
      <w:pPr>
        <w:keepNext/>
        <w:spacing w:after="60"/>
      </w:pPr>
      <w:r>
        <w:rPr>
          <w:b w:val="0"/>
          <w:i w:val="0"/>
          <w:sz w:val="19"/>
        </w:rPr>
        <w:t>Parent BR-PRV-009   |   P0   |   R1</w:t>
      </w:r>
    </w:p>
    <w:p>
      <w:pPr>
        <w:spacing w:after="60"/>
      </w:pPr>
      <w:r>
        <w:rPr>
          <w:b/>
          <w:i w:val="0"/>
        </w:rPr>
        <w:t xml:space="preserve">Behaviour: </w:t>
      </w:r>
      <w:r>
        <w:rPr>
          <w:b w:val="0"/>
          <w:i w:val="0"/>
        </w:rPr>
        <w:t>New jurisdiction or high sensitivity use creates a policy review covering handling basis, transfers, notices, incident commitments, vulnerable populations and safeguards. Approval records qualified policy inputs rather than an application-generated legal conclusion.</w:t>
      </w:r>
    </w:p>
    <w:p>
      <w:pPr>
        <w:spacing w:after="60"/>
      </w:pPr>
      <w:r>
        <w:rPr>
          <w:b/>
          <w:i w:val="0"/>
        </w:rPr>
        <w:t xml:space="preserve">Validation and recovery: </w:t>
      </w:r>
      <w:r>
        <w:rPr>
          <w:b w:val="0"/>
          <w:i w:val="0"/>
        </w:rPr>
        <w:t>Activation is blocked when mandatory decisions are absent. Product controls enforce expressible restrictions; unautomated obligations receive owners and evidence tasks.</w:t>
      </w:r>
    </w:p>
    <w:p>
      <w:pPr>
        <w:spacing w:after="60"/>
      </w:pPr>
      <w:r>
        <w:rPr>
          <w:b/>
          <w:i w:val="0"/>
        </w:rPr>
        <w:t xml:space="preserve">Acceptance FT-PRV-009: </w:t>
      </w:r>
      <w:r>
        <w:rPr>
          <w:b w:val="0"/>
          <w:i w:val="0"/>
        </w:rPr>
        <w:t>Enable a children's location programme without a guardian or safe-contact decision; the use case stays inactive until approved policy is supplied.</w:t>
      </w:r>
    </w:p>
    <w:p>
      <w:bookmarkStart w:id="270" w:name="req_FR_PRV_010"/>
      <w:pPr>
        <w:keepNext/>
        <w:spacing w:before="180" w:after="40"/>
      </w:pPr>
      <w:r>
        <w:rPr>
          <w:b/>
          <w:i w:val="0"/>
        </w:rPr>
        <w:t>FR-PRV-010   Telemetry and analytics privacy</w:t>
      </w:r>
      <w:bookmarkEnd w:id="270"/>
    </w:p>
    <w:p>
      <w:pPr>
        <w:keepNext/>
        <w:spacing w:after="60"/>
      </w:pPr>
      <w:r>
        <w:rPr>
          <w:b w:val="0"/>
          <w:i w:val="0"/>
          <w:sz w:val="19"/>
        </w:rPr>
        <w:t>Parent BR-PRV-010   |   P0   |   R1</w:t>
      </w:r>
    </w:p>
    <w:p>
      <w:pPr>
        <w:spacing w:after="60"/>
      </w:pPr>
      <w:r>
        <w:rPr>
          <w:b/>
          <w:i w:val="0"/>
        </w:rPr>
        <w:t xml:space="preserve">Behaviour: </w:t>
      </w:r>
      <w:r>
        <w:rPr>
          <w:b w:val="0"/>
          <w:i w:val="0"/>
        </w:rPr>
        <w:t>Telemetry schemas allow correlation, error category, timings and bounded operational metadata. Sensitive payload fields, credentials and unrestricted document text are excluded or redacted before general logging. Product analytics obey tenant opt-in or approved policy.</w:t>
      </w:r>
    </w:p>
    <w:p>
      <w:pPr>
        <w:spacing w:after="60"/>
      </w:pPr>
      <w:r>
        <w:rPr>
          <w:b/>
          <w:i w:val="0"/>
        </w:rPr>
        <w:t xml:space="preserve">Validation and recovery: </w:t>
      </w:r>
      <w:r>
        <w:rPr>
          <w:b w:val="0"/>
          <w:i w:val="0"/>
        </w:rPr>
        <w:t>Support diagnostics are a separate controlled export with expiry. Model evaluation samples do not inherit permission from routine operational logging.</w:t>
      </w:r>
    </w:p>
    <w:p>
      <w:pPr>
        <w:spacing w:after="60"/>
      </w:pPr>
      <w:r>
        <w:rPr>
          <w:b/>
          <w:i w:val="0"/>
        </w:rPr>
        <w:t xml:space="preserve">Acceptance FT-PRV-010: </w:t>
      </w:r>
      <w:r>
        <w:rPr>
          <w:b w:val="0"/>
          <w:i w:val="0"/>
        </w:rPr>
        <w:t>Trigger import and AI failures containing synthetic personal markers and confirm none appears in general traces or analytics events.</w:t>
      </w:r>
    </w:p>
    <w:p>
      <w:bookmarkStart w:id="271" w:name="sec_29"/>
      <w:pPr>
        <w:pStyle w:val="Heading1"/>
      </w:pPr>
      <w:r>
        <w:rPr>
          <w:b w:val="0"/>
          <w:i w:val="0"/>
        </w:rPr>
        <w:t>29 Service operations and commercial administration</w:t>
      </w:r>
      <w:bookmarkEnd w:id="271"/>
    </w:p>
    <w:p>
      <w:pPr>
        <w:spacing w:after="140"/>
      </w:pPr>
      <w:r>
        <w:rPr>
          <w:b w:val="0"/>
          <w:i/>
          <w:sz w:val="21"/>
        </w:rPr>
        <w:t>Primary actors: Platform operator support owner and tenant billing contact. Interfaces: UI04 UI28. Logical entities: D01 D31 D34 D36 D37.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72" w:name="req_FR_OPS_001"/>
      <w:pPr>
        <w:keepNext/>
        <w:spacing w:before="180" w:after="40"/>
      </w:pPr>
      <w:r>
        <w:rPr>
          <w:b/>
          <w:i w:val="0"/>
        </w:rPr>
        <w:t>FR-OPS-001   Service administration console</w:t>
      </w:r>
      <w:bookmarkEnd w:id="272"/>
    </w:p>
    <w:p>
      <w:pPr>
        <w:keepNext/>
        <w:spacing w:after="60"/>
      </w:pPr>
      <w:r>
        <w:rPr>
          <w:b w:val="0"/>
          <w:i w:val="0"/>
          <w:sz w:val="19"/>
        </w:rPr>
        <w:t>Parent BR-OPS-001   |   P0   |   R1</w:t>
      </w:r>
    </w:p>
    <w:p>
      <w:pPr>
        <w:spacing w:after="60"/>
      </w:pPr>
      <w:r>
        <w:rPr>
          <w:b/>
          <w:i w:val="0"/>
        </w:rPr>
        <w:t xml:space="preserve">Behaviour: </w:t>
      </w:r>
      <w:r>
        <w:rPr>
          <w:b w:val="0"/>
          <w:i w:val="0"/>
        </w:rPr>
        <w:t>The operations console exposes tenant identity, lifecycle, plan, health and limits without programme content. High impact actions show exact tenant and effect, require reason and appropriate assurance, and record an operation receipt.</w:t>
      </w:r>
    </w:p>
    <w:p>
      <w:pPr>
        <w:spacing w:after="60"/>
      </w:pPr>
      <w:r>
        <w:rPr>
          <w:b/>
          <w:i w:val="0"/>
        </w:rPr>
        <w:t xml:space="preserve">Validation and recovery: </w:t>
      </w:r>
      <w:r>
        <w:rPr>
          <w:b w:val="0"/>
          <w:i w:val="0"/>
        </w:rPr>
        <w:t>Searching operational metadata cannot reveal participant names. Suspending one tenant does not change another tenant's access or jobs.</w:t>
      </w:r>
    </w:p>
    <w:p>
      <w:pPr>
        <w:spacing w:after="60"/>
      </w:pPr>
      <w:r>
        <w:rPr>
          <w:b/>
          <w:i w:val="0"/>
        </w:rPr>
        <w:t xml:space="preserve">Acceptance FT-OPS-001: </w:t>
      </w:r>
      <w:r>
        <w:rPr>
          <w:b w:val="0"/>
          <w:i w:val="0"/>
        </w:rPr>
        <w:t>Suspend the intended synthetic tenant after preview and verify only its permitted lifecycle effects occur.</w:t>
      </w:r>
    </w:p>
    <w:p>
      <w:bookmarkStart w:id="273" w:name="req_FR_OPS_002"/>
      <w:pPr>
        <w:keepNext/>
        <w:spacing w:before="180" w:after="40"/>
      </w:pPr>
      <w:r>
        <w:rPr>
          <w:b/>
          <w:i w:val="0"/>
        </w:rPr>
        <w:t>FR-OPS-002   Entitlements and limits</w:t>
      </w:r>
      <w:bookmarkEnd w:id="273"/>
    </w:p>
    <w:p>
      <w:pPr>
        <w:keepNext/>
        <w:spacing w:after="60"/>
      </w:pPr>
      <w:r>
        <w:rPr>
          <w:b w:val="0"/>
          <w:i w:val="0"/>
          <w:sz w:val="19"/>
        </w:rPr>
        <w:t>Parent BR-OPS-002   |   P1   |   R1</w:t>
      </w:r>
    </w:p>
    <w:p>
      <w:pPr>
        <w:spacing w:after="60"/>
      </w:pPr>
      <w:r>
        <w:rPr>
          <w:b/>
          <w:i w:val="0"/>
        </w:rPr>
        <w:t xml:space="preserve">Behaviour: </w:t>
      </w:r>
      <w:r>
        <w:rPr>
          <w:b w:val="0"/>
          <w:i w:val="0"/>
        </w:rPr>
        <w:t>Entitlement checks distinguish storage, seats, projects, connectors, API workload and AI budget. Warnings begin at 80 percent of a finite allowance and show usage basis. At the limit, block new excess work while preserving read, correction, security and authorised exit paths.</w:t>
      </w:r>
    </w:p>
    <w:p>
      <w:pPr>
        <w:spacing w:after="60"/>
      </w:pPr>
      <w:r>
        <w:rPr>
          <w:b/>
          <w:i w:val="0"/>
        </w:rPr>
        <w:t xml:space="preserve">Validation and recovery: </w:t>
      </w:r>
      <w:r>
        <w:rPr>
          <w:b w:val="0"/>
          <w:i w:val="0"/>
        </w:rPr>
        <w:t>A commercial quota is not a data permission. Reaching a limit cannot remove MFA, delete stored data or expose protected information. Security repairs and privacy obligations remain executable.</w:t>
      </w:r>
    </w:p>
    <w:p>
      <w:pPr>
        <w:spacing w:after="60"/>
      </w:pPr>
      <w:r>
        <w:rPr>
          <w:b/>
          <w:i w:val="0"/>
        </w:rPr>
        <w:t xml:space="preserve">Acceptance FT-OPS-002: </w:t>
      </w:r>
      <w:r>
        <w:rPr>
          <w:b w:val="0"/>
          <w:i w:val="0"/>
        </w:rPr>
        <w:t>Fill storage allowance, attempt a new media upload and then export existing data; the upload is blocked safely while permitted export remains available.</w:t>
      </w:r>
    </w:p>
    <w:p>
      <w:bookmarkStart w:id="274" w:name="req_FR_OPS_003"/>
      <w:pPr>
        <w:keepNext/>
        <w:spacing w:before="180" w:after="40"/>
      </w:pPr>
      <w:r>
        <w:rPr>
          <w:b/>
          <w:i w:val="0"/>
        </w:rPr>
        <w:t>FR-OPS-003   Subscription administration</w:t>
      </w:r>
      <w:bookmarkEnd w:id="274"/>
    </w:p>
    <w:p>
      <w:pPr>
        <w:keepNext/>
        <w:spacing w:after="60"/>
      </w:pPr>
      <w:r>
        <w:rPr>
          <w:b w:val="0"/>
          <w:i w:val="0"/>
          <w:sz w:val="19"/>
        </w:rPr>
        <w:t>Parent BR-OPS-003   |   P1   |   R2</w:t>
      </w:r>
    </w:p>
    <w:p>
      <w:pPr>
        <w:spacing w:after="60"/>
      </w:pPr>
      <w:r>
        <w:rPr>
          <w:b/>
          <w:i w:val="0"/>
        </w:rPr>
        <w:t xml:space="preserve">Behaviour: </w:t>
      </w:r>
      <w:r>
        <w:rPr>
          <w:b w:val="0"/>
          <w:i w:val="0"/>
        </w:rPr>
        <w:t>Subscription changes preview plan limits, overage, renewal date and affected optional capabilities. Downgrade with excess usage creates a resolution plan and grace terms drawn from the contract. Billing contacts do not become programme administrators.</w:t>
      </w:r>
    </w:p>
    <w:p>
      <w:pPr>
        <w:spacing w:after="60"/>
      </w:pPr>
      <w:r>
        <w:rPr>
          <w:b/>
          <w:i w:val="0"/>
        </w:rPr>
        <w:t xml:space="preserve">Validation and recovery: </w:t>
      </w:r>
      <w:r>
        <w:rPr>
          <w:b w:val="0"/>
          <w:i w:val="0"/>
        </w:rPr>
        <w:t>Payment provider failure does not alter approved results. Tenant closure and deletion require their own authorised workflow; no payment secret is retained unnecessarily.</w:t>
      </w:r>
    </w:p>
    <w:p>
      <w:pPr>
        <w:spacing w:after="60"/>
      </w:pPr>
      <w:r>
        <w:rPr>
          <w:b/>
          <w:i w:val="0"/>
        </w:rPr>
        <w:t xml:space="preserve">Acceptance FT-OPS-003: </w:t>
      </w:r>
      <w:r>
        <w:rPr>
          <w:b w:val="0"/>
          <w:i w:val="0"/>
        </w:rPr>
        <w:t>Downgrade below current project count and verify existing records remain readable while creation beyond the new limit is controlled.</w:t>
      </w:r>
    </w:p>
    <w:p>
      <w:bookmarkStart w:id="275" w:name="req_FR_OPS_004"/>
      <w:pPr>
        <w:keepNext/>
        <w:spacing w:before="180" w:after="40"/>
      </w:pPr>
      <w:r>
        <w:rPr>
          <w:b/>
          <w:i w:val="0"/>
        </w:rPr>
        <w:t>FR-OPS-004   Support case management</w:t>
      </w:r>
      <w:bookmarkEnd w:id="275"/>
    </w:p>
    <w:p>
      <w:pPr>
        <w:keepNext/>
        <w:spacing w:after="60"/>
      </w:pPr>
      <w:r>
        <w:rPr>
          <w:b w:val="0"/>
          <w:i w:val="0"/>
          <w:sz w:val="19"/>
        </w:rPr>
        <w:t>Parent BR-OPS-004   |   P1   |   R1</w:t>
      </w:r>
    </w:p>
    <w:p>
      <w:pPr>
        <w:spacing w:after="60"/>
      </w:pPr>
      <w:r>
        <w:rPr>
          <w:b/>
          <w:i w:val="0"/>
        </w:rPr>
        <w:t xml:space="preserve">Behaviour: </w:t>
      </w:r>
      <w:r>
        <w:rPr>
          <w:b w:val="0"/>
          <w:i w:val="0"/>
        </w:rPr>
        <w:t>Support cases capture tenant, problem category, severity, safe correlation IDs, owner and communication history. Attaching diagnostics shows classification and scope. Content access, when necessary, starts a separate approved support session.</w:t>
      </w:r>
    </w:p>
    <w:p>
      <w:pPr>
        <w:spacing w:after="60"/>
      </w:pPr>
      <w:r>
        <w:rPr>
          <w:b/>
          <w:i w:val="0"/>
        </w:rPr>
        <w:t xml:space="preserve">Validation and recovery: </w:t>
      </w:r>
      <w:r>
        <w:rPr>
          <w:b w:val="0"/>
          <w:i w:val="0"/>
        </w:rPr>
        <w:t>A support ticket does not itself authorise unrestricted data browsing. Closed case attachments expire under the applicable retention policy.</w:t>
      </w:r>
    </w:p>
    <w:p>
      <w:pPr>
        <w:spacing w:after="60"/>
      </w:pPr>
      <w:r>
        <w:rPr>
          <w:b/>
          <w:i w:val="0"/>
        </w:rPr>
        <w:t xml:space="preserve">Acceptance FT-OPS-004: </w:t>
      </w:r>
      <w:r>
        <w:rPr>
          <w:b w:val="0"/>
          <w:i w:val="0"/>
        </w:rPr>
        <w:t>Resolve a failed import using safe error references; if content inspection becomes necessary, retain the explicit approved access grant and its expiry.</w:t>
      </w:r>
    </w:p>
    <w:p>
      <w:bookmarkStart w:id="276" w:name="req_FR_OPS_005"/>
      <w:pPr>
        <w:keepNext/>
        <w:spacing w:before="180" w:after="40"/>
      </w:pPr>
      <w:r>
        <w:rPr>
          <w:b/>
          <w:i w:val="0"/>
        </w:rPr>
        <w:t>FR-OPS-005   Monitoring and service visibility</w:t>
      </w:r>
      <w:bookmarkEnd w:id="276"/>
    </w:p>
    <w:p>
      <w:pPr>
        <w:keepNext/>
        <w:spacing w:after="60"/>
      </w:pPr>
      <w:r>
        <w:rPr>
          <w:b w:val="0"/>
          <w:i w:val="0"/>
          <w:sz w:val="19"/>
        </w:rPr>
        <w:t>Parent BR-OPS-005   |   P0   |   R1</w:t>
      </w:r>
    </w:p>
    <w:p>
      <w:pPr>
        <w:spacing w:after="60"/>
      </w:pPr>
      <w:r>
        <w:rPr>
          <w:b/>
          <w:i w:val="0"/>
        </w:rPr>
        <w:t xml:space="preserve">Behaviour: </w:t>
      </w:r>
      <w:r>
        <w:rPr>
          <w:b w:val="0"/>
          <w:i w:val="0"/>
        </w:rPr>
        <w:t>Health views separate core service, connectors, asynchronous processing and AI. Monitor journey success, latency, backlog, freshness and quota pressure by permitted tenant cohort. Incidents link affected function and owner.</w:t>
      </w:r>
    </w:p>
    <w:p>
      <w:pPr>
        <w:spacing w:after="60"/>
      </w:pPr>
      <w:r>
        <w:rPr>
          <w:b/>
          <w:i w:val="0"/>
        </w:rPr>
        <w:t xml:space="preserve">Validation and recovery: </w:t>
      </w:r>
      <w:r>
        <w:rPr>
          <w:b w:val="0"/>
          <w:i w:val="0"/>
        </w:rPr>
        <w:t>Do not report core outage solely because one model provider failed, or healthy data freshness because the web interface is responsive. Tenant views expose only relevant incident details.</w:t>
      </w:r>
    </w:p>
    <w:p>
      <w:pPr>
        <w:spacing w:after="60"/>
      </w:pPr>
      <w:r>
        <w:rPr>
          <w:b/>
          <w:i w:val="0"/>
        </w:rPr>
        <w:t xml:space="preserve">Acceptance FT-OPS-005: </w:t>
      </w:r>
      <w:r>
        <w:rPr>
          <w:b w:val="0"/>
          <w:i w:val="0"/>
        </w:rPr>
        <w:t>Fail a connector while the core remains healthy; show integration delay and stale results without falsely declaring all programme operations unavailable.</w:t>
      </w:r>
    </w:p>
    <w:p>
      <w:bookmarkStart w:id="277" w:name="req_FR_OPS_006"/>
      <w:pPr>
        <w:keepNext/>
        <w:spacing w:before="180" w:after="40"/>
      </w:pPr>
      <w:r>
        <w:rPr>
          <w:b/>
          <w:i w:val="0"/>
        </w:rPr>
        <w:t>FR-OPS-006   Backup and recovery operations</w:t>
      </w:r>
      <w:bookmarkEnd w:id="277"/>
    </w:p>
    <w:p>
      <w:pPr>
        <w:keepNext/>
        <w:spacing w:after="60"/>
      </w:pPr>
      <w:r>
        <w:rPr>
          <w:b w:val="0"/>
          <w:i w:val="0"/>
          <w:sz w:val="19"/>
        </w:rPr>
        <w:t>Parent BR-OPS-006   |   P0   |   R1</w:t>
      </w:r>
    </w:p>
    <w:p>
      <w:pPr>
        <w:spacing w:after="60"/>
      </w:pPr>
      <w:r>
        <w:rPr>
          <w:b/>
          <w:i w:val="0"/>
        </w:rPr>
        <w:t xml:space="preserve">Behaviour: </w:t>
      </w:r>
      <w:r>
        <w:rPr>
          <w:b w:val="0"/>
          <w:i w:val="0"/>
        </w:rPr>
        <w:t>Recovery inventory includes records, files, configuration, definitions, approvals, snapshots, audit and deletion instructions. Restore validates a mutually consistent checkpoint, reapplies current restrictions and reconciles accepted writes before controlled reopening.</w:t>
      </w:r>
    </w:p>
    <w:p>
      <w:pPr>
        <w:spacing w:after="60"/>
      </w:pPr>
      <w:r>
        <w:rPr>
          <w:b/>
          <w:i w:val="0"/>
        </w:rPr>
        <w:t xml:space="preserve">Validation and recovery: </w:t>
      </w:r>
      <w:r>
        <w:rPr>
          <w:b w:val="0"/>
          <w:i w:val="0"/>
        </w:rPr>
        <w:t>Missing required evidence files or governance state prevents declaring a complete restore. Recovery region and key policy remain enforced.</w:t>
      </w:r>
    </w:p>
    <w:p>
      <w:pPr>
        <w:spacing w:after="60"/>
      </w:pPr>
      <w:r>
        <w:rPr>
          <w:b/>
          <w:i w:val="0"/>
        </w:rPr>
        <w:t xml:space="preserve">Acceptance FT-OPS-006: </w:t>
      </w:r>
      <w:r>
        <w:rPr>
          <w:b w:val="0"/>
          <w:i w:val="0"/>
        </w:rPr>
        <w:t>Recover a representative tenant and compare structured records, attachment integrity, report snapshots and effective grants before allowing normal access.</w:t>
      </w:r>
    </w:p>
    <w:p>
      <w:bookmarkStart w:id="278" w:name="req_FR_OPS_007"/>
      <w:pPr>
        <w:keepNext/>
        <w:spacing w:before="180" w:after="40"/>
      </w:pPr>
      <w:r>
        <w:rPr>
          <w:b/>
          <w:i w:val="0"/>
        </w:rPr>
        <w:t>FR-OPS-007   Safe release and rollback</w:t>
      </w:r>
      <w:bookmarkEnd w:id="278"/>
    </w:p>
    <w:p>
      <w:pPr>
        <w:keepNext/>
        <w:spacing w:after="60"/>
      </w:pPr>
      <w:r>
        <w:rPr>
          <w:b w:val="0"/>
          <w:i w:val="0"/>
          <w:sz w:val="19"/>
        </w:rPr>
        <w:t>Parent BR-OPS-007   |   P0   |   R1</w:t>
      </w:r>
    </w:p>
    <w:p>
      <w:pPr>
        <w:spacing w:after="60"/>
      </w:pPr>
      <w:r>
        <w:rPr>
          <w:b/>
          <w:i w:val="0"/>
        </w:rPr>
        <w:t xml:space="preserve">Behaviour: </w:t>
      </w:r>
      <w:r>
        <w:rPr>
          <w:b w:val="0"/>
          <w:i w:val="0"/>
        </w:rPr>
        <w:t>Release preparation validates compatibility, data migration, required gates and rollback or roll-forward path. Controlled exposure records cohort and feature configuration. Failure stops expansion and executes the rehearsed recovery path.</w:t>
      </w:r>
    </w:p>
    <w:p>
      <w:pPr>
        <w:spacing w:after="60"/>
      </w:pPr>
      <w:r>
        <w:rPr>
          <w:b/>
          <w:i w:val="0"/>
        </w:rPr>
        <w:t xml:space="preserve">Validation and recovery: </w:t>
      </w:r>
      <w:r>
        <w:rPr>
          <w:b w:val="0"/>
          <w:i w:val="0"/>
        </w:rPr>
        <w:t>Rollback cannot silently discard accepted writes or revert a privacy deletion. Irreversible migration needs an approved forward recovery procedure, not a fictitious rollback switch.</w:t>
      </w:r>
    </w:p>
    <w:p>
      <w:pPr>
        <w:spacing w:after="60"/>
      </w:pPr>
      <w:r>
        <w:rPr>
          <w:b/>
          <w:i w:val="0"/>
        </w:rPr>
        <w:t xml:space="preserve">Acceptance FT-OPS-007: </w:t>
      </w:r>
      <w:r>
        <w:rPr>
          <w:b w:val="0"/>
          <w:i w:val="0"/>
        </w:rPr>
        <w:t>Fail a release after valid submissions were accepted and verify they remain accounted for under the recovery plan.</w:t>
      </w:r>
    </w:p>
    <w:p>
      <w:bookmarkStart w:id="279" w:name="req_FR_OPS_008"/>
      <w:pPr>
        <w:keepNext/>
        <w:spacing w:before="180" w:after="40"/>
      </w:pPr>
      <w:r>
        <w:rPr>
          <w:b/>
          <w:i w:val="0"/>
        </w:rPr>
        <w:t>FR-OPS-008   Capacity and cost management</w:t>
      </w:r>
      <w:bookmarkEnd w:id="279"/>
    </w:p>
    <w:p>
      <w:pPr>
        <w:keepNext/>
        <w:spacing w:after="60"/>
      </w:pPr>
      <w:r>
        <w:rPr>
          <w:b w:val="0"/>
          <w:i w:val="0"/>
          <w:sz w:val="19"/>
        </w:rPr>
        <w:t>Parent BR-OPS-008   |   P1   |   R1</w:t>
      </w:r>
    </w:p>
    <w:p>
      <w:pPr>
        <w:spacing w:after="60"/>
      </w:pPr>
      <w:r>
        <w:rPr>
          <w:b/>
          <w:i w:val="0"/>
        </w:rPr>
        <w:t xml:space="preserve">Behaviour: </w:t>
      </w:r>
      <w:r>
        <w:rPr>
          <w:b w:val="0"/>
          <w:i w:val="0"/>
        </w:rPr>
        <w:t>Usage views track admitted work, completed jobs, storage, source runs and model consumption without payloads. Thresholds identify projected capacity pressure and expensive workloads. Cleanup targets temporary or orphan objects only after dependency and retention checks.</w:t>
      </w:r>
    </w:p>
    <w:p>
      <w:pPr>
        <w:spacing w:after="60"/>
      </w:pPr>
      <w:r>
        <w:rPr>
          <w:b/>
          <w:i w:val="0"/>
        </w:rPr>
        <w:t xml:space="preserve">Validation and recovery: </w:t>
      </w:r>
      <w:r>
        <w:rPr>
          <w:b w:val="0"/>
          <w:i w:val="0"/>
        </w:rPr>
        <w:t>Do not cancel another tenant's critical jobs to hide one tenant's cost spike. Approved budgets and operational limits are visible before restrictive changes.</w:t>
      </w:r>
    </w:p>
    <w:p>
      <w:pPr>
        <w:spacing w:after="60"/>
      </w:pPr>
      <w:r>
        <w:rPr>
          <w:b/>
          <w:i w:val="0"/>
        </w:rPr>
        <w:t xml:space="preserve">Acceptance FT-OPS-008: </w:t>
      </w:r>
      <w:r>
        <w:rPr>
          <w:b w:val="0"/>
          <w:i w:val="0"/>
        </w:rPr>
        <w:t>Run an expensive AI workload to its allowance and verify bounded queuing, usage attribution and unaffected ordinary approvals.</w:t>
      </w:r>
    </w:p>
    <w:p>
      <w:bookmarkStart w:id="280" w:name="req_FR_OPS_009"/>
      <w:pPr>
        <w:keepNext/>
        <w:spacing w:before="180" w:after="40"/>
      </w:pPr>
      <w:r>
        <w:rPr>
          <w:b/>
          <w:i w:val="0"/>
        </w:rPr>
        <w:t>FR-OPS-009   Operational automation</w:t>
      </w:r>
      <w:bookmarkEnd w:id="280"/>
    </w:p>
    <w:p>
      <w:pPr>
        <w:keepNext/>
        <w:spacing w:after="60"/>
      </w:pPr>
      <w:r>
        <w:rPr>
          <w:b w:val="0"/>
          <w:i w:val="0"/>
          <w:sz w:val="19"/>
        </w:rPr>
        <w:t>Parent BR-OPS-009   |   P1   |   R2</w:t>
      </w:r>
    </w:p>
    <w:p>
      <w:pPr>
        <w:spacing w:after="60"/>
      </w:pPr>
      <w:r>
        <w:rPr>
          <w:b/>
          <w:i w:val="0"/>
        </w:rPr>
        <w:t xml:space="preserve">Behaviour: </w:t>
      </w:r>
      <w:r>
        <w:rPr>
          <w:b w:val="0"/>
          <w:i w:val="0"/>
        </w:rPr>
        <w:t>Operational jobs declare owner, schedule, policy scope, idempotent identity, checkpoints and stop control. The run manifest records completed, held, skipped and failed items. Retry resumes eligible work under current policy.</w:t>
      </w:r>
    </w:p>
    <w:p>
      <w:pPr>
        <w:spacing w:after="60"/>
      </w:pPr>
      <w:r>
        <w:rPr>
          <w:b/>
          <w:i w:val="0"/>
        </w:rPr>
        <w:t xml:space="preserve">Validation and recovery: </w:t>
      </w:r>
      <w:r>
        <w:rPr>
          <w:b w:val="0"/>
          <w:i w:val="0"/>
        </w:rPr>
        <w:t>Destructive tasks recheck holds immediately before execution. A stopped schedule does not imply reversal of already completed actions.</w:t>
      </w:r>
    </w:p>
    <w:p>
      <w:pPr>
        <w:spacing w:after="60"/>
      </w:pPr>
      <w:r>
        <w:rPr>
          <w:b/>
          <w:i w:val="0"/>
        </w:rPr>
        <w:t xml:space="preserve">Acceptance FT-OPS-009: </w:t>
      </w:r>
      <w:r>
        <w:rPr>
          <w:b w:val="0"/>
          <w:i w:val="0"/>
        </w:rPr>
        <w:t>Retry a partially failed retention run; held evidence remains intact and already sent notifications are not duplicated.</w:t>
      </w:r>
    </w:p>
    <w:p>
      <w:bookmarkStart w:id="281" w:name="req_FR_OPS_010"/>
      <w:pPr>
        <w:keepNext/>
        <w:spacing w:before="180" w:after="40"/>
      </w:pPr>
      <w:r>
        <w:rPr>
          <w:b/>
          <w:i w:val="0"/>
        </w:rPr>
        <w:t>FR-OPS-010   Trust and assurance information</w:t>
      </w:r>
      <w:bookmarkEnd w:id="281"/>
    </w:p>
    <w:p>
      <w:pPr>
        <w:keepNext/>
        <w:spacing w:after="60"/>
      </w:pPr>
      <w:r>
        <w:rPr>
          <w:b w:val="0"/>
          <w:i w:val="0"/>
          <w:sz w:val="19"/>
        </w:rPr>
        <w:t>Parent BR-OPS-010   |   P1   |   R2</w:t>
      </w:r>
    </w:p>
    <w:p>
      <w:pPr>
        <w:spacing w:after="60"/>
      </w:pPr>
      <w:r>
        <w:rPr>
          <w:b/>
          <w:i w:val="0"/>
        </w:rPr>
        <w:t xml:space="preserve">Behaviour: </w:t>
      </w:r>
      <w:r>
        <w:rPr>
          <w:b w:val="0"/>
          <w:i w:val="0"/>
        </w:rPr>
        <w:t>The trust package versions approved security, privacy, subprocessor, service objective and incident-process statements with evidence owner and review date. Tenants see the package applicable to their deployment profile and contract.</w:t>
      </w:r>
    </w:p>
    <w:p>
      <w:pPr>
        <w:spacing w:after="60"/>
      </w:pPr>
      <w:r>
        <w:rPr>
          <w:b/>
          <w:i w:val="0"/>
        </w:rPr>
        <w:t xml:space="preserve">Validation and recovery: </w:t>
      </w:r>
      <w:r>
        <w:rPr>
          <w:b w:val="0"/>
          <w:i w:val="0"/>
        </w:rPr>
        <w:t>Expired assessments or unqualified variants cannot inherit a blanket certification claim. Restricted assurance evidence has a controlled sharing path.</w:t>
      </w:r>
    </w:p>
    <w:p>
      <w:pPr>
        <w:spacing w:after="60"/>
      </w:pPr>
      <w:r>
        <w:rPr>
          <w:b/>
          <w:i w:val="0"/>
        </w:rPr>
        <w:t xml:space="preserve">Acceptance FT-OPS-010: </w:t>
      </w:r>
      <w:r>
        <w:rPr>
          <w:b w:val="0"/>
          <w:i w:val="0"/>
        </w:rPr>
        <w:t>Compare a published assurance claim to its scoped assessment and remove or qualify any claim whose evidence no longer applies.</w:t>
      </w:r>
    </w:p>
    <w:p>
      <w:bookmarkStart w:id="282" w:name="sec_30"/>
      <w:pPr>
        <w:pStyle w:val="Heading1"/>
      </w:pPr>
      <w:r>
        <w:rPr>
          <w:b w:val="0"/>
          <w:i w:val="0"/>
        </w:rPr>
        <w:t>30 Migration onboarding and tenant exit</w:t>
      </w:r>
      <w:bookmarkEnd w:id="282"/>
    </w:p>
    <w:p>
      <w:pPr>
        <w:spacing w:after="140"/>
      </w:pPr>
      <w:r>
        <w:rPr>
          <w:b w:val="0"/>
          <w:i/>
          <w:sz w:val="21"/>
        </w:rPr>
        <w:t>Primary actors: Implementation lead tenant owner and MEL acceptance lead. Interfaces: UI03 UI29. Logical entities: D01 D21 D22 D27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83" w:name="req_FR_MIG_001"/>
      <w:pPr>
        <w:keepNext/>
        <w:spacing w:before="180" w:after="40"/>
      </w:pPr>
      <w:r>
        <w:rPr>
          <w:b/>
          <w:i w:val="0"/>
        </w:rPr>
        <w:t>FR-MIG-001   Source discovery and mapping</w:t>
      </w:r>
      <w:bookmarkEnd w:id="283"/>
    </w:p>
    <w:p>
      <w:pPr>
        <w:keepNext/>
        <w:spacing w:after="60"/>
      </w:pPr>
      <w:r>
        <w:rPr>
          <w:b w:val="0"/>
          <w:i w:val="0"/>
          <w:sz w:val="19"/>
        </w:rPr>
        <w:t>Parent BR-MIG-001   |   P0   |   R1</w:t>
      </w:r>
    </w:p>
    <w:p>
      <w:pPr>
        <w:spacing w:after="60"/>
      </w:pPr>
      <w:r>
        <w:rPr>
          <w:b/>
          <w:i w:val="0"/>
        </w:rPr>
        <w:t xml:space="preserve">Behaviour: </w:t>
      </w:r>
      <w:r>
        <w:rPr>
          <w:b w:val="0"/>
          <w:i w:val="0"/>
        </w:rPr>
        <w:t>Discovery inventories source entities, keys, volumes, semantics, attachments, users, grants and reports. Mapping classifies each element as preserved, transformed, excluded or unavailable and identifies owner, method and expected reconciliation.</w:t>
      </w:r>
    </w:p>
    <w:p>
      <w:pPr>
        <w:spacing w:after="60"/>
      </w:pPr>
      <w:r>
        <w:rPr>
          <w:b/>
          <w:i w:val="0"/>
        </w:rPr>
        <w:t xml:space="preserve">Validation and recovery: </w:t>
      </w:r>
      <w:r>
        <w:rPr>
          <w:b w:val="0"/>
          <w:i w:val="0"/>
        </w:rPr>
        <w:t>No assumption that TolaData provides every historical event or field through export. Unsupported source semantics require a documented decision before production load.</w:t>
      </w:r>
    </w:p>
    <w:p>
      <w:pPr>
        <w:spacing w:after="60"/>
      </w:pPr>
      <w:r>
        <w:rPr>
          <w:b/>
          <w:i w:val="0"/>
        </w:rPr>
        <w:t xml:space="preserve">Acceptance FT-MIG-001: </w:t>
      </w:r>
      <w:r>
        <w:rPr>
          <w:b w:val="0"/>
          <w:i w:val="0"/>
        </w:rPr>
        <w:t>Map an indicator with unknown historic formula and identify the limitation explicitly rather than inventing a deterministic approval history.</w:t>
      </w:r>
    </w:p>
    <w:p>
      <w:bookmarkStart w:id="284" w:name="req_FR_MIG_002"/>
      <w:pPr>
        <w:keepNext/>
        <w:spacing w:before="180" w:after="40"/>
      </w:pPr>
      <w:r>
        <w:rPr>
          <w:b/>
          <w:i w:val="0"/>
        </w:rPr>
        <w:t>FR-MIG-002   Trial migrations</w:t>
      </w:r>
      <w:bookmarkEnd w:id="284"/>
    </w:p>
    <w:p>
      <w:pPr>
        <w:keepNext/>
        <w:spacing w:after="60"/>
      </w:pPr>
      <w:r>
        <w:rPr>
          <w:b w:val="0"/>
          <w:i w:val="0"/>
          <w:sz w:val="19"/>
        </w:rPr>
        <w:t>Parent BR-MIG-002   |   P0   |   R1</w:t>
      </w:r>
    </w:p>
    <w:p>
      <w:pPr>
        <w:spacing w:after="60"/>
      </w:pPr>
      <w:r>
        <w:rPr>
          <w:b/>
          <w:i w:val="0"/>
        </w:rPr>
        <w:t xml:space="preserve">Behaviour: </w:t>
      </w:r>
      <w:r>
        <w:rPr>
          <w:b w:val="0"/>
          <w:i w:val="0"/>
        </w:rPr>
        <w:t>A trial uses isolated tenant context, synthetic destinations and disabled external side effects. The same source snapshot and mapping version can be replayed into a clean or keyed trial with outcome comparison.</w:t>
      </w:r>
    </w:p>
    <w:p>
      <w:pPr>
        <w:spacing w:after="60"/>
      </w:pPr>
      <w:r>
        <w:rPr>
          <w:b/>
          <w:i w:val="0"/>
        </w:rPr>
        <w:t xml:space="preserve">Validation and recovery: </w:t>
      </w:r>
      <w:r>
        <w:rPr>
          <w:b w:val="0"/>
          <w:i w:val="0"/>
        </w:rPr>
        <w:t>No live notifications, payment actions, connector writes or public reports from trial data. Trial credentials cannot access production.</w:t>
      </w:r>
    </w:p>
    <w:p>
      <w:pPr>
        <w:spacing w:after="60"/>
      </w:pPr>
      <w:r>
        <w:rPr>
          <w:b/>
          <w:i w:val="0"/>
        </w:rPr>
        <w:t xml:space="preserve">Acceptance FT-MIG-002: </w:t>
      </w:r>
      <w:r>
        <w:rPr>
          <w:b w:val="0"/>
          <w:i w:val="0"/>
        </w:rPr>
        <w:t>Run two identical trials and compare intended records, errors and totals; no duplicate achievements or real recipient messages occur.</w:t>
      </w:r>
    </w:p>
    <w:p>
      <w:bookmarkStart w:id="285" w:name="req_FR_MIG_003"/>
      <w:pPr>
        <w:keepNext/>
        <w:spacing w:before="180" w:after="40"/>
      </w:pPr>
      <w:r>
        <w:rPr>
          <w:b/>
          <w:i w:val="0"/>
        </w:rPr>
        <w:t>FR-MIG-003   Semantic reconciliation</w:t>
      </w:r>
      <w:bookmarkEnd w:id="285"/>
    </w:p>
    <w:p>
      <w:pPr>
        <w:keepNext/>
        <w:spacing w:after="60"/>
      </w:pPr>
      <w:r>
        <w:rPr>
          <w:b w:val="0"/>
          <w:i w:val="0"/>
          <w:sz w:val="19"/>
        </w:rPr>
        <w:t>Parent BR-MIG-003   |   P0   |   R1</w:t>
      </w:r>
    </w:p>
    <w:p>
      <w:pPr>
        <w:spacing w:after="60"/>
      </w:pPr>
      <w:r>
        <w:rPr>
          <w:b/>
          <w:i w:val="0"/>
        </w:rPr>
        <w:t xml:space="preserve">Behaviour: </w:t>
      </w:r>
      <w:r>
        <w:rPr>
          <w:b w:val="0"/>
          <w:i w:val="0"/>
        </w:rPr>
        <w:t>Reconciliation compares counts, keys, units, periods, targets, ratios, overlap, attachments and representative reports. Each variance records source value, destination value, cause, severity and decision. Critical unexplained result differences block cutover.</w:t>
      </w:r>
    </w:p>
    <w:p>
      <w:pPr>
        <w:spacing w:after="60"/>
      </w:pPr>
      <w:r>
        <w:rPr>
          <w:b/>
          <w:i w:val="0"/>
        </w:rPr>
        <w:t xml:space="preserve">Validation and recovery: </w:t>
      </w:r>
      <w:r>
        <w:rPr>
          <w:b w:val="0"/>
          <w:i w:val="0"/>
        </w:rPr>
        <w:t>Record count agreement alone is insufficient. Accepted differences remain visible in migration metadata and user-facing limitations where material.</w:t>
      </w:r>
    </w:p>
    <w:p>
      <w:pPr>
        <w:spacing w:after="60"/>
      </w:pPr>
      <w:r>
        <w:rPr>
          <w:b/>
          <w:i w:val="0"/>
        </w:rPr>
        <w:t xml:space="preserve">Acceptance FT-MIG-003: </w:t>
      </w:r>
      <w:r>
        <w:rPr>
          <w:b w:val="0"/>
          <w:i w:val="0"/>
        </w:rPr>
        <w:t>Migrate a pooled percentage and cumulative series, independently recompute both and resolve semantic differences before signoff.</w:t>
      </w:r>
    </w:p>
    <w:p>
      <w:bookmarkStart w:id="286" w:name="req_FR_MIG_004"/>
      <w:pPr>
        <w:keepNext/>
        <w:spacing w:before="180" w:after="40"/>
      </w:pPr>
      <w:r>
        <w:rPr>
          <w:b/>
          <w:i w:val="0"/>
        </w:rPr>
        <w:t>FR-MIG-004   Historical provenance</w:t>
      </w:r>
      <w:bookmarkEnd w:id="286"/>
    </w:p>
    <w:p>
      <w:pPr>
        <w:keepNext/>
        <w:spacing w:after="60"/>
      </w:pPr>
      <w:r>
        <w:rPr>
          <w:b w:val="0"/>
          <w:i w:val="0"/>
          <w:sz w:val="19"/>
        </w:rPr>
        <w:t>Parent BR-MIG-004   |   P0   |   R1</w:t>
      </w:r>
    </w:p>
    <w:p>
      <w:pPr>
        <w:spacing w:after="60"/>
      </w:pPr>
      <w:r>
        <w:rPr>
          <w:b/>
          <w:i w:val="0"/>
        </w:rPr>
        <w:t xml:space="preserve">Behaviour: </w:t>
      </w:r>
      <w:r>
        <w:rPr>
          <w:b w:val="0"/>
          <w:i w:val="0"/>
        </w:rPr>
        <w:t>Imported history stores original event values, source origin, available evidence and migration receipt separately. Unverified source decisions are labelled imported assertions; destination decisions have real current actors and timestamps.</w:t>
      </w:r>
    </w:p>
    <w:p>
      <w:pPr>
        <w:spacing w:after="60"/>
      </w:pPr>
      <w:r>
        <w:rPr>
          <w:b/>
          <w:i w:val="0"/>
        </w:rPr>
        <w:t xml:space="preserve">Validation and recovery: </w:t>
      </w:r>
      <w:r>
        <w:rPr>
          <w:b w:val="0"/>
          <w:i w:val="0"/>
        </w:rPr>
        <w:t>Never fabricate old approvals or use migration time as the original event date. Missing history is represented as unavailable rather than silently reconstructed.</w:t>
      </w:r>
    </w:p>
    <w:p>
      <w:pPr>
        <w:spacing w:after="60"/>
      </w:pPr>
      <w:r>
        <w:rPr>
          <w:b/>
          <w:i w:val="0"/>
        </w:rPr>
        <w:t xml:space="preserve">Acceptance FT-MIG-004: </w:t>
      </w:r>
      <w:r>
        <w:rPr>
          <w:b w:val="0"/>
          <w:i w:val="0"/>
        </w:rPr>
        <w:t>Inspect a migrated report approval and identify whether it is a preserved source record, verified evidence or a new destination decision.</w:t>
      </w:r>
    </w:p>
    <w:p>
      <w:bookmarkStart w:id="287" w:name="req_FR_MIG_005"/>
      <w:pPr>
        <w:keepNext/>
        <w:spacing w:before="180" w:after="40"/>
      </w:pPr>
      <w:r>
        <w:rPr>
          <w:b/>
          <w:i w:val="0"/>
        </w:rPr>
        <w:t>FR-MIG-005   Cutover and rollback</w:t>
      </w:r>
      <w:bookmarkEnd w:id="287"/>
    </w:p>
    <w:p>
      <w:pPr>
        <w:keepNext/>
        <w:spacing w:after="60"/>
      </w:pPr>
      <w:r>
        <w:rPr>
          <w:b w:val="0"/>
          <w:i w:val="0"/>
          <w:sz w:val="19"/>
        </w:rPr>
        <w:t>Parent BR-MIG-005   |   P0   |   R1</w:t>
      </w:r>
    </w:p>
    <w:p>
      <w:pPr>
        <w:spacing w:after="60"/>
      </w:pPr>
      <w:r>
        <w:rPr>
          <w:b/>
          <w:i w:val="0"/>
        </w:rPr>
        <w:t xml:space="preserve">Behaviour: </w:t>
      </w:r>
      <w:r>
        <w:rPr>
          <w:b w:val="0"/>
          <w:i w:val="0"/>
        </w:rPr>
        <w:t>The cutover runbook selects authoritative system, freeze instant or delta method, final reconciliation, owners and rollback trigger. Late source updates receive stable keys and a final delta reconciliation. Destination writes begin only after authority switches.</w:t>
      </w:r>
    </w:p>
    <w:p>
      <w:pPr>
        <w:spacing w:after="60"/>
      </w:pPr>
      <w:r>
        <w:rPr>
          <w:b/>
          <w:i w:val="0"/>
        </w:rPr>
        <w:t xml:space="preserve">Validation and recovery: </w:t>
      </w:r>
      <w:r>
        <w:rPr>
          <w:b w:val="0"/>
          <w:i w:val="0"/>
        </w:rPr>
        <w:t>Prevent both systems from independently publishing the same official period. Rollback identifies destination writes needing safe replay or reconciliation.</w:t>
      </w:r>
    </w:p>
    <w:p>
      <w:pPr>
        <w:spacing w:after="60"/>
      </w:pPr>
      <w:r>
        <w:rPr>
          <w:b/>
          <w:i w:val="0"/>
        </w:rPr>
        <w:t xml:space="preserve">Acceptance FT-MIG-005: </w:t>
      </w:r>
      <w:r>
        <w:rPr>
          <w:b w:val="0"/>
          <w:i w:val="0"/>
        </w:rPr>
        <w:t>Update one source record during the final transfer; the cutover captures it in the delta or reports a controlled exclusion requiring resolution.</w:t>
      </w:r>
    </w:p>
    <w:p>
      <w:bookmarkStart w:id="288" w:name="req_FR_MIG_006"/>
      <w:pPr>
        <w:keepNext/>
        <w:spacing w:before="180" w:after="40"/>
      </w:pPr>
      <w:r>
        <w:rPr>
          <w:b/>
          <w:i w:val="0"/>
        </w:rPr>
        <w:t>FR-MIG-006   User enablement</w:t>
      </w:r>
      <w:bookmarkEnd w:id="288"/>
    </w:p>
    <w:p>
      <w:pPr>
        <w:keepNext/>
        <w:spacing w:after="60"/>
      </w:pPr>
      <w:r>
        <w:rPr>
          <w:b w:val="0"/>
          <w:i w:val="0"/>
          <w:sz w:val="19"/>
        </w:rPr>
        <w:t>Parent BR-MIG-006   |   P1   |   R1</w:t>
      </w:r>
    </w:p>
    <w:p>
      <w:pPr>
        <w:spacing w:after="60"/>
      </w:pPr>
      <w:r>
        <w:rPr>
          <w:b/>
          <w:i w:val="0"/>
        </w:rPr>
        <w:t xml:space="preserve">Behaviour: </w:t>
      </w:r>
      <w:r>
        <w:rPr>
          <w:b w:val="0"/>
          <w:i w:val="0"/>
        </w:rPr>
        <w:t>Onboarding assigns role specific practice tasks using safe sample programmes. Administrators verify scopes and users complete setup, collection, correction, review or viewing tasks relevant to their role. Help links explain both actions and measurement concepts.</w:t>
      </w:r>
    </w:p>
    <w:p>
      <w:pPr>
        <w:spacing w:after="60"/>
      </w:pPr>
      <w:r>
        <w:rPr>
          <w:b/>
          <w:i w:val="0"/>
        </w:rPr>
        <w:t xml:space="preserve">Validation and recovery: </w:t>
      </w:r>
      <w:r>
        <w:rPr>
          <w:b w:val="0"/>
          <w:i w:val="0"/>
        </w:rPr>
        <w:t>Training does not grant production access by default. Completion evidence identifies task outcomes rather than mere attendance.</w:t>
      </w:r>
    </w:p>
    <w:p>
      <w:pPr>
        <w:spacing w:after="60"/>
      </w:pPr>
      <w:r>
        <w:rPr>
          <w:b/>
          <w:i w:val="0"/>
        </w:rPr>
        <w:t xml:space="preserve">Acceptance FT-MIG-006: </w:t>
      </w:r>
      <w:r>
        <w:rPr>
          <w:b w:val="0"/>
          <w:i w:val="0"/>
        </w:rPr>
        <w:t>An enumerator completes offline practice, a reviewer returns and approves a correction, and neither can access real participant records in training.</w:t>
      </w:r>
    </w:p>
    <w:p>
      <w:bookmarkStart w:id="289" w:name="req_FR_MIG_007"/>
      <w:pPr>
        <w:keepNext/>
        <w:spacing w:before="180" w:after="40"/>
      </w:pPr>
      <w:r>
        <w:rPr>
          <w:b/>
          <w:i w:val="0"/>
        </w:rPr>
        <w:t>FR-MIG-007   Full tenant export</w:t>
      </w:r>
      <w:bookmarkEnd w:id="289"/>
    </w:p>
    <w:p>
      <w:pPr>
        <w:keepNext/>
        <w:spacing w:after="60"/>
      </w:pPr>
      <w:r>
        <w:rPr>
          <w:b w:val="0"/>
          <w:i w:val="0"/>
          <w:sz w:val="19"/>
        </w:rPr>
        <w:t>Parent BR-MIG-007   |   P0   |   R1</w:t>
      </w:r>
    </w:p>
    <w:p>
      <w:pPr>
        <w:spacing w:after="60"/>
      </w:pPr>
      <w:r>
        <w:rPr>
          <w:b/>
          <w:i w:val="0"/>
        </w:rPr>
        <w:t xml:space="preserve">Behaviour: </w:t>
      </w:r>
      <w:r>
        <w:rPr>
          <w:b w:val="0"/>
          <w:i w:val="0"/>
        </w:rPr>
        <w:t>Tenant export builds a machine readable object and relationship package, files, dictionaries, versions, permitted decisions and configuration. The manifest records counts, integrity references, exclusions and restoration instructions independent of internal infrastructure.</w:t>
      </w:r>
    </w:p>
    <w:p>
      <w:pPr>
        <w:spacing w:after="60"/>
      </w:pPr>
      <w:r>
        <w:rPr>
          <w:b/>
          <w:i w:val="0"/>
        </w:rPr>
        <w:t xml:space="preserve">Validation and recovery: </w:t>
      </w:r>
      <w:r>
        <w:rPr>
          <w:b w:val="0"/>
          <w:i w:val="0"/>
        </w:rPr>
        <w:t>An owner may initiate exit but sensitive content access remains policy governed. Secret values are excluded and listed as requiring reconfiguration, not silently omitted from the manifest.</w:t>
      </w:r>
    </w:p>
    <w:p>
      <w:pPr>
        <w:spacing w:after="60"/>
      </w:pPr>
      <w:r>
        <w:rPr>
          <w:b/>
          <w:i w:val="0"/>
        </w:rPr>
        <w:t xml:space="preserve">Acceptance FT-MIG-007: </w:t>
      </w:r>
      <w:r>
        <w:rPr>
          <w:b w:val="0"/>
          <w:i w:val="0"/>
        </w:rPr>
        <w:t>Reconstruct programme-to-indicator-to-result-to-report relationships and verify sample file integrity outside the application using the export package.</w:t>
      </w:r>
    </w:p>
    <w:p>
      <w:bookmarkStart w:id="290" w:name="req_FR_MIG_008"/>
      <w:pPr>
        <w:keepNext/>
        <w:spacing w:before="180" w:after="40"/>
      </w:pPr>
      <w:r>
        <w:rPr>
          <w:b/>
          <w:i w:val="0"/>
        </w:rPr>
        <w:t>FR-MIG-008   Closure and deletion evidence</w:t>
      </w:r>
      <w:bookmarkEnd w:id="290"/>
    </w:p>
    <w:p>
      <w:pPr>
        <w:keepNext/>
        <w:spacing w:after="60"/>
      </w:pPr>
      <w:r>
        <w:rPr>
          <w:b w:val="0"/>
          <w:i w:val="0"/>
          <w:sz w:val="19"/>
        </w:rPr>
        <w:t>Parent BR-MIG-008   |   P0   |   R1</w:t>
      </w:r>
    </w:p>
    <w:p>
      <w:pPr>
        <w:spacing w:after="60"/>
      </w:pPr>
      <w:r>
        <w:rPr>
          <w:b/>
          <w:i w:val="0"/>
        </w:rPr>
        <w:t xml:space="preserve">Behaviour: </w:t>
      </w:r>
      <w:r>
        <w:rPr>
          <w:b w:val="0"/>
          <w:i w:val="0"/>
        </w:rPr>
        <w:t>Closure confirms retrieval window, export status, active integrations, credentials, jobs, holds and deletion schedule. The owner receives an outcome record showing access termination, completed deletion, backup expiry and outstanding lawful retention.</w:t>
      </w:r>
    </w:p>
    <w:p>
      <w:pPr>
        <w:spacing w:after="60"/>
      </w:pPr>
      <w:r>
        <w:rPr>
          <w:b/>
          <w:i w:val="0"/>
        </w:rPr>
        <w:t xml:space="preserve">Validation and recovery: </w:t>
      </w:r>
      <w:r>
        <w:rPr>
          <w:b w:val="0"/>
          <w:i w:val="0"/>
        </w:rPr>
        <w:t>No closure shortcut can bypass a hold or silently erase unexported data before the agreed window. Reactivation after irreversible deletion is not offered as ordinary reopen.</w:t>
      </w:r>
    </w:p>
    <w:p>
      <w:pPr>
        <w:spacing w:after="60"/>
      </w:pPr>
      <w:r>
        <w:rPr>
          <w:b/>
          <w:i w:val="0"/>
        </w:rPr>
        <w:t xml:space="preserve">Acceptance FT-MIG-008: </w:t>
      </w:r>
      <w:r>
        <w:rPr>
          <w:b w:val="0"/>
          <w:i w:val="0"/>
        </w:rPr>
        <w:t>Close a tenant after confirmed export; live credentials and deliveries stop while the record identifies one held item and its review date.</w:t>
      </w:r>
    </w:p>
    <w:p>
      <w:bookmarkStart w:id="291" w:name="sec_31"/>
      <w:pPr>
        <w:pStyle w:val="Heading1"/>
      </w:pPr>
      <w:r>
        <w:rPr>
          <w:b w:val="0"/>
          <w:i w:val="0"/>
        </w:rPr>
        <w:t>31 User experience accessibility and localisation</w:t>
      </w:r>
      <w:bookmarkEnd w:id="291"/>
    </w:p>
    <w:p>
      <w:pPr>
        <w:spacing w:after="140"/>
      </w:pPr>
      <w:r>
        <w:rPr>
          <w:b w:val="0"/>
          <w:i/>
          <w:sz w:val="21"/>
        </w:rPr>
        <w:t>Primary actors: All supported user roles with design and accessibility review. Interfaces: UI01 through UI30. Logical entities: All permitted user-facing entities.</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92" w:name="req_FR_UX_001"/>
      <w:pPr>
        <w:keepNext/>
        <w:spacing w:before="180" w:after="40"/>
      </w:pPr>
      <w:r>
        <w:rPr>
          <w:b/>
          <w:i w:val="0"/>
        </w:rPr>
        <w:t>FR-UX-001   Role relevant workspaces</w:t>
      </w:r>
      <w:bookmarkEnd w:id="292"/>
    </w:p>
    <w:p>
      <w:pPr>
        <w:keepNext/>
        <w:spacing w:after="60"/>
      </w:pPr>
      <w:r>
        <w:rPr>
          <w:b w:val="0"/>
          <w:i w:val="0"/>
          <w:sz w:val="19"/>
        </w:rPr>
        <w:t>Parent BR-UX-001   |   P0   |   R1</w:t>
      </w:r>
    </w:p>
    <w:p>
      <w:pPr>
        <w:spacing w:after="60"/>
      </w:pPr>
      <w:r>
        <w:rPr>
          <w:b/>
          <w:i w:val="0"/>
        </w:rPr>
        <w:t xml:space="preserve">Behaviour: </w:t>
      </w:r>
      <w:r>
        <w:rPr>
          <w:b w:val="0"/>
          <w:i w:val="0"/>
        </w:rPr>
        <w:t>The landing workspace is selected by effective role and recent permitted context: collectors see assignments, reviewers see queues, managers see obligations and viewers see disclosed results. Users can switch among their permitted workspaces.</w:t>
      </w:r>
    </w:p>
    <w:p>
      <w:pPr>
        <w:spacing w:after="60"/>
      </w:pPr>
      <w:r>
        <w:rPr>
          <w:b/>
          <w:i w:val="0"/>
        </w:rPr>
        <w:t xml:space="preserve">Validation and recovery: </w:t>
      </w:r>
      <w:r>
        <w:rPr>
          <w:b w:val="0"/>
          <w:i w:val="0"/>
        </w:rPr>
        <w:t>Do not expose technical administration to a field user as a prerequisite for collecting data. Role changes recompose navigation without stale private links.</w:t>
      </w:r>
    </w:p>
    <w:p>
      <w:pPr>
        <w:spacing w:after="60"/>
      </w:pPr>
      <w:r>
        <w:rPr>
          <w:b/>
          <w:i w:val="0"/>
        </w:rPr>
        <w:t xml:space="preserve">Acceptance FT-UX-001: </w:t>
      </w:r>
      <w:r>
        <w:rPr>
          <w:b w:val="0"/>
          <w:i w:val="0"/>
        </w:rPr>
        <w:t>A new enumerator opens an assigned form in two primary navigation actions and sees its due time, save status and sync requirement.</w:t>
      </w:r>
    </w:p>
    <w:p>
      <w:bookmarkStart w:id="293" w:name="req_FR_UX_002"/>
      <w:pPr>
        <w:keepNext/>
        <w:spacing w:before="180" w:after="40"/>
      </w:pPr>
      <w:r>
        <w:rPr>
          <w:b/>
          <w:i w:val="0"/>
        </w:rPr>
        <w:t>FR-UX-002   Progressive configuration</w:t>
      </w:r>
      <w:bookmarkEnd w:id="293"/>
    </w:p>
    <w:p>
      <w:pPr>
        <w:keepNext/>
        <w:spacing w:after="60"/>
      </w:pPr>
      <w:r>
        <w:rPr>
          <w:b w:val="0"/>
          <w:i w:val="0"/>
          <w:sz w:val="19"/>
        </w:rPr>
        <w:t>Parent BR-UX-002   |   P1   |   R1</w:t>
      </w:r>
    </w:p>
    <w:p>
      <w:pPr>
        <w:spacing w:after="60"/>
      </w:pPr>
      <w:r>
        <w:rPr>
          <w:b/>
          <w:i w:val="0"/>
        </w:rPr>
        <w:t xml:space="preserve">Behaviour: </w:t>
      </w:r>
      <w:r>
        <w:rPr>
          <w:b w:val="0"/>
          <w:i w:val="0"/>
        </w:rPr>
        <w:t>Programme setup offers a simple template and reveals advanced settings in relevant steps. Defaults for units, periods, aggregation, consent and audience are visible in a final summary and editable before submission.</w:t>
      </w:r>
    </w:p>
    <w:p>
      <w:pPr>
        <w:spacing w:after="60"/>
      </w:pPr>
      <w:r>
        <w:rPr>
          <w:b/>
          <w:i w:val="0"/>
        </w:rPr>
        <w:t xml:space="preserve">Validation and recovery: </w:t>
      </w:r>
      <w:r>
        <w:rPr>
          <w:b w:val="0"/>
          <w:i w:val="0"/>
        </w:rPr>
        <w:t>No hidden automatic unique reach, broad sharing or assumed consent. Invalid defaults block progression rather than creating a superficially complete programme.</w:t>
      </w:r>
    </w:p>
    <w:p>
      <w:pPr>
        <w:spacing w:after="60"/>
      </w:pPr>
      <w:r>
        <w:rPr>
          <w:b/>
          <w:i w:val="0"/>
        </w:rPr>
        <w:t xml:space="preserve">Acceptance FT-UX-002: </w:t>
      </w:r>
      <w:r>
        <w:rPr>
          <w:b w:val="0"/>
          <w:i w:val="0"/>
        </w:rPr>
        <w:t>Create a simple programme from a template and inspect the exact sum rule and reporting calendar that produce its first result.</w:t>
      </w:r>
    </w:p>
    <w:p>
      <w:bookmarkStart w:id="294" w:name="req_FR_UX_003"/>
      <w:pPr>
        <w:keepNext/>
        <w:spacing w:before="180" w:after="40"/>
      </w:pPr>
      <w:r>
        <w:rPr>
          <w:b/>
          <w:i w:val="0"/>
        </w:rPr>
        <w:t>FR-UX-003   Error recovery and work preservation</w:t>
      </w:r>
      <w:bookmarkEnd w:id="294"/>
    </w:p>
    <w:p>
      <w:pPr>
        <w:keepNext/>
        <w:spacing w:after="60"/>
      </w:pPr>
      <w:r>
        <w:rPr>
          <w:b w:val="0"/>
          <w:i w:val="0"/>
          <w:sz w:val="19"/>
        </w:rPr>
        <w:t>Parent BR-UX-003   |   P0   |   R1</w:t>
      </w:r>
    </w:p>
    <w:p>
      <w:pPr>
        <w:spacing w:after="60"/>
      </w:pPr>
      <w:r>
        <w:rPr>
          <w:b/>
          <w:i w:val="0"/>
        </w:rPr>
        <w:t xml:space="preserve">Behaviour: </w:t>
      </w:r>
      <w:r>
        <w:rPr>
          <w:b w:val="0"/>
          <w:i w:val="0"/>
        </w:rPr>
        <w:t>Errors explain failed action, saved state and permitted next step. Drafts and operation IDs persist across recoverable failures. Destructive actions preview affected objects; reversible changes offer an explicit inverse operation where business semantics support it.</w:t>
      </w:r>
    </w:p>
    <w:p>
      <w:pPr>
        <w:spacing w:after="60"/>
      </w:pPr>
      <w:r>
        <w:rPr>
          <w:b/>
          <w:i w:val="0"/>
        </w:rPr>
        <w:t xml:space="preserve">Validation and recovery: </w:t>
      </w:r>
      <w:r>
        <w:rPr>
          <w:b w:val="0"/>
          <w:i w:val="0"/>
        </w:rPr>
        <w:t>Undo cannot erase audit, unpublish externally downloaded copies or restore lawfully deleted data. An unknown request outcome requires receipt reconciliation before repeat.</w:t>
      </w:r>
    </w:p>
    <w:p>
      <w:pPr>
        <w:spacing w:after="60"/>
      </w:pPr>
      <w:r>
        <w:rPr>
          <w:b/>
          <w:i w:val="0"/>
        </w:rPr>
        <w:t xml:space="preserve">Acceptance FT-UX-003: </w:t>
      </w:r>
      <w:r>
        <w:rPr>
          <w:b w:val="0"/>
          <w:i w:val="0"/>
        </w:rPr>
        <w:t>Time out an import confirmation, reconnect and recover the existing job receipt without creating another load.</w:t>
      </w:r>
    </w:p>
    <w:p>
      <w:bookmarkStart w:id="295" w:name="req_FR_UX_004"/>
      <w:pPr>
        <w:keepNext/>
        <w:spacing w:before="180" w:after="40"/>
      </w:pPr>
      <w:r>
        <w:rPr>
          <w:b/>
          <w:i w:val="0"/>
        </w:rPr>
        <w:t>FR-UX-004   Accessible interaction</w:t>
      </w:r>
      <w:bookmarkEnd w:id="295"/>
    </w:p>
    <w:p>
      <w:pPr>
        <w:keepNext/>
        <w:spacing w:after="60"/>
      </w:pPr>
      <w:r>
        <w:rPr>
          <w:b w:val="0"/>
          <w:i w:val="0"/>
          <w:sz w:val="19"/>
        </w:rPr>
        <w:t>Parent BR-UX-004   |   P0   |   R1</w:t>
      </w:r>
    </w:p>
    <w:p>
      <w:pPr>
        <w:spacing w:after="60"/>
      </w:pPr>
      <w:r>
        <w:rPr>
          <w:b/>
          <w:i w:val="0"/>
        </w:rPr>
        <w:t xml:space="preserve">Behaviour: </w:t>
      </w:r>
      <w:r>
        <w:rPr>
          <w:b w:val="0"/>
          <w:i w:val="0"/>
        </w:rPr>
        <w:t>All supported controls have accessible labels, keyboard operation, visible focus and understandable errors. Drag actions provide buttons or ordered lists. Charts offer tables, and async state changes are announced without unexpectedly moving focus.</w:t>
      </w:r>
    </w:p>
    <w:p>
      <w:pPr>
        <w:spacing w:after="60"/>
      </w:pPr>
      <w:r>
        <w:rPr>
          <w:b/>
          <w:i w:val="0"/>
        </w:rPr>
        <w:t xml:space="preserve">Validation and recovery: </w:t>
      </w:r>
      <w:r>
        <w:rPr>
          <w:b w:val="0"/>
          <w:i w:val="0"/>
        </w:rPr>
        <w:t>Authentication supports password managers and accessible alternatives to challenges. User supplied content limitations are reported; they do not waive product process conformance.</w:t>
      </w:r>
    </w:p>
    <w:p>
      <w:pPr>
        <w:spacing w:after="60"/>
      </w:pPr>
      <w:r>
        <w:rPr>
          <w:b/>
          <w:i w:val="0"/>
        </w:rPr>
        <w:t xml:space="preserve">Acceptance FT-UX-004: </w:t>
      </w:r>
      <w:r>
        <w:rPr>
          <w:b w:val="0"/>
          <w:i w:val="0"/>
        </w:rPr>
        <w:t>Complete collection, correction and approval with keyboard and a qualified screen reader, including an invalid field and a stale revision conflict.</w:t>
      </w:r>
    </w:p>
    <w:p>
      <w:bookmarkStart w:id="296" w:name="req_FR_UX_005"/>
      <w:pPr>
        <w:keepNext/>
        <w:spacing w:before="180" w:after="40"/>
      </w:pPr>
      <w:r>
        <w:rPr>
          <w:b/>
          <w:i w:val="0"/>
        </w:rPr>
        <w:t>FR-UX-005   Responsive operation</w:t>
      </w:r>
      <w:bookmarkEnd w:id="296"/>
    </w:p>
    <w:p>
      <w:pPr>
        <w:keepNext/>
        <w:spacing w:after="60"/>
      </w:pPr>
      <w:r>
        <w:rPr>
          <w:b w:val="0"/>
          <w:i w:val="0"/>
          <w:sz w:val="19"/>
        </w:rPr>
        <w:t>Parent BR-UX-005   |   P0   |   R1</w:t>
      </w:r>
    </w:p>
    <w:p>
      <w:pPr>
        <w:spacing w:after="60"/>
      </w:pPr>
      <w:r>
        <w:rPr>
          <w:b/>
          <w:i w:val="0"/>
        </w:rPr>
        <w:t xml:space="preserve">Behaviour: </w:t>
      </w:r>
      <w:r>
        <w:rPr>
          <w:b w:val="0"/>
          <w:i w:val="0"/>
        </w:rPr>
        <w:t>Core mobile layouts support 360 CSS pixel width with readable fields and reachable actions. Wide analysis tables offer labelled scrolling or a simplified view without hiding critical meaning. Dense configuration declares its desktop requirement before editing begins.</w:t>
      </w:r>
    </w:p>
    <w:p>
      <w:pPr>
        <w:spacing w:after="60"/>
      </w:pPr>
      <w:r>
        <w:rPr>
          <w:b/>
          <w:i w:val="0"/>
        </w:rPr>
        <w:t xml:space="preserve">Validation and recovery: </w:t>
      </w:r>
      <w:r>
        <w:rPr>
          <w:b w:val="0"/>
          <w:i w:val="0"/>
        </w:rPr>
        <w:t>No hover-only essential action or clipped submit button. Orientation changes preserve drafts, focus context and confirmation state.</w:t>
      </w:r>
    </w:p>
    <w:p>
      <w:pPr>
        <w:spacing w:after="60"/>
      </w:pPr>
      <w:r>
        <w:rPr>
          <w:b/>
          <w:i w:val="0"/>
        </w:rPr>
        <w:t xml:space="preserve">Acceptance FT-UX-005: </w:t>
      </w:r>
      <w:r>
        <w:rPr>
          <w:b w:val="0"/>
          <w:i w:val="0"/>
        </w:rPr>
        <w:t>Complete a form, review evidence and return a submission on the supported mobile profile without horizontal dependence for ordinary fields.</w:t>
      </w:r>
    </w:p>
    <w:p>
      <w:bookmarkStart w:id="297" w:name="req_FR_UX_006"/>
      <w:pPr>
        <w:keepNext/>
        <w:spacing w:before="180" w:after="40"/>
      </w:pPr>
      <w:r>
        <w:rPr>
          <w:b/>
          <w:i w:val="0"/>
        </w:rPr>
        <w:t>FR-UX-006   Language and locale</w:t>
      </w:r>
      <w:bookmarkEnd w:id="297"/>
    </w:p>
    <w:p>
      <w:pPr>
        <w:keepNext/>
        <w:spacing w:after="60"/>
      </w:pPr>
      <w:r>
        <w:rPr>
          <w:b w:val="0"/>
          <w:i w:val="0"/>
          <w:sz w:val="19"/>
        </w:rPr>
        <w:t>Parent BR-UX-006   |   P1   |   R1</w:t>
      </w:r>
    </w:p>
    <w:p>
      <w:pPr>
        <w:spacing w:after="60"/>
      </w:pPr>
      <w:r>
        <w:rPr>
          <w:b/>
          <w:i w:val="0"/>
        </w:rPr>
        <w:t xml:space="preserve">Behaviour: </w:t>
      </w:r>
      <w:r>
        <w:rPr>
          <w:b w:val="0"/>
          <w:i w:val="0"/>
        </w:rPr>
        <w:t>Profile locale controls display, while source locale and programme reporting zone govern interpretation. Import requires explicit ambiguous date and decimal handling. Unicode labels, names and codes survive export and search.</w:t>
      </w:r>
    </w:p>
    <w:p>
      <w:pPr>
        <w:spacing w:after="60"/>
      </w:pPr>
      <w:r>
        <w:rPr>
          <w:b/>
          <w:i w:val="0"/>
        </w:rPr>
        <w:t xml:space="preserve">Validation and recovery: </w:t>
      </w:r>
      <w:r>
        <w:rPr>
          <w:b w:val="0"/>
          <w:i w:val="0"/>
        </w:rPr>
        <w:t>Changing display language cannot recalculate dates, amounts or period membership. Stable codes remain separate from translated labels.</w:t>
      </w:r>
    </w:p>
    <w:p>
      <w:pPr>
        <w:spacing w:after="60"/>
      </w:pPr>
      <w:r>
        <w:rPr>
          <w:b/>
          <w:i w:val="0"/>
        </w:rPr>
        <w:t xml:space="preserve">Acceptance FT-UX-006: </w:t>
      </w:r>
      <w:r>
        <w:rPr>
          <w:b w:val="0"/>
          <w:i w:val="0"/>
        </w:rPr>
        <w:t>Import 1,25 under a decimal-comma locale, view in decimal-point locale and export; the underlying value stays 1.25.</w:t>
      </w:r>
    </w:p>
    <w:p>
      <w:bookmarkStart w:id="298" w:name="req_FR_UX_007"/>
      <w:pPr>
        <w:keepNext/>
        <w:spacing w:before="180" w:after="40"/>
      </w:pPr>
      <w:r>
        <w:rPr>
          <w:b/>
          <w:i w:val="0"/>
        </w:rPr>
        <w:t>FR-UX-007   Expanded localisation</w:t>
      </w:r>
      <w:bookmarkEnd w:id="298"/>
    </w:p>
    <w:p>
      <w:pPr>
        <w:keepNext/>
        <w:spacing w:after="60"/>
      </w:pPr>
      <w:r>
        <w:rPr>
          <w:b w:val="0"/>
          <w:i w:val="0"/>
          <w:sz w:val="19"/>
        </w:rPr>
        <w:t>Parent BR-UX-007   |   P1   |   R2</w:t>
      </w:r>
    </w:p>
    <w:p>
      <w:pPr>
        <w:spacing w:after="60"/>
      </w:pPr>
      <w:r>
        <w:rPr>
          <w:b/>
          <w:i w:val="0"/>
        </w:rPr>
        <w:t xml:space="preserve">Behaviour: </w:t>
      </w:r>
      <w:r>
        <w:rPr>
          <w:b w:val="0"/>
          <w:i w:val="0"/>
        </w:rPr>
        <w:t>A language release contains navigation, help, validation, notifications, standard reports and critical consent text with professional review. Right to left presentation is qualified where relevant. Translation completeness blocks release of affected core workflows.</w:t>
      </w:r>
    </w:p>
    <w:p>
      <w:pPr>
        <w:spacing w:after="60"/>
      </w:pPr>
      <w:r>
        <w:rPr>
          <w:b/>
          <w:i w:val="0"/>
        </w:rPr>
        <w:t xml:space="preserve">Validation and recovery: </w:t>
      </w:r>
      <w:r>
        <w:rPr>
          <w:b w:val="0"/>
          <w:i w:val="0"/>
        </w:rPr>
        <w:t>Machine translation alone is not a completed interface qualification. Fallback language is explicit and never changes stored codes or numeric semantics.</w:t>
      </w:r>
    </w:p>
    <w:p>
      <w:pPr>
        <w:spacing w:after="60"/>
      </w:pPr>
      <w:r>
        <w:rPr>
          <w:b/>
          <w:i w:val="0"/>
        </w:rPr>
        <w:t xml:space="preserve">Acceptance FT-UX-007: </w:t>
      </w:r>
      <w:r>
        <w:rPr>
          <w:b w:val="0"/>
          <w:i w:val="0"/>
        </w:rPr>
        <w:t>Complete the same core workflow in each released language and confirm no untranslated blocking message or reversed layout obscures an action.</w:t>
      </w:r>
    </w:p>
    <w:p>
      <w:bookmarkStart w:id="299" w:name="req_FR_UX_008"/>
      <w:pPr>
        <w:keepNext/>
        <w:spacing w:before="180" w:after="40"/>
      </w:pPr>
      <w:r>
        <w:rPr>
          <w:b/>
          <w:i w:val="0"/>
        </w:rPr>
        <w:t>FR-UX-008   Discoverability and help</w:t>
      </w:r>
      <w:bookmarkEnd w:id="299"/>
    </w:p>
    <w:p>
      <w:pPr>
        <w:keepNext/>
        <w:spacing w:after="60"/>
      </w:pPr>
      <w:r>
        <w:rPr>
          <w:b w:val="0"/>
          <w:i w:val="0"/>
          <w:sz w:val="19"/>
        </w:rPr>
        <w:t>Parent BR-UX-008   |   P1   |   R1</w:t>
      </w:r>
    </w:p>
    <w:p>
      <w:pPr>
        <w:spacing w:after="60"/>
      </w:pPr>
      <w:r>
        <w:rPr>
          <w:b/>
          <w:i w:val="0"/>
        </w:rPr>
        <w:t xml:space="preserve">Behaviour: </w:t>
      </w:r>
      <w:r>
        <w:rPr>
          <w:b w:val="0"/>
          <w:i w:val="0"/>
        </w:rPr>
        <w:t>Search, recent work and saved views use current permissions. Context help explains measurement states, approval blockers and recovery actions using product language. Users can move from a safe task notification to the exact permitted object and issue.</w:t>
      </w:r>
    </w:p>
    <w:p>
      <w:pPr>
        <w:spacing w:after="60"/>
      </w:pPr>
      <w:r>
        <w:rPr>
          <w:b/>
          <w:i w:val="0"/>
        </w:rPr>
        <w:t xml:space="preserve">Validation and recovery: </w:t>
      </w:r>
      <w:r>
        <w:rPr>
          <w:b w:val="0"/>
          <w:i w:val="0"/>
        </w:rPr>
        <w:t>Help examples use synthetic data and do not reveal implementation secrets. A saved view with a retired definition prompts reviewed rebinding rather than silently changing meaning.</w:t>
      </w:r>
    </w:p>
    <w:p>
      <w:pPr>
        <w:spacing w:after="60"/>
      </w:pPr>
      <w:r>
        <w:rPr>
          <w:b/>
          <w:i w:val="0"/>
        </w:rPr>
        <w:t xml:space="preserve">Acceptance FT-UX-008: </w:t>
      </w:r>
      <w:r>
        <w:rPr>
          <w:b w:val="0"/>
          <w:i w:val="0"/>
        </w:rPr>
        <w:t>Find an assigned indicator, identify why approval is pending and reach the required evidence task without administrator intervention.</w:t>
      </w:r>
    </w:p>
    <w:p>
      <w:bookmarkStart w:id="300" w:name="req_FR_UX_009"/>
      <w:pPr>
        <w:keepNext/>
        <w:spacing w:before="180" w:after="40"/>
      </w:pPr>
      <w:r>
        <w:rPr>
          <w:b/>
          <w:i w:val="0"/>
        </w:rPr>
        <w:t>FR-UX-009   Status and trust cues</w:t>
      </w:r>
      <w:bookmarkEnd w:id="300"/>
    </w:p>
    <w:p>
      <w:pPr>
        <w:keepNext/>
        <w:spacing w:after="60"/>
      </w:pPr>
      <w:r>
        <w:rPr>
          <w:b w:val="0"/>
          <w:i w:val="0"/>
          <w:sz w:val="19"/>
        </w:rPr>
        <w:t>Parent BR-UX-009   |   P0   |   R1</w:t>
      </w:r>
    </w:p>
    <w:p>
      <w:pPr>
        <w:spacing w:after="60"/>
      </w:pPr>
      <w:r>
        <w:rPr>
          <w:b/>
          <w:i w:val="0"/>
        </w:rPr>
        <w:t xml:space="preserve">Behaviour: </w:t>
      </w:r>
      <w:r>
        <w:rPr>
          <w:b w:val="0"/>
          <w:i w:val="0"/>
        </w:rPr>
        <w:t>Status labels consistently distinguish local save, received, validating, approved, published, stale, partial, suppressed and AI proposed. A background job receipt names the current stage and does not display complete until its actual completion event.</w:t>
      </w:r>
    </w:p>
    <w:p>
      <w:pPr>
        <w:spacing w:after="60"/>
      </w:pPr>
      <w:r>
        <w:rPr>
          <w:b/>
          <w:i w:val="0"/>
        </w:rPr>
        <w:t xml:space="preserve">Validation and recovery: </w:t>
      </w:r>
      <w:r>
        <w:rPr>
          <w:b w:val="0"/>
          <w:i w:val="0"/>
        </w:rPr>
        <w:t>A generic green success banner cannot imply approval or external delivery. Numeric badges include text equivalents and uncertainty states.</w:t>
      </w:r>
    </w:p>
    <w:p>
      <w:pPr>
        <w:spacing w:after="60"/>
      </w:pPr>
      <w:r>
        <w:rPr>
          <w:b/>
          <w:i w:val="0"/>
        </w:rPr>
        <w:t xml:space="preserve">Acceptance FT-UX-009: </w:t>
      </w:r>
      <w:r>
        <w:rPr>
          <w:b w:val="0"/>
          <w:i w:val="0"/>
        </w:rPr>
        <w:t>Submit a large file and observe separate receipt, validation, review and calculation stages with no premature published result.</w:t>
      </w:r>
    </w:p>
    <w:p>
      <w:bookmarkStart w:id="301" w:name="req_FR_UX_010"/>
      <w:pPr>
        <w:keepNext/>
        <w:spacing w:before="180" w:after="40"/>
      </w:pPr>
      <w:r>
        <w:rPr>
          <w:b/>
          <w:i w:val="0"/>
        </w:rPr>
        <w:t>FR-UX-010   Usability evidence</w:t>
      </w:r>
      <w:bookmarkEnd w:id="301"/>
    </w:p>
    <w:p>
      <w:pPr>
        <w:keepNext/>
        <w:spacing w:after="60"/>
      </w:pPr>
      <w:r>
        <w:rPr>
          <w:b w:val="0"/>
          <w:i w:val="0"/>
          <w:sz w:val="19"/>
        </w:rPr>
        <w:t>Parent BR-UX-010   |   P1   |   R1</w:t>
      </w:r>
    </w:p>
    <w:p>
      <w:pPr>
        <w:spacing w:after="60"/>
      </w:pPr>
      <w:r>
        <w:rPr>
          <w:b/>
          <w:i w:val="0"/>
        </w:rPr>
        <w:t xml:space="preserve">Behaviour: </w:t>
      </w:r>
      <w:r>
        <w:rPr>
          <w:b w:val="0"/>
          <w:i w:val="0"/>
        </w:rPr>
        <w:t>Usability qualification selects representative roles and accessibility needs, records standard onboarding and tasks, and measures completion, time and consequential errors. Failures are prioritised by data loss, disclosure and incorrect official result risk.</w:t>
      </w:r>
    </w:p>
    <w:p>
      <w:pPr>
        <w:spacing w:after="60"/>
      </w:pPr>
      <w:r>
        <w:rPr>
          <w:b/>
          <w:i w:val="0"/>
        </w:rPr>
        <w:t xml:space="preserve">Validation and recovery: </w:t>
      </w:r>
      <w:r>
        <w:rPr>
          <w:b w:val="0"/>
          <w:i w:val="0"/>
        </w:rPr>
        <w:t>No critical observed workflow defect may be accepted as cosmetic. Facilitation is recorded and does not count as unaided task completion.</w:t>
      </w:r>
    </w:p>
    <w:p>
      <w:pPr>
        <w:spacing w:after="60"/>
      </w:pPr>
      <w:r>
        <w:rPr>
          <w:b/>
          <w:i w:val="0"/>
        </w:rPr>
        <w:t xml:space="preserve">Acceptance FT-UX-010: </w:t>
      </w:r>
      <w:r>
        <w:rPr>
          <w:b w:val="0"/>
          <w:i w:val="0"/>
        </w:rPr>
        <w:t>Run the six BRD core tasks with at least fifteen representative participants and document both the completion threshold and every critical error resolution.</w:t>
      </w:r>
    </w:p>
    <w:p>
      <w:bookmarkStart w:id="302" w:name="sec_32"/>
      <w:pPr>
        <w:pStyle w:val="Heading1"/>
      </w:pPr>
      <w:r>
        <w:rPr>
          <w:b w:val="0"/>
          <w:i w:val="0"/>
        </w:rPr>
        <w:t>32 Calculation contracts and golden examples</w:t>
      </w:r>
      <w:bookmarkEnd w:id="302"/>
    </w:p>
    <w:p>
      <w:pPr>
        <w:pStyle w:val="Heading2"/>
      </w:pPr>
      <w:r>
        <w:rPr>
          <w:b w:val="0"/>
          <w:i w:val="0"/>
        </w:rPr>
        <w:t>32 1 Calculation request and response</w:t>
      </w:r>
    </w:p>
    <w:p>
      <w:r>
        <w:rPr>
          <w:b w:val="0"/>
          <w:i w:val="0"/>
        </w:rPr>
        <w:t>A calculation request specifies indicator definition version, result period, eligible source snapshot, dimension filters, approval mode and rule version. A response contains result_id, revision, value_state, raw_value, displayed_value, unit, numerator and denominator where applicable, coverage, missingness, input manifest, calculation time and limitations. No untyped plain number is sufficient as an official result contract.</w:t>
      </w:r>
    </w:p>
    <w:p>
      <w:r>
        <w:rPr>
          <w:b w:val="0"/>
          <w:i w:val="0"/>
        </w:rPr>
        <w:t>The eligible input set is determined before aggregation. Ordinary official mode selects approved compatible observations within the measurement period. Provisional mode is a separate request and remains labelled in every view. Access filtered calculations describe their visible authorised scope; they must not present that result as a whole organisation total when the actor sees only a subset. Approved disclosure totals may be read without access to their constituent rows, using the fixed disclosure artifact.</w:t>
      </w:r>
    </w:p>
    <w:p>
      <w:pPr>
        <w:pStyle w:val="Heading2"/>
      </w:pPr>
      <w:r>
        <w:rPr>
          <w:b w:val="0"/>
          <w:i w:val="0"/>
        </w:rPr>
        <w:t>32 2 Canonical arithmetic and status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Contract</w:t>
            </w:r>
          </w:p>
        </w:tc>
        <w:tc>
          <w:tcPr>
            <w:tcW w:type="dxa" w:w="4297"/>
            <w:vAlign w:val="center"/>
            <w:shd w:fill="233B53"/>
          </w:tcPr>
          <w:p>
            <w:pPr>
              <w:spacing w:after="20" w:before="20" w:line="247" w:lineRule="auto"/>
            </w:pPr>
            <w:r>
              <w:rPr>
                <w:b/>
                <w:i w:val="0"/>
                <w:color w:val="FFFFFF"/>
                <w:sz w:val="20"/>
              </w:rPr>
              <w:t>Definition</w:t>
            </w:r>
          </w:p>
        </w:tc>
        <w:tc>
          <w:tcPr>
            <w:tcW w:type="dxa" w:w="3498"/>
            <w:vAlign w:val="center"/>
            <w:shd w:fill="233B53"/>
          </w:tcPr>
          <w:p>
            <w:pPr>
              <w:spacing w:after="20" w:before="20" w:line="247" w:lineRule="auto"/>
            </w:pPr>
            <w:r>
              <w:rPr>
                <w:b/>
                <w:i w:val="0"/>
                <w:color w:val="FFFFFF"/>
                <w:sz w:val="20"/>
              </w:rPr>
              <w:t>Required edge treatment</w:t>
            </w:r>
          </w:p>
        </w:tc>
      </w:tr>
      <w:tr>
        <w:trPr>
          <w:cantSplit/>
        </w:trPr>
        <w:tc>
          <w:tcPr>
            <w:tcW w:type="dxa" w:w="2199"/>
            <w:vAlign w:val="center"/>
            <w:shd w:fill="FFFFFF"/>
          </w:tcPr>
          <w:p>
            <w:pPr>
              <w:spacing w:after="20" w:before="20" w:line="247" w:lineRule="auto"/>
            </w:pPr>
            <w:r>
              <w:rPr>
                <w:b w:val="0"/>
                <w:i w:val="0"/>
                <w:sz w:val="20"/>
              </w:rPr>
              <w:t>Sum of flows</w:t>
            </w:r>
          </w:p>
        </w:tc>
        <w:tc>
          <w:tcPr>
            <w:tcW w:type="dxa" w:w="4297"/>
            <w:vAlign w:val="center"/>
            <w:shd w:fill="FFFFFF"/>
          </w:tcPr>
          <w:p>
            <w:pPr>
              <w:spacing w:after="20" w:before="20" w:line="247" w:lineRule="auto"/>
            </w:pPr>
            <w:r>
              <w:rPr>
                <w:b w:val="0"/>
                <w:i w:val="0"/>
                <w:sz w:val="20"/>
              </w:rPr>
              <w:t>Sum eligible approved values for disjoint periods and compatible populations</w:t>
            </w:r>
          </w:p>
        </w:tc>
        <w:tc>
          <w:tcPr>
            <w:tcW w:type="dxa" w:w="3498"/>
            <w:vAlign w:val="center"/>
            <w:shd w:fill="FFFFFF"/>
          </w:tcPr>
          <w:p>
            <w:pPr>
              <w:spacing w:after="20" w:before="20" w:line="247" w:lineRule="auto"/>
            </w:pPr>
            <w:r>
              <w:rPr>
                <w:b w:val="0"/>
                <w:i w:val="0"/>
                <w:sz w:val="20"/>
              </w:rPr>
              <w:t>Missing expected inputs make the result partial; negative adjustments need an approved sign rule</w:t>
            </w:r>
          </w:p>
        </w:tc>
      </w:tr>
      <w:tr>
        <w:trPr>
          <w:cantSplit/>
        </w:trPr>
        <w:tc>
          <w:tcPr>
            <w:tcW w:type="dxa" w:w="2199"/>
            <w:vAlign w:val="center"/>
            <w:shd w:fill="F4F6F8"/>
          </w:tcPr>
          <w:p>
            <w:pPr>
              <w:spacing w:after="20" w:before="20" w:line="247" w:lineRule="auto"/>
            </w:pPr>
            <w:r>
              <w:rPr>
                <w:b w:val="0"/>
                <w:i w:val="0"/>
                <w:sz w:val="20"/>
              </w:rPr>
              <w:t>Pooled percentage</w:t>
            </w:r>
          </w:p>
        </w:tc>
        <w:tc>
          <w:tcPr>
            <w:tcW w:type="dxa" w:w="4297"/>
            <w:vAlign w:val="center"/>
            <w:shd w:fill="F4F6F8"/>
          </w:tcPr>
          <w:p>
            <w:pPr>
              <w:spacing w:after="20" w:before="20" w:line="247" w:lineRule="auto"/>
            </w:pPr>
            <w:r>
              <w:rPr>
                <w:b w:val="0"/>
                <w:i w:val="0"/>
                <w:sz w:val="20"/>
              </w:rPr>
              <w:t>100 multiplied by sum of eligible numerators divided by sum of eligible denominators</w:t>
            </w:r>
          </w:p>
        </w:tc>
        <w:tc>
          <w:tcPr>
            <w:tcW w:type="dxa" w:w="3498"/>
            <w:vAlign w:val="center"/>
            <w:shd w:fill="F4F6F8"/>
          </w:tcPr>
          <w:p>
            <w:pPr>
              <w:spacing w:after="20" w:before="20" w:line="247" w:lineRule="auto"/>
            </w:pPr>
            <w:r>
              <w:rPr>
                <w:b w:val="0"/>
                <w:i w:val="0"/>
                <w:sz w:val="20"/>
              </w:rPr>
              <w:t>Preserve each source quantity; zero total denominator is undefined</w:t>
            </w:r>
          </w:p>
        </w:tc>
      </w:tr>
      <w:tr>
        <w:trPr>
          <w:cantSplit/>
        </w:trPr>
        <w:tc>
          <w:tcPr>
            <w:tcW w:type="dxa" w:w="2199"/>
            <w:vAlign w:val="center"/>
            <w:shd w:fill="FFFFFF"/>
          </w:tcPr>
          <w:p>
            <w:pPr>
              <w:spacing w:after="20" w:before="20" w:line="247" w:lineRule="auto"/>
            </w:pPr>
            <w:r>
              <w:rPr>
                <w:b w:val="0"/>
                <w:i w:val="0"/>
                <w:sz w:val="20"/>
              </w:rPr>
              <w:t>Rate</w:t>
            </w:r>
          </w:p>
        </w:tc>
        <w:tc>
          <w:tcPr>
            <w:tcW w:type="dxa" w:w="4297"/>
            <w:vAlign w:val="center"/>
            <w:shd w:fill="FFFFFF"/>
          </w:tcPr>
          <w:p>
            <w:pPr>
              <w:spacing w:after="20" w:before="20" w:line="247" w:lineRule="auto"/>
            </w:pPr>
            <w:r>
              <w:rPr>
                <w:b w:val="0"/>
                <w:i w:val="0"/>
                <w:sz w:val="20"/>
              </w:rPr>
              <w:t>Multiplier multiplied by compatible numerator divided by exposure or population denominator</w:t>
            </w:r>
          </w:p>
        </w:tc>
        <w:tc>
          <w:tcPr>
            <w:tcW w:type="dxa" w:w="3498"/>
            <w:vAlign w:val="center"/>
            <w:shd w:fill="FFFFFF"/>
          </w:tcPr>
          <w:p>
            <w:pPr>
              <w:spacing w:after="20" w:before="20" w:line="247" w:lineRule="auto"/>
            </w:pPr>
            <w:r>
              <w:rPr>
                <w:b w:val="0"/>
                <w:i w:val="0"/>
                <w:sz w:val="20"/>
              </w:rPr>
              <w:t>Denominator unit and exposure period mandatory</w:t>
            </w:r>
          </w:p>
        </w:tc>
      </w:tr>
      <w:tr>
        <w:trPr>
          <w:cantSplit/>
        </w:trPr>
        <w:tc>
          <w:tcPr>
            <w:tcW w:type="dxa" w:w="2199"/>
            <w:vAlign w:val="center"/>
            <w:shd w:fill="F4F6F8"/>
          </w:tcPr>
          <w:p>
            <w:pPr>
              <w:spacing w:after="20" w:before="20" w:line="247" w:lineRule="auto"/>
            </w:pPr>
            <w:r>
              <w:rPr>
                <w:b w:val="0"/>
                <w:i w:val="0"/>
                <w:sz w:val="20"/>
              </w:rPr>
              <w:t>Unique reach</w:t>
            </w:r>
          </w:p>
        </w:tc>
        <w:tc>
          <w:tcPr>
            <w:tcW w:type="dxa" w:w="4297"/>
            <w:vAlign w:val="center"/>
            <w:shd w:fill="F4F6F8"/>
          </w:tcPr>
          <w:p>
            <w:pPr>
              <w:spacing w:after="20" w:before="20" w:line="247" w:lineRule="auto"/>
            </w:pPr>
            <w:r>
              <w:rPr>
                <w:b w:val="0"/>
                <w:i w:val="0"/>
                <w:sz w:val="20"/>
              </w:rPr>
              <w:t>Cardinality of the authorised union of eligible entity identities</w:t>
            </w:r>
          </w:p>
        </w:tc>
        <w:tc>
          <w:tcPr>
            <w:tcW w:type="dxa" w:w="3498"/>
            <w:vAlign w:val="center"/>
            <w:shd w:fill="F4F6F8"/>
          </w:tcPr>
          <w:p>
            <w:pPr>
              <w:spacing w:after="20" w:before="20" w:line="247" w:lineRule="auto"/>
            </w:pPr>
            <w:r>
              <w:rPr>
                <w:b w:val="0"/>
                <w:i w:val="0"/>
                <w:sz w:val="20"/>
              </w:rPr>
              <w:t>Unknown overlap remains gross reach or a separately reviewed estimate</w:t>
            </w:r>
          </w:p>
        </w:tc>
      </w:tr>
      <w:tr>
        <w:trPr>
          <w:cantSplit/>
        </w:trPr>
        <w:tc>
          <w:tcPr>
            <w:tcW w:type="dxa" w:w="2199"/>
            <w:vAlign w:val="center"/>
            <w:shd w:fill="FFFFFF"/>
          </w:tcPr>
          <w:p>
            <w:pPr>
              <w:spacing w:after="20" w:before="20" w:line="247" w:lineRule="auto"/>
            </w:pPr>
            <w:r>
              <w:rPr>
                <w:b w:val="0"/>
                <w:i w:val="0"/>
                <w:sz w:val="20"/>
              </w:rPr>
              <w:t>Latest snapshot</w:t>
            </w:r>
          </w:p>
        </w:tc>
        <w:tc>
          <w:tcPr>
            <w:tcW w:type="dxa" w:w="4297"/>
            <w:vAlign w:val="center"/>
            <w:shd w:fill="FFFFFF"/>
          </w:tcPr>
          <w:p>
            <w:pPr>
              <w:spacing w:after="20" w:before="20" w:line="247" w:lineRule="auto"/>
            </w:pPr>
            <w:r>
              <w:rPr>
                <w:b w:val="0"/>
                <w:i w:val="0"/>
                <w:sz w:val="20"/>
              </w:rPr>
              <w:t>Latest eligible approved event at or before cutoff within permitted age</w:t>
            </w:r>
          </w:p>
        </w:tc>
        <w:tc>
          <w:tcPr>
            <w:tcW w:type="dxa" w:w="3498"/>
            <w:vAlign w:val="center"/>
            <w:shd w:fill="FFFFFF"/>
          </w:tcPr>
          <w:p>
            <w:pPr>
              <w:spacing w:after="20" w:before="20" w:line="247" w:lineRule="auto"/>
            </w:pPr>
            <w:r>
              <w:rPr>
                <w:b w:val="0"/>
                <w:i w:val="0"/>
                <w:sz w:val="20"/>
              </w:rPr>
              <w:t>Ties require source precedence or review; stale snapshot cannot masquerade as current</w:t>
            </w:r>
          </w:p>
        </w:tc>
      </w:tr>
      <w:tr>
        <w:trPr>
          <w:cantSplit/>
        </w:trPr>
        <w:tc>
          <w:tcPr>
            <w:tcW w:type="dxa" w:w="2199"/>
            <w:vAlign w:val="center"/>
            <w:shd w:fill="F4F6F8"/>
          </w:tcPr>
          <w:p>
            <w:pPr>
              <w:spacing w:after="20" w:before="20" w:line="247" w:lineRule="auto"/>
            </w:pPr>
            <w:r>
              <w:rPr>
                <w:b w:val="0"/>
                <w:i w:val="0"/>
                <w:sz w:val="20"/>
              </w:rPr>
              <w:t>Cumulative end position</w:t>
            </w:r>
          </w:p>
        </w:tc>
        <w:tc>
          <w:tcPr>
            <w:tcW w:type="dxa" w:w="4297"/>
            <w:vAlign w:val="center"/>
            <w:shd w:fill="F4F6F8"/>
          </w:tcPr>
          <w:p>
            <w:pPr>
              <w:spacing w:after="20" w:before="20" w:line="247" w:lineRule="auto"/>
            </w:pPr>
            <w:r>
              <w:rPr>
                <w:b w:val="0"/>
                <w:i w:val="0"/>
                <w:sz w:val="20"/>
              </w:rPr>
              <w:t>Last eligible approved cumulative value in the reporting window</w:t>
            </w:r>
          </w:p>
        </w:tc>
        <w:tc>
          <w:tcPr>
            <w:tcW w:type="dxa" w:w="3498"/>
            <w:vAlign w:val="center"/>
            <w:shd w:fill="F4F6F8"/>
          </w:tcPr>
          <w:p>
            <w:pPr>
              <w:spacing w:after="20" w:before="20" w:line="247" w:lineRule="auto"/>
            </w:pPr>
            <w:r>
              <w:rPr>
                <w:b w:val="0"/>
                <w:i w:val="0"/>
                <w:sz w:val="20"/>
              </w:rPr>
              <w:t>No sum of cumulative positions; reset and correction events explicit</w:t>
            </w:r>
          </w:p>
        </w:tc>
      </w:tr>
      <w:tr>
        <w:trPr>
          <w:cantSplit/>
        </w:trPr>
        <w:tc>
          <w:tcPr>
            <w:tcW w:type="dxa" w:w="2199"/>
            <w:vAlign w:val="center"/>
            <w:shd w:fill="FFFFFF"/>
          </w:tcPr>
          <w:p>
            <w:pPr>
              <w:spacing w:after="20" w:before="20" w:line="247" w:lineRule="auto"/>
            </w:pPr>
            <w:r>
              <w:rPr>
                <w:b w:val="0"/>
                <w:i w:val="0"/>
                <w:sz w:val="20"/>
              </w:rPr>
              <w:t>Cumulative increment</w:t>
            </w:r>
          </w:p>
        </w:tc>
        <w:tc>
          <w:tcPr>
            <w:tcW w:type="dxa" w:w="4297"/>
            <w:vAlign w:val="center"/>
            <w:shd w:fill="FFFFFF"/>
          </w:tcPr>
          <w:p>
            <w:pPr>
              <w:spacing w:after="20" w:before="20" w:line="247" w:lineRule="auto"/>
            </w:pPr>
            <w:r>
              <w:rPr>
                <w:b w:val="0"/>
                <w:i w:val="0"/>
                <w:sz w:val="20"/>
              </w:rPr>
              <w:t>End position minus verified starting position under a compatible series</w:t>
            </w:r>
          </w:p>
        </w:tc>
        <w:tc>
          <w:tcPr>
            <w:tcW w:type="dxa" w:w="3498"/>
            <w:vAlign w:val="center"/>
            <w:shd w:fill="FFFFFF"/>
          </w:tcPr>
          <w:p>
            <w:pPr>
              <w:spacing w:after="20" w:before="20" w:line="247" w:lineRule="auto"/>
            </w:pPr>
            <w:r>
              <w:rPr>
                <w:b w:val="0"/>
                <w:i w:val="0"/>
                <w:sz w:val="20"/>
              </w:rPr>
              <w:t>Missing start gives unavailable increment unless a reviewed baseline exists</w:t>
            </w:r>
          </w:p>
        </w:tc>
      </w:tr>
      <w:tr>
        <w:trPr>
          <w:cantSplit/>
        </w:trPr>
        <w:tc>
          <w:tcPr>
            <w:tcW w:type="dxa" w:w="2199"/>
            <w:vAlign w:val="center"/>
            <w:shd w:fill="F4F6F8"/>
          </w:tcPr>
          <w:p>
            <w:pPr>
              <w:spacing w:after="20" w:before="20" w:line="247" w:lineRule="auto"/>
            </w:pPr>
            <w:r>
              <w:rPr>
                <w:b w:val="0"/>
                <w:i w:val="0"/>
                <w:sz w:val="20"/>
              </w:rPr>
              <w:t>Higher target attainment</w:t>
            </w:r>
          </w:p>
        </w:tc>
        <w:tc>
          <w:tcPr>
            <w:tcW w:type="dxa" w:w="4297"/>
            <w:vAlign w:val="center"/>
            <w:shd w:fill="F4F6F8"/>
          </w:tcPr>
          <w:p>
            <w:pPr>
              <w:spacing w:after="20" w:before="20" w:line="247" w:lineRule="auto"/>
            </w:pPr>
            <w:r>
              <w:rPr>
                <w:b w:val="0"/>
                <w:i w:val="0"/>
                <w:sz w:val="20"/>
              </w:rPr>
              <w:t>Actual divided by target multiplied by 100 when target is positive</w:t>
            </w:r>
          </w:p>
        </w:tc>
        <w:tc>
          <w:tcPr>
            <w:tcW w:type="dxa" w:w="3498"/>
            <w:vAlign w:val="center"/>
            <w:shd w:fill="F4F6F8"/>
          </w:tcPr>
          <w:p>
            <w:pPr>
              <w:spacing w:after="20" w:before="20" w:line="247" w:lineRule="auto"/>
            </w:pPr>
            <w:r>
              <w:rPr>
                <w:b w:val="0"/>
                <w:i w:val="0"/>
                <w:sz w:val="20"/>
              </w:rPr>
              <w:t>No cap at 100; target zero uses a declared milestone or difference rule</w:t>
            </w:r>
          </w:p>
        </w:tc>
      </w:tr>
      <w:tr>
        <w:trPr>
          <w:cantSplit/>
        </w:trPr>
        <w:tc>
          <w:tcPr>
            <w:tcW w:type="dxa" w:w="2199"/>
            <w:vAlign w:val="center"/>
            <w:shd w:fill="FFFFFF"/>
          </w:tcPr>
          <w:p>
            <w:pPr>
              <w:spacing w:after="20" w:before="20" w:line="247" w:lineRule="auto"/>
            </w:pPr>
            <w:r>
              <w:rPr>
                <w:b w:val="0"/>
                <w:i w:val="0"/>
                <w:sz w:val="20"/>
              </w:rPr>
              <w:t>Lower target assessment</w:t>
            </w:r>
          </w:p>
        </w:tc>
        <w:tc>
          <w:tcPr>
            <w:tcW w:type="dxa" w:w="4297"/>
            <w:vAlign w:val="center"/>
            <w:shd w:fill="FFFFFF"/>
          </w:tcPr>
          <w:p>
            <w:pPr>
              <w:spacing w:after="20" w:before="20" w:line="247" w:lineRule="auto"/>
            </w:pPr>
            <w:r>
              <w:rPr>
                <w:b w:val="0"/>
                <w:i w:val="0"/>
                <w:sz w:val="20"/>
              </w:rPr>
              <w:t>Achieved when actual is at or below target; deviation equals actual minus target</w:t>
            </w:r>
          </w:p>
        </w:tc>
        <w:tc>
          <w:tcPr>
            <w:tcW w:type="dxa" w:w="3498"/>
            <w:vAlign w:val="center"/>
            <w:shd w:fill="FFFFFF"/>
          </w:tcPr>
          <w:p>
            <w:pPr>
              <w:spacing w:after="20" w:before="20" w:line="247" w:lineRule="auto"/>
            </w:pPr>
            <w:r>
              <w:rPr>
                <w:b w:val="0"/>
                <w:i w:val="0"/>
                <w:sz w:val="20"/>
              </w:rPr>
              <w:t>Do not invent a universal percentage attainment ratio; optional ratios require a named approved method</w:t>
            </w:r>
          </w:p>
        </w:tc>
      </w:tr>
      <w:tr>
        <w:trPr>
          <w:cantSplit/>
        </w:trPr>
        <w:tc>
          <w:tcPr>
            <w:tcW w:type="dxa" w:w="2199"/>
            <w:vAlign w:val="center"/>
            <w:shd w:fill="F4F6F8"/>
          </w:tcPr>
          <w:p>
            <w:pPr>
              <w:spacing w:after="20" w:before="20" w:line="247" w:lineRule="auto"/>
            </w:pPr>
            <w:r>
              <w:rPr>
                <w:b w:val="0"/>
                <w:i w:val="0"/>
                <w:sz w:val="20"/>
              </w:rPr>
              <w:t>Range target assessment</w:t>
            </w:r>
          </w:p>
        </w:tc>
        <w:tc>
          <w:tcPr>
            <w:tcW w:type="dxa" w:w="4297"/>
            <w:vAlign w:val="center"/>
            <w:shd w:fill="F4F6F8"/>
          </w:tcPr>
          <w:p>
            <w:pPr>
              <w:spacing w:after="20" w:before="20" w:line="247" w:lineRule="auto"/>
            </w:pPr>
            <w:r>
              <w:rPr>
                <w:b w:val="0"/>
                <w:i w:val="0"/>
                <w:sz w:val="20"/>
              </w:rPr>
              <w:t>Achieved when lower bound is at or below actual and actual is at or below upper bound</w:t>
            </w:r>
          </w:p>
        </w:tc>
        <w:tc>
          <w:tcPr>
            <w:tcW w:type="dxa" w:w="3498"/>
            <w:vAlign w:val="center"/>
            <w:shd w:fill="F4F6F8"/>
          </w:tcPr>
          <w:p>
            <w:pPr>
              <w:spacing w:after="20" w:before="20" w:line="247" w:lineRule="auto"/>
            </w:pPr>
            <w:r>
              <w:rPr>
                <w:b w:val="0"/>
                <w:i w:val="0"/>
                <w:sz w:val="20"/>
              </w:rPr>
              <w:t>Boundary inclusive; no meaningful range width ratio assumed</w:t>
            </w:r>
          </w:p>
        </w:tc>
      </w:tr>
      <w:tr>
        <w:trPr>
          <w:cantSplit/>
        </w:trPr>
        <w:tc>
          <w:tcPr>
            <w:tcW w:type="dxa" w:w="2199"/>
            <w:vAlign w:val="center"/>
            <w:shd w:fill="FFFFFF"/>
          </w:tcPr>
          <w:p>
            <w:pPr>
              <w:spacing w:after="20" w:before="20" w:line="247" w:lineRule="auto"/>
            </w:pPr>
            <w:r>
              <w:rPr>
                <w:b w:val="0"/>
                <w:i w:val="0"/>
                <w:sz w:val="20"/>
              </w:rPr>
              <w:t>Baseline relative change</w:t>
            </w:r>
          </w:p>
        </w:tc>
        <w:tc>
          <w:tcPr>
            <w:tcW w:type="dxa" w:w="4297"/>
            <w:vAlign w:val="center"/>
            <w:shd w:fill="FFFFFF"/>
          </w:tcPr>
          <w:p>
            <w:pPr>
              <w:spacing w:after="20" w:before="20" w:line="247" w:lineRule="auto"/>
            </w:pPr>
            <w:r>
              <w:rPr>
                <w:b w:val="0"/>
                <w:i w:val="0"/>
                <w:sz w:val="20"/>
              </w:rPr>
              <w:t>100 multiplied by (actual minus baseline) divided by baseline, where method permits</w:t>
            </w:r>
          </w:p>
        </w:tc>
        <w:tc>
          <w:tcPr>
            <w:tcW w:type="dxa" w:w="3498"/>
            <w:vAlign w:val="center"/>
            <w:shd w:fill="FFFFFF"/>
          </w:tcPr>
          <w:p>
            <w:pPr>
              <w:spacing w:after="20" w:before="20" w:line="247" w:lineRule="auto"/>
            </w:pPr>
            <w:r>
              <w:rPr>
                <w:b w:val="0"/>
                <w:i w:val="0"/>
                <w:sz w:val="20"/>
              </w:rPr>
              <w:t>Zero baseline is undefined; negative baseline requires an explicitly approved interpretation</w:t>
            </w:r>
          </w:p>
        </w:tc>
      </w:tr>
      <w:tr>
        <w:trPr>
          <w:cantSplit/>
        </w:trPr>
        <w:tc>
          <w:tcPr>
            <w:tcW w:type="dxa" w:w="2199"/>
            <w:vAlign w:val="center"/>
            <w:shd w:fill="F4F6F8"/>
          </w:tcPr>
          <w:p>
            <w:pPr>
              <w:spacing w:after="20" w:before="20" w:line="247" w:lineRule="auto"/>
            </w:pPr>
            <w:r>
              <w:rPr>
                <w:b w:val="0"/>
                <w:i w:val="0"/>
                <w:sz w:val="20"/>
              </w:rPr>
              <w:t>Weighted composite</w:t>
            </w:r>
          </w:p>
        </w:tc>
        <w:tc>
          <w:tcPr>
            <w:tcW w:type="dxa" w:w="4297"/>
            <w:vAlign w:val="center"/>
            <w:shd w:fill="F4F6F8"/>
          </w:tcPr>
          <w:p>
            <w:pPr>
              <w:spacing w:after="20" w:before="20" w:line="247" w:lineRule="auto"/>
            </w:pPr>
            <w:r>
              <w:rPr>
                <w:b w:val="0"/>
                <w:i w:val="0"/>
                <w:sz w:val="20"/>
              </w:rPr>
              <w:t>Sum of normalised component multiplied by its approved weight</w:t>
            </w:r>
          </w:p>
        </w:tc>
        <w:tc>
          <w:tcPr>
            <w:tcW w:type="dxa" w:w="3498"/>
            <w:vAlign w:val="center"/>
            <w:shd w:fill="F4F6F8"/>
          </w:tcPr>
          <w:p>
            <w:pPr>
              <w:spacing w:after="20" w:before="20" w:line="247" w:lineRule="auto"/>
            </w:pPr>
            <w:r>
              <w:rPr>
                <w:b w:val="0"/>
                <w:i w:val="0"/>
                <w:sz w:val="20"/>
              </w:rPr>
              <w:t>Weights reconcile; missing component treatment pinned in the definition</w:t>
            </w:r>
          </w:p>
        </w:tc>
      </w:tr>
      <w:tr>
        <w:trPr>
          <w:cantSplit/>
        </w:trPr>
        <w:tc>
          <w:tcPr>
            <w:tcW w:type="dxa" w:w="2199"/>
            <w:vAlign w:val="center"/>
            <w:shd w:fill="FFFFFF"/>
          </w:tcPr>
          <w:p>
            <w:pPr>
              <w:spacing w:after="20" w:before="20" w:line="247" w:lineRule="auto"/>
            </w:pPr>
            <w:r>
              <w:rPr>
                <w:b w:val="0"/>
                <w:i w:val="0"/>
                <w:sz w:val="20"/>
              </w:rPr>
              <w:t>Submission coverage</w:t>
            </w:r>
          </w:p>
        </w:tc>
        <w:tc>
          <w:tcPr>
            <w:tcW w:type="dxa" w:w="4297"/>
            <w:vAlign w:val="center"/>
            <w:shd w:fill="FFFFFF"/>
          </w:tcPr>
          <w:p>
            <w:pPr>
              <w:spacing w:after="20" w:before="20" w:line="247" w:lineRule="auto"/>
            </w:pPr>
            <w:r>
              <w:rPr>
                <w:b w:val="0"/>
                <w:i w:val="0"/>
                <w:sz w:val="20"/>
              </w:rPr>
              <w:t>Received eligible obligations divided by expected eligible obligations</w:t>
            </w:r>
          </w:p>
        </w:tc>
        <w:tc>
          <w:tcPr>
            <w:tcW w:type="dxa" w:w="3498"/>
            <w:vAlign w:val="center"/>
            <w:shd w:fill="FFFFFF"/>
          </w:tcPr>
          <w:p>
            <w:pPr>
              <w:spacing w:after="20" w:before="20" w:line="247" w:lineRule="auto"/>
            </w:pPr>
            <w:r>
              <w:rPr>
                <w:b w:val="0"/>
                <w:i w:val="0"/>
                <w:sz w:val="20"/>
              </w:rPr>
              <w:t>Zero expected obligations displays not applicable, not 100 percent</w:t>
            </w:r>
          </w:p>
        </w:tc>
      </w:tr>
      <w:tr>
        <w:trPr>
          <w:cantSplit/>
        </w:trPr>
        <w:tc>
          <w:tcPr>
            <w:tcW w:type="dxa" w:w="2199"/>
            <w:vAlign w:val="center"/>
            <w:shd w:fill="F4F6F8"/>
          </w:tcPr>
          <w:p>
            <w:pPr>
              <w:spacing w:after="20" w:before="20" w:line="247" w:lineRule="auto"/>
            </w:pPr>
            <w:r>
              <w:rPr>
                <w:b w:val="0"/>
                <w:i w:val="0"/>
                <w:sz w:val="20"/>
              </w:rPr>
              <w:t>Approval coverage</w:t>
            </w:r>
          </w:p>
        </w:tc>
        <w:tc>
          <w:tcPr>
            <w:tcW w:type="dxa" w:w="4297"/>
            <w:vAlign w:val="center"/>
            <w:shd w:fill="F4F6F8"/>
          </w:tcPr>
          <w:p>
            <w:pPr>
              <w:spacing w:after="20" w:before="20" w:line="247" w:lineRule="auto"/>
            </w:pPr>
            <w:r>
              <w:rPr>
                <w:b w:val="0"/>
                <w:i w:val="0"/>
                <w:sz w:val="20"/>
              </w:rPr>
              <w:t>Approved eligible obligations divided by expected eligible obligations</w:t>
            </w:r>
          </w:p>
        </w:tc>
        <w:tc>
          <w:tcPr>
            <w:tcW w:type="dxa" w:w="3498"/>
            <w:vAlign w:val="center"/>
            <w:shd w:fill="F4F6F8"/>
          </w:tcPr>
          <w:p>
            <w:pPr>
              <w:spacing w:after="20" w:before="20" w:line="247" w:lineRule="auto"/>
            </w:pPr>
            <w:r>
              <w:rPr>
                <w:b w:val="0"/>
                <w:i w:val="0"/>
                <w:sz w:val="20"/>
              </w:rPr>
              <w:t>Pending and invalid do not count as approved</w:t>
            </w:r>
          </w:p>
        </w:tc>
      </w:tr>
      <w:tr>
        <w:trPr>
          <w:cantSplit/>
        </w:trPr>
        <w:tc>
          <w:tcPr>
            <w:tcW w:type="dxa" w:w="2199"/>
            <w:vAlign w:val="center"/>
            <w:shd w:fill="FFFFFF"/>
          </w:tcPr>
          <w:p>
            <w:pPr>
              <w:spacing w:after="20" w:before="20" w:line="247" w:lineRule="auto"/>
            </w:pPr>
            <w:r>
              <w:rPr>
                <w:b w:val="0"/>
                <w:i w:val="0"/>
                <w:sz w:val="20"/>
              </w:rPr>
              <w:t>Currency conversion</w:t>
            </w:r>
          </w:p>
        </w:tc>
        <w:tc>
          <w:tcPr>
            <w:tcW w:type="dxa" w:w="4297"/>
            <w:vAlign w:val="center"/>
            <w:shd w:fill="FFFFFF"/>
          </w:tcPr>
          <w:p>
            <w:pPr>
              <w:spacing w:after="20" w:before="20" w:line="247" w:lineRule="auto"/>
            </w:pPr>
            <w:r>
              <w:rPr>
                <w:b w:val="0"/>
                <w:i w:val="0"/>
                <w:sz w:val="20"/>
              </w:rPr>
              <w:t>Original amount multiplied by the declared reporting-currency-per-source-unit rate</w:t>
            </w:r>
          </w:p>
        </w:tc>
        <w:tc>
          <w:tcPr>
            <w:tcW w:type="dxa" w:w="3498"/>
            <w:vAlign w:val="center"/>
            <w:shd w:fill="FFFFFF"/>
          </w:tcPr>
          <w:p>
            <w:pPr>
              <w:spacing w:after="20" w:before="20" w:line="247" w:lineRule="auto"/>
            </w:pPr>
            <w:r>
              <w:rPr>
                <w:b w:val="0"/>
                <w:i w:val="0"/>
                <w:sz w:val="20"/>
              </w:rPr>
              <w:t>Record direction and rate date; do not invert implicitly</w:t>
            </w:r>
          </w:p>
        </w:tc>
      </w:tr>
      <w:tr>
        <w:trPr>
          <w:cantSplit/>
        </w:trPr>
        <w:tc>
          <w:tcPr>
            <w:tcW w:type="dxa" w:w="2199"/>
            <w:vAlign w:val="center"/>
            <w:shd w:fill="F4F6F8"/>
          </w:tcPr>
          <w:p>
            <w:pPr>
              <w:spacing w:after="20" w:before="20" w:line="247" w:lineRule="auto"/>
            </w:pPr>
            <w:r>
              <w:rPr>
                <w:b w:val="0"/>
                <w:i w:val="0"/>
                <w:sz w:val="20"/>
              </w:rPr>
              <w:t>Cost per outcome</w:t>
            </w:r>
          </w:p>
        </w:tc>
        <w:tc>
          <w:tcPr>
            <w:tcW w:type="dxa" w:w="4297"/>
            <w:vAlign w:val="center"/>
            <w:shd w:fill="F4F6F8"/>
          </w:tcPr>
          <w:p>
            <w:pPr>
              <w:spacing w:after="20" w:before="20" w:line="247" w:lineRule="auto"/>
            </w:pPr>
            <w:r>
              <w:rPr>
                <w:b w:val="0"/>
                <w:i w:val="0"/>
                <w:sz w:val="20"/>
              </w:rPr>
              <w:t>Approved compatible cost divided by approved eligible outcome quantity</w:t>
            </w:r>
          </w:p>
        </w:tc>
        <w:tc>
          <w:tcPr>
            <w:tcW w:type="dxa" w:w="3498"/>
            <w:vAlign w:val="center"/>
            <w:shd w:fill="F4F6F8"/>
          </w:tcPr>
          <w:p>
            <w:pPr>
              <w:spacing w:after="20" w:before="20" w:line="247" w:lineRule="auto"/>
            </w:pPr>
            <w:r>
              <w:rPr>
                <w:b w:val="0"/>
                <w:i w:val="0"/>
                <w:sz w:val="20"/>
              </w:rPr>
              <w:t>Zero denominator undefined; no causal ROI claim by default</w:t>
            </w:r>
          </w:p>
        </w:tc>
      </w:tr>
    </w:tbl>
    <w:p>
      <w:pPr>
        <w:keepNext w:val="0"/>
        <w:spacing w:after="60" w:line="240" w:lineRule="auto" w:before="0"/>
      </w:pPr>
      <w:r>
        <w:rPr>
          <w:b w:val="0"/>
          <w:i w:val="0"/>
          <w:sz w:val="2"/>
        </w:rPr>
      </w:r>
    </w:p>
    <w:p>
      <w:r>
        <w:rPr>
          <w:b w:val="0"/>
          <w:i w:val="0"/>
        </w:rPr>
        <w:t>Colour status is not universal arithmetic. Each indicator publishes its direction, thresholds, tolerance and minimum data adequacy. When the author chooses a standard higher-target template, proposed defaults are achieved at 100 percent or more, at risk from 80 to below 100, and below target below 80; these values are visible and require measurement-plan approval. Lower and range targets use explicit deviation thresholds. Missing, undefined, unapproved, stale and materially incomplete are separately visible states before any performance interpretation. No threshold template can conceal them.</w:t>
      </w:r>
    </w:p>
    <w:p>
      <w:pPr>
        <w:pStyle w:val="Heading2"/>
      </w:pPr>
      <w:r>
        <w:rPr>
          <w:b w:val="0"/>
          <w:i w:val="0"/>
        </w:rPr>
        <w:t>32 3 Required golden calculation corpus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Case</w:t>
            </w:r>
          </w:p>
        </w:tc>
        <w:tc>
          <w:tcPr>
            <w:tcW w:type="dxa" w:w="4297"/>
            <w:vAlign w:val="center"/>
            <w:shd w:fill="233B53"/>
          </w:tcPr>
          <w:p>
            <w:pPr>
              <w:spacing w:after="20" w:before="20" w:line="247" w:lineRule="auto"/>
            </w:pPr>
            <w:r>
              <w:rPr>
                <w:b/>
                <w:i w:val="0"/>
                <w:color w:val="FFFFFF"/>
                <w:sz w:val="20"/>
              </w:rPr>
              <w:t>Input and method</w:t>
            </w:r>
          </w:p>
        </w:tc>
        <w:tc>
          <w:tcPr>
            <w:tcW w:type="dxa" w:w="3498"/>
            <w:vAlign w:val="center"/>
            <w:shd w:fill="233B53"/>
          </w:tcPr>
          <w:p>
            <w:pPr>
              <w:spacing w:after="20" w:before="20" w:line="247" w:lineRule="auto"/>
            </w:pPr>
            <w:r>
              <w:rPr>
                <w:b/>
                <w:i w:val="0"/>
                <w:color w:val="FFFFFF"/>
                <w:sz w:val="20"/>
              </w:rPr>
              <w:t>Exact expected outcome</w:t>
            </w:r>
          </w:p>
        </w:tc>
      </w:tr>
      <w:tr>
        <w:trPr>
          <w:cantSplit/>
        </w:trPr>
        <w:tc>
          <w:tcPr>
            <w:tcW w:type="dxa" w:w="2199"/>
            <w:vAlign w:val="center"/>
            <w:shd w:fill="FFFFFF"/>
          </w:tcPr>
          <w:p>
            <w:pPr>
              <w:spacing w:after="20" w:before="20" w:line="247" w:lineRule="auto"/>
            </w:pPr>
            <w:r>
              <w:rPr>
                <w:b w:val="0"/>
                <w:i w:val="0"/>
                <w:sz w:val="20"/>
              </w:rPr>
              <w:t>CAL01 Pooled ratio</w:t>
            </w:r>
          </w:p>
        </w:tc>
        <w:tc>
          <w:tcPr>
            <w:tcW w:type="dxa" w:w="4297"/>
            <w:vAlign w:val="center"/>
            <w:shd w:fill="FFFFFF"/>
          </w:tcPr>
          <w:p>
            <w:pPr>
              <w:spacing w:after="20" w:before="20" w:line="247" w:lineRule="auto"/>
            </w:pPr>
            <w:r>
              <w:rPr>
                <w:b w:val="0"/>
                <w:i w:val="0"/>
                <w:sz w:val="20"/>
              </w:rPr>
              <w:t>50 of 100 and 1 of 10</w:t>
            </w:r>
          </w:p>
        </w:tc>
        <w:tc>
          <w:tcPr>
            <w:tcW w:type="dxa" w:w="3498"/>
            <w:vAlign w:val="center"/>
            <w:shd w:fill="FFFFFF"/>
          </w:tcPr>
          <w:p>
            <w:pPr>
              <w:spacing w:after="20" w:before="20" w:line="247" w:lineRule="auto"/>
            </w:pPr>
            <w:r>
              <w:rPr>
                <w:b w:val="0"/>
                <w:i w:val="0"/>
                <w:sz w:val="20"/>
              </w:rPr>
              <w:t>51 of 110; raw repeating ratio retained to qualified precision; display 46.36 percent at two decimals</w:t>
            </w:r>
          </w:p>
        </w:tc>
      </w:tr>
      <w:tr>
        <w:trPr>
          <w:cantSplit/>
        </w:trPr>
        <w:tc>
          <w:tcPr>
            <w:tcW w:type="dxa" w:w="2199"/>
            <w:vAlign w:val="center"/>
            <w:shd w:fill="F4F6F8"/>
          </w:tcPr>
          <w:p>
            <w:pPr>
              <w:spacing w:after="20" w:before="20" w:line="247" w:lineRule="auto"/>
            </w:pPr>
            <w:r>
              <w:rPr>
                <w:b w:val="0"/>
                <w:i w:val="0"/>
                <w:sz w:val="20"/>
              </w:rPr>
              <w:t>CAL02 Unweighted contrast</w:t>
            </w:r>
          </w:p>
        </w:tc>
        <w:tc>
          <w:tcPr>
            <w:tcW w:type="dxa" w:w="4297"/>
            <w:vAlign w:val="center"/>
            <w:shd w:fill="F4F6F8"/>
          </w:tcPr>
          <w:p>
            <w:pPr>
              <w:spacing w:after="20" w:before="20" w:line="247" w:lineRule="auto"/>
            </w:pPr>
            <w:r>
              <w:rPr>
                <w:b w:val="0"/>
                <w:i w:val="0"/>
                <w:sz w:val="20"/>
              </w:rPr>
              <w:t>Mean of percentages 50 and 10</w:t>
            </w:r>
          </w:p>
        </w:tc>
        <w:tc>
          <w:tcPr>
            <w:tcW w:type="dxa" w:w="3498"/>
            <w:vAlign w:val="center"/>
            <w:shd w:fill="F4F6F8"/>
          </w:tcPr>
          <w:p>
            <w:pPr>
              <w:spacing w:after="20" w:before="20" w:line="247" w:lineRule="auto"/>
            </w:pPr>
            <w:r>
              <w:rPr>
                <w:b w:val="0"/>
                <w:i w:val="0"/>
                <w:sz w:val="20"/>
              </w:rPr>
              <w:t>30 percent only when explicitly labelled unweighted mean, never pooled percentage</w:t>
            </w:r>
          </w:p>
        </w:tc>
      </w:tr>
      <w:tr>
        <w:trPr>
          <w:cantSplit/>
        </w:trPr>
        <w:tc>
          <w:tcPr>
            <w:tcW w:type="dxa" w:w="2199"/>
            <w:vAlign w:val="center"/>
            <w:shd w:fill="FFFFFF"/>
          </w:tcPr>
          <w:p>
            <w:pPr>
              <w:spacing w:after="20" w:before="20" w:line="247" w:lineRule="auto"/>
            </w:pPr>
            <w:r>
              <w:rPr>
                <w:b w:val="0"/>
                <w:i w:val="0"/>
                <w:sz w:val="20"/>
              </w:rPr>
              <w:t>CAL03 Known overlap</w:t>
            </w:r>
          </w:p>
        </w:tc>
        <w:tc>
          <w:tcPr>
            <w:tcW w:type="dxa" w:w="4297"/>
            <w:vAlign w:val="center"/>
            <w:shd w:fill="FFFFFF"/>
          </w:tcPr>
          <w:p>
            <w:pPr>
              <w:spacing w:after="20" w:before="20" w:line="247" w:lineRule="auto"/>
            </w:pPr>
            <w:r>
              <w:rPr>
                <w:b w:val="0"/>
                <w:i w:val="0"/>
                <w:sz w:val="20"/>
              </w:rPr>
              <w:t>Two sets of 100 with 20 identical authorised identities</w:t>
            </w:r>
          </w:p>
        </w:tc>
        <w:tc>
          <w:tcPr>
            <w:tcW w:type="dxa" w:w="3498"/>
            <w:vAlign w:val="center"/>
            <w:shd w:fill="FFFFFF"/>
          </w:tcPr>
          <w:p>
            <w:pPr>
              <w:spacing w:after="20" w:before="20" w:line="247" w:lineRule="auto"/>
            </w:pPr>
            <w:r>
              <w:rPr>
                <w:b w:val="0"/>
                <w:i w:val="0"/>
                <w:sz w:val="20"/>
              </w:rPr>
              <w:t>180 unique; 200 contacts if every person received one event in each source</w:t>
            </w:r>
          </w:p>
        </w:tc>
      </w:tr>
      <w:tr>
        <w:trPr>
          <w:cantSplit/>
        </w:trPr>
        <w:tc>
          <w:tcPr>
            <w:tcW w:type="dxa" w:w="2199"/>
            <w:vAlign w:val="center"/>
            <w:shd w:fill="F4F6F8"/>
          </w:tcPr>
          <w:p>
            <w:pPr>
              <w:spacing w:after="20" w:before="20" w:line="247" w:lineRule="auto"/>
            </w:pPr>
            <w:r>
              <w:rPr>
                <w:b w:val="0"/>
                <w:i w:val="0"/>
                <w:sz w:val="20"/>
              </w:rPr>
              <w:t>CAL04 Unknown overlap</w:t>
            </w:r>
          </w:p>
        </w:tc>
        <w:tc>
          <w:tcPr>
            <w:tcW w:type="dxa" w:w="4297"/>
            <w:vAlign w:val="center"/>
            <w:shd w:fill="F4F6F8"/>
          </w:tcPr>
          <w:p>
            <w:pPr>
              <w:spacing w:after="20" w:before="20" w:line="247" w:lineRule="auto"/>
            </w:pPr>
            <w:r>
              <w:rPr>
                <w:b w:val="0"/>
                <w:i w:val="0"/>
                <w:sz w:val="20"/>
              </w:rPr>
              <w:t>Two aggregate totals of 100 without matchable identities</w:t>
            </w:r>
          </w:p>
        </w:tc>
        <w:tc>
          <w:tcPr>
            <w:tcW w:type="dxa" w:w="3498"/>
            <w:vAlign w:val="center"/>
            <w:shd w:fill="F4F6F8"/>
          </w:tcPr>
          <w:p>
            <w:pPr>
              <w:spacing w:after="20" w:before="20" w:line="247" w:lineRule="auto"/>
            </w:pPr>
            <w:r>
              <w:rPr>
                <w:b w:val="0"/>
                <w:i w:val="0"/>
                <w:sz w:val="20"/>
              </w:rPr>
              <w:t>Gross reach 200, unique reach unavailable, overlap unknown</w:t>
            </w:r>
          </w:p>
        </w:tc>
      </w:tr>
      <w:tr>
        <w:trPr>
          <w:cantSplit/>
        </w:trPr>
        <w:tc>
          <w:tcPr>
            <w:tcW w:type="dxa" w:w="2199"/>
            <w:vAlign w:val="center"/>
            <w:shd w:fill="FFFFFF"/>
          </w:tcPr>
          <w:p>
            <w:pPr>
              <w:spacing w:after="20" w:before="20" w:line="247" w:lineRule="auto"/>
            </w:pPr>
            <w:r>
              <w:rPr>
                <w:b w:val="0"/>
                <w:i w:val="0"/>
                <w:sz w:val="20"/>
              </w:rPr>
              <w:t>CAL05 Cumulative</w:t>
            </w:r>
          </w:p>
        </w:tc>
        <w:tc>
          <w:tcPr>
            <w:tcW w:type="dxa" w:w="4297"/>
            <w:vAlign w:val="center"/>
            <w:shd w:fill="FFFFFF"/>
          </w:tcPr>
          <w:p>
            <w:pPr>
              <w:spacing w:after="20" w:before="20" w:line="247" w:lineRule="auto"/>
            </w:pPr>
            <w:r>
              <w:rPr>
                <w:b w:val="0"/>
                <w:i w:val="0"/>
                <w:sz w:val="20"/>
              </w:rPr>
              <w:t>Positions 10, 15 and 20</w:t>
            </w:r>
          </w:p>
        </w:tc>
        <w:tc>
          <w:tcPr>
            <w:tcW w:type="dxa" w:w="3498"/>
            <w:vAlign w:val="center"/>
            <w:shd w:fill="FFFFFF"/>
          </w:tcPr>
          <w:p>
            <w:pPr>
              <w:spacing w:after="20" w:before="20" w:line="247" w:lineRule="auto"/>
            </w:pPr>
            <w:r>
              <w:rPr>
                <w:b w:val="0"/>
                <w:i w:val="0"/>
                <w:sz w:val="20"/>
              </w:rPr>
              <w:t>End 20; not 45; increments 10, 5, 5 only with verified zero start</w:t>
            </w:r>
          </w:p>
        </w:tc>
      </w:tr>
      <w:tr>
        <w:trPr>
          <w:cantSplit/>
        </w:trPr>
        <w:tc>
          <w:tcPr>
            <w:tcW w:type="dxa" w:w="2199"/>
            <w:vAlign w:val="center"/>
            <w:shd w:fill="F4F6F8"/>
          </w:tcPr>
          <w:p>
            <w:pPr>
              <w:spacing w:after="20" w:before="20" w:line="247" w:lineRule="auto"/>
            </w:pPr>
            <w:r>
              <w:rPr>
                <w:b w:val="0"/>
                <w:i w:val="0"/>
                <w:sz w:val="20"/>
              </w:rPr>
              <w:t>CAL06 Zero denominator</w:t>
            </w:r>
          </w:p>
        </w:tc>
        <w:tc>
          <w:tcPr>
            <w:tcW w:type="dxa" w:w="4297"/>
            <w:vAlign w:val="center"/>
            <w:shd w:fill="F4F6F8"/>
          </w:tcPr>
          <w:p>
            <w:pPr>
              <w:spacing w:after="20" w:before="20" w:line="247" w:lineRule="auto"/>
            </w:pPr>
            <w:r>
              <w:rPr>
                <w:b w:val="0"/>
                <w:i w:val="0"/>
                <w:sz w:val="20"/>
              </w:rPr>
              <w:t>Numerator five, denominator zero</w:t>
            </w:r>
          </w:p>
        </w:tc>
        <w:tc>
          <w:tcPr>
            <w:tcW w:type="dxa" w:w="3498"/>
            <w:vAlign w:val="center"/>
            <w:shd w:fill="F4F6F8"/>
          </w:tcPr>
          <w:p>
            <w:pPr>
              <w:spacing w:after="20" w:before="20" w:line="247" w:lineRule="auto"/>
            </w:pPr>
            <w:r>
              <w:rPr>
                <w:b w:val="0"/>
                <w:i w:val="0"/>
                <w:sz w:val="20"/>
              </w:rPr>
              <w:t>UNDEFINED, no numeric zero or infinity</w:t>
            </w:r>
          </w:p>
        </w:tc>
      </w:tr>
      <w:tr>
        <w:trPr>
          <w:cantSplit/>
        </w:trPr>
        <w:tc>
          <w:tcPr>
            <w:tcW w:type="dxa" w:w="2199"/>
            <w:vAlign w:val="center"/>
            <w:shd w:fill="FFFFFF"/>
          </w:tcPr>
          <w:p>
            <w:pPr>
              <w:spacing w:after="20" w:before="20" w:line="247" w:lineRule="auto"/>
            </w:pPr>
            <w:r>
              <w:rPr>
                <w:b w:val="0"/>
                <w:i w:val="0"/>
                <w:sz w:val="20"/>
              </w:rPr>
              <w:t>CAL07 Missing contribution</w:t>
            </w:r>
          </w:p>
        </w:tc>
        <w:tc>
          <w:tcPr>
            <w:tcW w:type="dxa" w:w="4297"/>
            <w:vAlign w:val="center"/>
            <w:shd w:fill="FFFFFF"/>
          </w:tcPr>
          <w:p>
            <w:pPr>
              <w:spacing w:after="20" w:before="20" w:line="247" w:lineRule="auto"/>
            </w:pPr>
            <w:r>
              <w:rPr>
                <w:b w:val="0"/>
                <w:i w:val="0"/>
                <w:sz w:val="20"/>
              </w:rPr>
              <w:t>Five expected partners; three approved, one pending, one missing</w:t>
            </w:r>
          </w:p>
        </w:tc>
        <w:tc>
          <w:tcPr>
            <w:tcW w:type="dxa" w:w="3498"/>
            <w:vAlign w:val="center"/>
            <w:shd w:fill="FFFFFF"/>
          </w:tcPr>
          <w:p>
            <w:pPr>
              <w:spacing w:after="20" w:before="20" w:line="247" w:lineRule="auto"/>
            </w:pPr>
            <w:r>
              <w:rPr>
                <w:b w:val="0"/>
                <w:i w:val="0"/>
                <w:sz w:val="20"/>
              </w:rPr>
              <w:t>Official approved-only result; approval coverage 3/5 or 60 percent; partial status</w:t>
            </w:r>
          </w:p>
        </w:tc>
      </w:tr>
      <w:tr>
        <w:trPr>
          <w:cantSplit/>
        </w:trPr>
        <w:tc>
          <w:tcPr>
            <w:tcW w:type="dxa" w:w="2199"/>
            <w:vAlign w:val="center"/>
            <w:shd w:fill="F4F6F8"/>
          </w:tcPr>
          <w:p>
            <w:pPr>
              <w:spacing w:after="20" w:before="20" w:line="247" w:lineRule="auto"/>
            </w:pPr>
            <w:r>
              <w:rPr>
                <w:b w:val="0"/>
                <w:i w:val="0"/>
                <w:sz w:val="20"/>
              </w:rPr>
              <w:t>CAL08 No obligation</w:t>
            </w:r>
          </w:p>
        </w:tc>
        <w:tc>
          <w:tcPr>
            <w:tcW w:type="dxa" w:w="4297"/>
            <w:vAlign w:val="center"/>
            <w:shd w:fill="F4F6F8"/>
          </w:tcPr>
          <w:p>
            <w:pPr>
              <w:spacing w:after="20" w:before="20" w:line="247" w:lineRule="auto"/>
            </w:pPr>
            <w:r>
              <w:rPr>
                <w:b w:val="0"/>
                <w:i w:val="0"/>
                <w:sz w:val="20"/>
              </w:rPr>
              <w:t>Zero eligible expected submissions</w:t>
            </w:r>
          </w:p>
        </w:tc>
        <w:tc>
          <w:tcPr>
            <w:tcW w:type="dxa" w:w="3498"/>
            <w:vAlign w:val="center"/>
            <w:shd w:fill="F4F6F8"/>
          </w:tcPr>
          <w:p>
            <w:pPr>
              <w:spacing w:after="20" w:before="20" w:line="247" w:lineRule="auto"/>
            </w:pPr>
            <w:r>
              <w:rPr>
                <w:b w:val="0"/>
                <w:i w:val="0"/>
                <w:sz w:val="20"/>
              </w:rPr>
              <w:t>Coverage not applicable, no divide by zero or fictitious complete result</w:t>
            </w:r>
          </w:p>
        </w:tc>
      </w:tr>
      <w:tr>
        <w:trPr>
          <w:cantSplit/>
        </w:trPr>
        <w:tc>
          <w:tcPr>
            <w:tcW w:type="dxa" w:w="2199"/>
            <w:vAlign w:val="center"/>
            <w:shd w:fill="FFFFFF"/>
          </w:tcPr>
          <w:p>
            <w:pPr>
              <w:spacing w:after="20" w:before="20" w:line="247" w:lineRule="auto"/>
            </w:pPr>
            <w:r>
              <w:rPr>
                <w:b w:val="0"/>
                <w:i w:val="0"/>
                <w:sz w:val="20"/>
              </w:rPr>
              <w:t>CAL09 Display precision</w:t>
            </w:r>
          </w:p>
        </w:tc>
        <w:tc>
          <w:tcPr>
            <w:tcW w:type="dxa" w:w="4297"/>
            <w:vAlign w:val="center"/>
            <w:shd w:fill="FFFFFF"/>
          </w:tcPr>
          <w:p>
            <w:pPr>
              <w:spacing w:after="20" w:before="20" w:line="247" w:lineRule="auto"/>
            </w:pPr>
            <w:r>
              <w:rPr>
                <w:b w:val="0"/>
                <w:i w:val="0"/>
                <w:sz w:val="20"/>
              </w:rPr>
              <w:t>Three exact inputs 0.335, summed then half-up rounded</w:t>
            </w:r>
          </w:p>
        </w:tc>
        <w:tc>
          <w:tcPr>
            <w:tcW w:type="dxa" w:w="3498"/>
            <w:vAlign w:val="center"/>
            <w:shd w:fill="FFFFFF"/>
          </w:tcPr>
          <w:p>
            <w:pPr>
              <w:spacing w:after="20" w:before="20" w:line="247" w:lineRule="auto"/>
            </w:pPr>
            <w:r>
              <w:rPr>
                <w:b w:val="0"/>
                <w:i w:val="0"/>
                <w:sz w:val="20"/>
              </w:rPr>
              <w:t>Raw sum 1.005; display 1.01 at two decimals</w:t>
            </w:r>
          </w:p>
        </w:tc>
      </w:tr>
      <w:tr>
        <w:trPr>
          <w:cantSplit/>
        </w:trPr>
        <w:tc>
          <w:tcPr>
            <w:tcW w:type="dxa" w:w="2199"/>
            <w:vAlign w:val="center"/>
            <w:shd w:fill="F4F6F8"/>
          </w:tcPr>
          <w:p>
            <w:pPr>
              <w:spacing w:after="20" w:before="20" w:line="247" w:lineRule="auto"/>
            </w:pPr>
            <w:r>
              <w:rPr>
                <w:b w:val="0"/>
                <w:i w:val="0"/>
                <w:sz w:val="20"/>
              </w:rPr>
              <w:t>CAL10 Diamond graph</w:t>
            </w:r>
          </w:p>
        </w:tc>
        <w:tc>
          <w:tcPr>
            <w:tcW w:type="dxa" w:w="4297"/>
            <w:vAlign w:val="center"/>
            <w:shd w:fill="F4F6F8"/>
          </w:tcPr>
          <w:p>
            <w:pPr>
              <w:spacing w:after="20" w:before="20" w:line="247" w:lineRule="auto"/>
            </w:pPr>
            <w:r>
              <w:rPr>
                <w:b w:val="0"/>
                <w:i w:val="0"/>
                <w:sz w:val="20"/>
              </w:rPr>
              <w:t>Same underlying source value seven reaches parent through two paths</w:t>
            </w:r>
          </w:p>
        </w:tc>
        <w:tc>
          <w:tcPr>
            <w:tcW w:type="dxa" w:w="3498"/>
            <w:vAlign w:val="center"/>
            <w:shd w:fill="F4F6F8"/>
          </w:tcPr>
          <w:p>
            <w:pPr>
              <w:spacing w:after="20" w:before="20" w:line="247" w:lineRule="auto"/>
            </w:pPr>
            <w:r>
              <w:rPr>
                <w:b w:val="0"/>
                <w:i w:val="0"/>
                <w:sz w:val="20"/>
              </w:rPr>
              <w:t>Unique contribution seven; duplicate path recorded or invalid additive rule blocked</w:t>
            </w:r>
          </w:p>
        </w:tc>
      </w:tr>
      <w:tr>
        <w:trPr>
          <w:cantSplit/>
        </w:trPr>
        <w:tc>
          <w:tcPr>
            <w:tcW w:type="dxa" w:w="2199"/>
            <w:vAlign w:val="center"/>
            <w:shd w:fill="FFFFFF"/>
          </w:tcPr>
          <w:p>
            <w:pPr>
              <w:spacing w:after="20" w:before="20" w:line="247" w:lineRule="auto"/>
            </w:pPr>
            <w:r>
              <w:rPr>
                <w:b w:val="0"/>
                <w:i w:val="0"/>
                <w:sz w:val="20"/>
              </w:rPr>
              <w:t>CAL11 Definition mismatch</w:t>
            </w:r>
          </w:p>
        </w:tc>
        <w:tc>
          <w:tcPr>
            <w:tcW w:type="dxa" w:w="4297"/>
            <w:vAlign w:val="center"/>
            <w:shd w:fill="FFFFFF"/>
          </w:tcPr>
          <w:p>
            <w:pPr>
              <w:spacing w:after="20" w:before="20" w:line="247" w:lineRule="auto"/>
            </w:pPr>
            <w:r>
              <w:rPr>
                <w:b w:val="0"/>
                <w:i w:val="0"/>
                <w:sz w:val="20"/>
              </w:rPr>
              <w:t>One hundred households and one hundred people</w:t>
            </w:r>
          </w:p>
        </w:tc>
        <w:tc>
          <w:tcPr>
            <w:tcW w:type="dxa" w:w="3498"/>
            <w:vAlign w:val="center"/>
            <w:shd w:fill="FFFFFF"/>
          </w:tcPr>
          <w:p>
            <w:pPr>
              <w:spacing w:after="20" w:before="20" w:line="247" w:lineRule="auto"/>
            </w:pPr>
            <w:r>
              <w:rPr>
                <w:b w:val="0"/>
                <w:i w:val="0"/>
                <w:sz w:val="20"/>
              </w:rPr>
              <w:t>No combined people total without justified conversion and source information</w:t>
            </w:r>
          </w:p>
        </w:tc>
      </w:tr>
      <w:tr>
        <w:trPr>
          <w:cantSplit/>
        </w:trPr>
        <w:tc>
          <w:tcPr>
            <w:tcW w:type="dxa" w:w="2199"/>
            <w:vAlign w:val="center"/>
            <w:shd w:fill="F4F6F8"/>
          </w:tcPr>
          <w:p>
            <w:pPr>
              <w:spacing w:after="20" w:before="20" w:line="247" w:lineRule="auto"/>
            </w:pPr>
            <w:r>
              <w:rPr>
                <w:b w:val="0"/>
                <w:i w:val="0"/>
                <w:sz w:val="20"/>
              </w:rPr>
              <w:t>CAL12 Age band mismatch</w:t>
            </w:r>
          </w:p>
        </w:tc>
        <w:tc>
          <w:tcPr>
            <w:tcW w:type="dxa" w:w="4297"/>
            <w:vAlign w:val="center"/>
            <w:shd w:fill="F4F6F8"/>
          </w:tcPr>
          <w:p>
            <w:pPr>
              <w:spacing w:after="20" w:before="20" w:line="247" w:lineRule="auto"/>
            </w:pPr>
            <w:r>
              <w:rPr>
                <w:b w:val="0"/>
                <w:i w:val="0"/>
                <w:sz w:val="20"/>
              </w:rPr>
              <w:t>Aggregates 0 to 14 and 0 to 17</w:t>
            </w:r>
          </w:p>
        </w:tc>
        <w:tc>
          <w:tcPr>
            <w:tcW w:type="dxa" w:w="3498"/>
            <w:vAlign w:val="center"/>
            <w:shd w:fill="F4F6F8"/>
          </w:tcPr>
          <w:p>
            <w:pPr>
              <w:spacing w:after="20" w:before="20" w:line="247" w:lineRule="auto"/>
            </w:pPr>
            <w:r>
              <w:rPr>
                <w:b w:val="0"/>
                <w:i w:val="0"/>
                <w:sz w:val="20"/>
              </w:rPr>
              <w:t>No exact shared narrow band without compatible underlying ages</w:t>
            </w:r>
          </w:p>
        </w:tc>
      </w:tr>
      <w:tr>
        <w:trPr>
          <w:cantSplit/>
        </w:trPr>
        <w:tc>
          <w:tcPr>
            <w:tcW w:type="dxa" w:w="2199"/>
            <w:vAlign w:val="center"/>
            <w:shd w:fill="FFFFFF"/>
          </w:tcPr>
          <w:p>
            <w:pPr>
              <w:spacing w:after="20" w:before="20" w:line="247" w:lineRule="auto"/>
            </w:pPr>
            <w:r>
              <w:rPr>
                <w:b w:val="0"/>
                <w:i w:val="0"/>
                <w:sz w:val="20"/>
              </w:rPr>
              <w:t>CAL13 Target revision</w:t>
            </w:r>
          </w:p>
        </w:tc>
        <w:tc>
          <w:tcPr>
            <w:tcW w:type="dxa" w:w="4297"/>
            <w:vAlign w:val="center"/>
            <w:shd w:fill="FFFFFF"/>
          </w:tcPr>
          <w:p>
            <w:pPr>
              <w:spacing w:after="20" w:before="20" w:line="247" w:lineRule="auto"/>
            </w:pPr>
            <w:r>
              <w:rPr>
                <w:b w:val="0"/>
                <w:i w:val="0"/>
                <w:sz w:val="20"/>
              </w:rPr>
              <w:t>Locked actual 900 against original target 1000; later target 800</w:t>
            </w:r>
          </w:p>
        </w:tc>
        <w:tc>
          <w:tcPr>
            <w:tcW w:type="dxa" w:w="3498"/>
            <w:vAlign w:val="center"/>
            <w:shd w:fill="FFFFFF"/>
          </w:tcPr>
          <w:p>
            <w:pPr>
              <w:spacing w:after="20" w:before="20" w:line="247" w:lineRule="auto"/>
            </w:pPr>
            <w:r>
              <w:rPr>
                <w:b w:val="0"/>
                <w:i w:val="0"/>
                <w:sz w:val="20"/>
              </w:rPr>
              <w:t>Original 90 percent; explicitly revised comparison 112.5 percent only in its approved context</w:t>
            </w:r>
          </w:p>
        </w:tc>
      </w:tr>
      <w:tr>
        <w:trPr>
          <w:cantSplit/>
        </w:trPr>
        <w:tc>
          <w:tcPr>
            <w:tcW w:type="dxa" w:w="2199"/>
            <w:vAlign w:val="center"/>
            <w:shd w:fill="F4F6F8"/>
          </w:tcPr>
          <w:p>
            <w:pPr>
              <w:spacing w:after="20" w:before="20" w:line="247" w:lineRule="auto"/>
            </w:pPr>
            <w:r>
              <w:rPr>
                <w:b w:val="0"/>
                <w:i w:val="0"/>
                <w:sz w:val="20"/>
              </w:rPr>
              <w:t>CAL14 Lower target</w:t>
            </w:r>
          </w:p>
        </w:tc>
        <w:tc>
          <w:tcPr>
            <w:tcW w:type="dxa" w:w="4297"/>
            <w:vAlign w:val="center"/>
            <w:shd w:fill="F4F6F8"/>
          </w:tcPr>
          <w:p>
            <w:pPr>
              <w:spacing w:after="20" w:before="20" w:line="247" w:lineRule="auto"/>
            </w:pPr>
            <w:r>
              <w:rPr>
                <w:b w:val="0"/>
                <w:i w:val="0"/>
                <w:sz w:val="20"/>
              </w:rPr>
              <w:t>Actual eight, target ten</w:t>
            </w:r>
          </w:p>
        </w:tc>
        <w:tc>
          <w:tcPr>
            <w:tcW w:type="dxa" w:w="3498"/>
            <w:vAlign w:val="center"/>
            <w:shd w:fill="F4F6F8"/>
          </w:tcPr>
          <w:p>
            <w:pPr>
              <w:spacing w:after="20" w:before="20" w:line="247" w:lineRule="auto"/>
            </w:pPr>
            <w:r>
              <w:rPr>
                <w:b w:val="0"/>
                <w:i w:val="0"/>
                <w:sz w:val="20"/>
              </w:rPr>
              <w:t>Achieved; signed deviation minus two; no automatic higher-is-better colour</w:t>
            </w:r>
          </w:p>
        </w:tc>
      </w:tr>
      <w:tr>
        <w:trPr>
          <w:cantSplit/>
        </w:trPr>
        <w:tc>
          <w:tcPr>
            <w:tcW w:type="dxa" w:w="2199"/>
            <w:vAlign w:val="center"/>
            <w:shd w:fill="FFFFFF"/>
          </w:tcPr>
          <w:p>
            <w:pPr>
              <w:spacing w:after="20" w:before="20" w:line="247" w:lineRule="auto"/>
            </w:pPr>
            <w:r>
              <w:rPr>
                <w:b w:val="0"/>
                <w:i w:val="0"/>
                <w:sz w:val="20"/>
              </w:rPr>
              <w:t>CAL15 Weighted score</w:t>
            </w:r>
          </w:p>
        </w:tc>
        <w:tc>
          <w:tcPr>
            <w:tcW w:type="dxa" w:w="4297"/>
            <w:vAlign w:val="center"/>
            <w:shd w:fill="FFFFFF"/>
          </w:tcPr>
          <w:p>
            <w:pPr>
              <w:spacing w:after="20" w:before="20" w:line="247" w:lineRule="auto"/>
            </w:pPr>
            <w:r>
              <w:rPr>
                <w:b w:val="0"/>
                <w:i w:val="0"/>
                <w:sz w:val="20"/>
              </w:rPr>
              <w:t>Components 60 and 80 with weights 0.4 and 0.6</w:t>
            </w:r>
          </w:p>
        </w:tc>
        <w:tc>
          <w:tcPr>
            <w:tcW w:type="dxa" w:w="3498"/>
            <w:vAlign w:val="center"/>
            <w:shd w:fill="FFFFFF"/>
          </w:tcPr>
          <w:p>
            <w:pPr>
              <w:spacing w:after="20" w:before="20" w:line="247" w:lineRule="auto"/>
            </w:pPr>
            <w:r>
              <w:rPr>
                <w:b w:val="0"/>
                <w:i w:val="0"/>
                <w:sz w:val="20"/>
              </w:rPr>
              <w:t>72; versioned normalisation and weights</w:t>
            </w:r>
          </w:p>
        </w:tc>
      </w:tr>
      <w:tr>
        <w:trPr>
          <w:cantSplit/>
        </w:trPr>
        <w:tc>
          <w:tcPr>
            <w:tcW w:type="dxa" w:w="2199"/>
            <w:vAlign w:val="center"/>
            <w:shd w:fill="F4F6F8"/>
          </w:tcPr>
          <w:p>
            <w:pPr>
              <w:spacing w:after="20" w:before="20" w:line="247" w:lineRule="auto"/>
            </w:pPr>
            <w:r>
              <w:rPr>
                <w:b w:val="0"/>
                <w:i w:val="0"/>
                <w:sz w:val="20"/>
              </w:rPr>
              <w:t>CAL16 Pooled median</w:t>
            </w:r>
          </w:p>
        </w:tc>
        <w:tc>
          <w:tcPr>
            <w:tcW w:type="dxa" w:w="4297"/>
            <w:vAlign w:val="center"/>
            <w:shd w:fill="F4F6F8"/>
          </w:tcPr>
          <w:p>
            <w:pPr>
              <w:spacing w:after="20" w:before="20" w:line="247" w:lineRule="auto"/>
            </w:pPr>
            <w:r>
              <w:rPr>
                <w:b w:val="0"/>
                <w:i w:val="0"/>
                <w:sz w:val="20"/>
              </w:rPr>
              <w:t>Raw values 1, 2, 100, 3 and 4</w:t>
            </w:r>
          </w:p>
        </w:tc>
        <w:tc>
          <w:tcPr>
            <w:tcW w:type="dxa" w:w="3498"/>
            <w:vAlign w:val="center"/>
            <w:shd w:fill="F4F6F8"/>
          </w:tcPr>
          <w:p>
            <w:pPr>
              <w:spacing w:after="20" w:before="20" w:line="247" w:lineRule="auto"/>
            </w:pPr>
            <w:r>
              <w:rPr>
                <w:b w:val="0"/>
                <w:i w:val="0"/>
                <w:sz w:val="20"/>
              </w:rPr>
              <w:t>Median three; not an unqualified median of subgroup medians</w:t>
            </w:r>
          </w:p>
        </w:tc>
      </w:tr>
      <w:tr>
        <w:trPr>
          <w:cantSplit/>
        </w:trPr>
        <w:tc>
          <w:tcPr>
            <w:tcW w:type="dxa" w:w="2199"/>
            <w:vAlign w:val="center"/>
            <w:shd w:fill="FFFFFF"/>
          </w:tcPr>
          <w:p>
            <w:pPr>
              <w:spacing w:after="20" w:before="20" w:line="247" w:lineRule="auto"/>
            </w:pPr>
            <w:r>
              <w:rPr>
                <w:b w:val="0"/>
                <w:i w:val="0"/>
                <w:sz w:val="20"/>
              </w:rPr>
              <w:t>CAL17 Currency</w:t>
            </w:r>
          </w:p>
        </w:tc>
        <w:tc>
          <w:tcPr>
            <w:tcW w:type="dxa" w:w="4297"/>
            <w:vAlign w:val="center"/>
            <w:shd w:fill="FFFFFF"/>
          </w:tcPr>
          <w:p>
            <w:pPr>
              <w:spacing w:after="20" w:before="20" w:line="247" w:lineRule="auto"/>
            </w:pPr>
            <w:r>
              <w:rPr>
                <w:b w:val="0"/>
                <w:i w:val="0"/>
                <w:sz w:val="20"/>
              </w:rPr>
              <w:t>USD 100 at INR 83 per USD</w:t>
            </w:r>
          </w:p>
        </w:tc>
        <w:tc>
          <w:tcPr>
            <w:tcW w:type="dxa" w:w="3498"/>
            <w:vAlign w:val="center"/>
            <w:shd w:fill="FFFFFF"/>
          </w:tcPr>
          <w:p>
            <w:pPr>
              <w:spacing w:after="20" w:before="20" w:line="247" w:lineRule="auto"/>
            </w:pPr>
            <w:r>
              <w:rPr>
                <w:b w:val="0"/>
                <w:i w:val="0"/>
                <w:sz w:val="20"/>
              </w:rPr>
              <w:t>INR 8300; rate and currency versions pinned</w:t>
            </w:r>
          </w:p>
        </w:tc>
      </w:tr>
      <w:tr>
        <w:trPr>
          <w:cantSplit/>
        </w:trPr>
        <w:tc>
          <w:tcPr>
            <w:tcW w:type="dxa" w:w="2199"/>
            <w:vAlign w:val="center"/>
            <w:shd w:fill="F4F6F8"/>
          </w:tcPr>
          <w:p>
            <w:pPr>
              <w:spacing w:after="20" w:before="20" w:line="247" w:lineRule="auto"/>
            </w:pPr>
            <w:r>
              <w:rPr>
                <w:b w:val="0"/>
                <w:i w:val="0"/>
                <w:sz w:val="20"/>
              </w:rPr>
              <w:t>CAL18 Cost effectiveness</w:t>
            </w:r>
          </w:p>
        </w:tc>
        <w:tc>
          <w:tcPr>
            <w:tcW w:type="dxa" w:w="4297"/>
            <w:vAlign w:val="center"/>
            <w:shd w:fill="F4F6F8"/>
          </w:tcPr>
          <w:p>
            <w:pPr>
              <w:spacing w:after="20" w:before="20" w:line="247" w:lineRule="auto"/>
            </w:pPr>
            <w:r>
              <w:rPr>
                <w:b w:val="0"/>
                <w:i w:val="0"/>
                <w:sz w:val="20"/>
              </w:rPr>
              <w:t>Eligible cost 900 and unique participants 180</w:t>
            </w:r>
          </w:p>
        </w:tc>
        <w:tc>
          <w:tcPr>
            <w:tcW w:type="dxa" w:w="3498"/>
            <w:vAlign w:val="center"/>
            <w:shd w:fill="F4F6F8"/>
          </w:tcPr>
          <w:p>
            <w:pPr>
              <w:spacing w:after="20" w:before="20" w:line="247" w:lineRule="auto"/>
            </w:pPr>
            <w:r>
              <w:rPr>
                <w:b w:val="0"/>
                <w:i w:val="0"/>
                <w:sz w:val="20"/>
              </w:rPr>
              <w:t>Five per participant with declared currency and cost exclusions</w:t>
            </w:r>
          </w:p>
        </w:tc>
      </w:tr>
      <w:tr>
        <w:trPr>
          <w:cantSplit/>
        </w:trPr>
        <w:tc>
          <w:tcPr>
            <w:tcW w:type="dxa" w:w="2199"/>
            <w:vAlign w:val="center"/>
            <w:shd w:fill="FFFFFF"/>
          </w:tcPr>
          <w:p>
            <w:pPr>
              <w:spacing w:after="20" w:before="20" w:line="247" w:lineRule="auto"/>
            </w:pPr>
            <w:r>
              <w:rPr>
                <w:b w:val="0"/>
                <w:i w:val="0"/>
                <w:sz w:val="20"/>
              </w:rPr>
              <w:t>CAL19 Disclosure</w:t>
            </w:r>
          </w:p>
        </w:tc>
        <w:tc>
          <w:tcPr>
            <w:tcW w:type="dxa" w:w="4297"/>
            <w:vAlign w:val="center"/>
            <w:shd w:fill="FFFFFF"/>
          </w:tcPr>
          <w:p>
            <w:pPr>
              <w:spacing w:after="20" w:before="20" w:line="247" w:lineRule="auto"/>
            </w:pPr>
            <w:r>
              <w:rPr>
                <w:b w:val="0"/>
                <w:i w:val="0"/>
                <w:sz w:val="20"/>
              </w:rPr>
              <w:t>Small group two, other group eight, total ten</w:t>
            </w:r>
          </w:p>
        </w:tc>
        <w:tc>
          <w:tcPr>
            <w:tcW w:type="dxa" w:w="3498"/>
            <w:vAlign w:val="center"/>
            <w:shd w:fill="FFFFFF"/>
          </w:tcPr>
          <w:p>
            <w:pPr>
              <w:spacing w:after="20" w:before="20" w:line="247" w:lineRule="auto"/>
            </w:pPr>
            <w:r>
              <w:rPr>
                <w:b w:val="0"/>
                <w:i w:val="0"/>
                <w:sz w:val="20"/>
              </w:rPr>
              <w:t>Public combination withheld or complemented so suppressed two is not reconstructed</w:t>
            </w:r>
          </w:p>
        </w:tc>
      </w:tr>
      <w:tr>
        <w:trPr>
          <w:cantSplit/>
        </w:trPr>
        <w:tc>
          <w:tcPr>
            <w:tcW w:type="dxa" w:w="2199"/>
            <w:vAlign w:val="center"/>
            <w:shd w:fill="F4F6F8"/>
          </w:tcPr>
          <w:p>
            <w:pPr>
              <w:spacing w:after="20" w:before="20" w:line="247" w:lineRule="auto"/>
            </w:pPr>
            <w:r>
              <w:rPr>
                <w:b w:val="0"/>
                <w:i w:val="0"/>
                <w:sz w:val="20"/>
              </w:rPr>
              <w:t>CAL20 Time boundary</w:t>
            </w:r>
          </w:p>
        </w:tc>
        <w:tc>
          <w:tcPr>
            <w:tcW w:type="dxa" w:w="4297"/>
            <w:vAlign w:val="center"/>
            <w:shd w:fill="F4F6F8"/>
          </w:tcPr>
          <w:p>
            <w:pPr>
              <w:spacing w:after="20" w:before="20" w:line="247" w:lineRule="auto"/>
            </w:pPr>
            <w:r>
              <w:rPr>
                <w:b w:val="0"/>
                <w:i w:val="0"/>
                <w:sz w:val="20"/>
              </w:rPr>
              <w:t>Event exactly at next period start in reporting zone</w:t>
            </w:r>
          </w:p>
        </w:tc>
        <w:tc>
          <w:tcPr>
            <w:tcW w:type="dxa" w:w="3498"/>
            <w:vAlign w:val="center"/>
            <w:shd w:fill="F4F6F8"/>
          </w:tcPr>
          <w:p>
            <w:pPr>
              <w:spacing w:after="20" w:before="20" w:line="247" w:lineRule="auto"/>
            </w:pPr>
            <w:r>
              <w:rPr>
                <w:b w:val="0"/>
                <w:i w:val="0"/>
                <w:sz w:val="20"/>
              </w:rPr>
              <w:t>Included once in new period, not prior exclusive end</w:t>
            </w:r>
          </w:p>
        </w:tc>
      </w:tr>
    </w:tbl>
    <w:p>
      <w:pPr>
        <w:keepNext w:val="0"/>
        <w:spacing w:after="60" w:line="240" w:lineRule="auto" w:before="0"/>
      </w:pPr>
      <w:r>
        <w:rPr>
          <w:b w:val="0"/>
          <w:i w:val="0"/>
          <w:sz w:val="2"/>
        </w:rPr>
      </w:r>
    </w:p>
    <w:p>
      <w:r>
        <w:rPr>
          <w:b w:val="0"/>
          <w:i w:val="0"/>
        </w:rPr>
        <w:t>Corrections, revoked access, changed disclosure policy, late approval and source deletion shall be applied to these fixtures as independent variants. Published numeric snapshots do not change with live recalculation; lawful privacy restrictions can withhold an artifact. The regression corpus records both obligations rather than treating immutability as permission to retain disallowed content indefinitely.</w:t>
      </w:r>
    </w:p>
    <w:p>
      <w:bookmarkStart w:id="303" w:name="sec_33"/>
      <w:pPr>
        <w:pStyle w:val="Heading1"/>
      </w:pPr>
      <w:r>
        <w:rPr>
          <w:b w:val="0"/>
          <w:i w:val="0"/>
        </w:rPr>
        <w:t>33 Form expressions and import contracts</w:t>
      </w:r>
      <w:bookmarkEnd w:id="303"/>
    </w:p>
    <w:p>
      <w:r>
        <w:rPr>
          <w:b w:val="0"/>
          <w:i w:val="0"/>
        </w:rPr>
        <w:t>File size limits use decimal units: one MB is 1000000 bytes and one GB is 1000000000 bytes. Text field limits count Unicode characters as defined in section 4. Limits are checked before accepting an upload and again during validated processing.</w:t>
      </w:r>
    </w:p>
    <w:p>
      <w:pPr>
        <w:pStyle w:val="Heading2"/>
      </w:pPr>
      <w:r>
        <w:rPr>
          <w:b w:val="0"/>
          <w:i w:val="0"/>
        </w:rPr>
        <w:t>33 1 Supported expressions</w:t>
      </w:r>
    </w:p>
    <w:p>
      <w:r>
        <w:rPr>
          <w:b w:val="0"/>
          <w:i w:val="0"/>
        </w:rPr>
        <w:t>R1 form and quality expressions use typed field references, literals, comparison, and, or, not, exists, membership in a code list, bounded arithmetic, date difference, min, max and conditional selection. Null and missing are explicit states. Evaluation order follows an acyclic dependency graph. Expressions cannot read unrelated records, call external URLs, execute scripts or change authorisation. LLD defines a safe grammar without broadening this function set.</w:t>
      </w:r>
    </w:p>
    <w:p>
      <w:r>
        <w:rPr>
          <w:b w:val="0"/>
          <w:i w:val="0"/>
        </w:rPr>
        <w:t>Date difference declares calendar date or elapsed duration semantics. Age uses birth date and observation date under the approved eligibility method; incomplete birth dates do not produce a fabricated exact age. Comparisons between incompatible units fail at validation. Hidden fields follow their published clear or retain rule. Repeat-level calculations declare whether they operate within one repeat or over the repeat set, avoiding accidental reference to the wrong household member.</w:t>
      </w:r>
    </w:p>
    <w:p>
      <w:pPr>
        <w:pStyle w:val="Heading2"/>
      </w:pPr>
      <w:r>
        <w:rPr>
          <w:b w:val="0"/>
          <w:i w:val="0"/>
        </w:rPr>
        <w:t>33 2 Submission contract</w:t>
      </w:r>
    </w:p>
    <w:p>
      <w:r>
        <w:rPr>
          <w:b w:val="0"/>
          <w:i w:val="0"/>
        </w:rPr>
        <w:t>The logical submission input contains tenant context, submission_id, operation_id, assignment_id where applicable, form_version, translation_version, base_revision for correction, captured_at, event_at, capture_zone, actor, offline_grant reference if used, typed answer map and attachment manifest. The server determines authenticated actor and receipt time; it does not trust client actor fields to grant access. Offline original author is retained alongside the authenticating uploader or approved handover actor.</w:t>
      </w:r>
    </w:p>
    <w:p>
      <w:r>
        <w:rPr>
          <w:b w:val="0"/>
          <w:i w:val="0"/>
        </w:rPr>
        <w:t>The response identifies submission_id, server object, server revision, receipt time, validation state, evidence completeness, review state and itemised errors. Accepted receipt does not mean approval. A required attachment not yet received leaves evidence incomplete. A stale assignment, expired grant or incompatible form returns a defined conflict, rejection or restricted quarantine response according to the published policy.</w:t>
      </w:r>
    </w:p>
    <w:p>
      <w:pPr>
        <w:pStyle w:val="Heading2"/>
      </w:pPr>
      <w:r>
        <w:rPr>
          <w:b w:val="0"/>
          <w:i w:val="0"/>
        </w:rPr>
        <w:t>33 3 Import contract and row accounting</w:t>
      </w:r>
    </w:p>
    <w:p>
      <w:r>
        <w:rPr>
          <w:b w:val="0"/>
          <w:i w:val="0"/>
        </w:rPr>
        <w:t>Import input includes source namespace, source content identity, mapping version, mode, source key, locale, date pattern, expected control totals and atomic or partial mode. A row identity includes source namespace and stable source key; file row number is provenance, not a reliable cross-file identity. A controlled replacement declares the exact replace scope and approved deletion treatment before execution.</w:t>
      </w:r>
    </w:p>
    <w:p>
      <w:r>
        <w:rPr>
          <w:b w:val="0"/>
          <w:i w:val="0"/>
        </w:rPr>
        <w:t>Every parsed row is accounted for once in the terminal manifest: inserted, revised, unchanged duplicate, rejected, quarantined or unprocessed due to cancellation or failure. Header and deliberately skipped nondata lines are counted separately. A parse failure before reliable row boundaries is reported as a file failure with the last safe location, not as a fabricated row count. Record outcomes reference safe source keys and destination revisions. A corrected retry uses the same source business identity and a new operation receipt.</w:t>
      </w:r>
    </w:p>
    <w:p>
      <w:pPr>
        <w:pStyle w:val="Heading2"/>
      </w:pPr>
      <w:r>
        <w:rPr>
          <w:b w:val="0"/>
          <w:i w:val="0"/>
        </w:rPr>
        <w:t>33 4 Connector object mapping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998"/>
        <w:gridCol w:w="3598"/>
        <w:gridCol w:w="1199"/>
      </w:tblGrid>
      <w:tr>
        <w:trPr>
          <w:cantSplit/>
          <w:tblHeader/>
        </w:trPr>
        <w:tc>
          <w:tcPr>
            <w:tcW w:type="dxa" w:w="2199"/>
            <w:vAlign w:val="center"/>
            <w:shd w:fill="233B53"/>
          </w:tcPr>
          <w:p>
            <w:pPr>
              <w:spacing w:after="20" w:before="20" w:line="247" w:lineRule="auto"/>
            </w:pPr>
            <w:r>
              <w:rPr>
                <w:b/>
                <w:i w:val="0"/>
                <w:color w:val="FFFFFF"/>
                <w:sz w:val="20"/>
              </w:rPr>
              <w:t>Profile</w:t>
            </w:r>
          </w:p>
        </w:tc>
        <w:tc>
          <w:tcPr>
            <w:tcW w:type="dxa" w:w="2998"/>
            <w:vAlign w:val="center"/>
            <w:shd w:fill="233B53"/>
          </w:tcPr>
          <w:p>
            <w:pPr>
              <w:spacing w:after="20" w:before="20" w:line="247" w:lineRule="auto"/>
            </w:pPr>
            <w:r>
              <w:rPr>
                <w:b/>
                <w:i w:val="0"/>
                <w:color w:val="FFFFFF"/>
                <w:sz w:val="20"/>
              </w:rPr>
              <w:t>Input and identity</w:t>
            </w:r>
          </w:p>
        </w:tc>
        <w:tc>
          <w:tcPr>
            <w:tcW w:type="dxa" w:w="3598"/>
            <w:vAlign w:val="center"/>
            <w:shd w:fill="233B53"/>
          </w:tcPr>
          <w:p>
            <w:pPr>
              <w:spacing w:after="20" w:before="20" w:line="247" w:lineRule="auto"/>
            </w:pPr>
            <w:r>
              <w:rPr>
                <w:b/>
                <w:i w:val="0"/>
                <w:color w:val="FFFFFF"/>
                <w:sz w:val="20"/>
              </w:rPr>
              <w:t>Update and deletion behaviour</w:t>
            </w:r>
          </w:p>
        </w:tc>
        <w:tc>
          <w:tcPr>
            <w:tcW w:type="dxa" w:w="1199"/>
            <w:vAlign w:val="center"/>
            <w:shd w:fill="233B53"/>
          </w:tcPr>
          <w:p>
            <w:pPr>
              <w:spacing w:after="20" w:before="20" w:line="247" w:lineRule="auto"/>
            </w:pPr>
            <w:r>
              <w:rPr>
                <w:b/>
                <w:i w:val="0"/>
                <w:color w:val="FFFFFF"/>
                <w:sz w:val="20"/>
              </w:rPr>
              <w:t>Release</w:t>
            </w:r>
          </w:p>
        </w:tc>
      </w:tr>
      <w:tr>
        <w:trPr>
          <w:cantSplit/>
        </w:trPr>
        <w:tc>
          <w:tcPr>
            <w:tcW w:type="dxa" w:w="2199"/>
            <w:vAlign w:val="center"/>
            <w:shd w:fill="FFFFFF"/>
          </w:tcPr>
          <w:p>
            <w:pPr>
              <w:spacing w:after="20" w:before="20" w:line="247" w:lineRule="auto"/>
            </w:pPr>
            <w:r>
              <w:rPr>
                <w:b w:val="0"/>
                <w:i w:val="0"/>
                <w:sz w:val="20"/>
              </w:rPr>
              <w:t>CSV and XLSX</w:t>
            </w:r>
          </w:p>
        </w:tc>
        <w:tc>
          <w:tcPr>
            <w:tcW w:type="dxa" w:w="2998"/>
            <w:vAlign w:val="center"/>
            <w:shd w:fill="FFFFFF"/>
          </w:tcPr>
          <w:p>
            <w:pPr>
              <w:spacing w:after="20" w:before="20" w:line="247" w:lineRule="auto"/>
            </w:pPr>
            <w:r>
              <w:rPr>
                <w:b w:val="0"/>
                <w:i w:val="0"/>
                <w:sz w:val="20"/>
              </w:rPr>
              <w:t>Selected sheet or stream; explicit stable source key and parsing policy</w:t>
            </w:r>
          </w:p>
        </w:tc>
        <w:tc>
          <w:tcPr>
            <w:tcW w:type="dxa" w:w="3598"/>
            <w:vAlign w:val="center"/>
            <w:shd w:fill="FFFFFF"/>
          </w:tcPr>
          <w:p>
            <w:pPr>
              <w:spacing w:after="20" w:before="20" w:line="247" w:lineRule="auto"/>
            </w:pPr>
            <w:r>
              <w:rPr>
                <w:b w:val="0"/>
                <w:i w:val="0"/>
                <w:sz w:val="20"/>
              </w:rPr>
              <w:t>Keyed revisions or reviewed replacement; missing row never means delete in append mode</w:t>
            </w:r>
          </w:p>
        </w:tc>
        <w:tc>
          <w:tcPr>
            <w:tcW w:type="dxa" w:w="1199"/>
            <w:vAlign w:val="center"/>
            <w:shd w:fill="FFFFFF"/>
          </w:tcPr>
          <w:p>
            <w:pPr>
              <w:spacing w:after="20" w:before="20" w:line="247" w:lineRule="auto"/>
            </w:pPr>
            <w:r>
              <w:rPr>
                <w:b w:val="0"/>
                <w:i w:val="0"/>
                <w:sz w:val="20"/>
              </w:rPr>
              <w:t>R1</w:t>
            </w:r>
          </w:p>
        </w:tc>
      </w:tr>
      <w:tr>
        <w:trPr>
          <w:cantSplit/>
        </w:trPr>
        <w:tc>
          <w:tcPr>
            <w:tcW w:type="dxa" w:w="2199"/>
            <w:vAlign w:val="center"/>
            <w:shd w:fill="F4F6F8"/>
          </w:tcPr>
          <w:p>
            <w:pPr>
              <w:spacing w:after="20" w:before="20" w:line="247" w:lineRule="auto"/>
            </w:pPr>
            <w:r>
              <w:rPr>
                <w:b w:val="0"/>
                <w:i w:val="0"/>
                <w:sz w:val="20"/>
              </w:rPr>
              <w:t>KoboToolbox</w:t>
            </w:r>
          </w:p>
        </w:tc>
        <w:tc>
          <w:tcPr>
            <w:tcW w:type="dxa" w:w="2998"/>
            <w:vAlign w:val="center"/>
            <w:shd w:fill="F4F6F8"/>
          </w:tcPr>
          <w:p>
            <w:pPr>
              <w:spacing w:after="20" w:before="20" w:line="247" w:lineRule="auto"/>
            </w:pPr>
            <w:r>
              <w:rPr>
                <w:b w:val="0"/>
                <w:i w:val="0"/>
                <w:sz w:val="20"/>
              </w:rPr>
              <w:t>Qualified form and submission identifiers, version, repeat structure and attachments</w:t>
            </w:r>
          </w:p>
        </w:tc>
        <w:tc>
          <w:tcPr>
            <w:tcW w:type="dxa" w:w="3598"/>
            <w:vAlign w:val="center"/>
            <w:shd w:fill="F4F6F8"/>
          </w:tcPr>
          <w:p>
            <w:pPr>
              <w:spacing w:after="20" w:before="20" w:line="247" w:lineRule="auto"/>
            </w:pPr>
            <w:r>
              <w:rPr>
                <w:b w:val="0"/>
                <w:i w:val="0"/>
                <w:sz w:val="20"/>
              </w:rPr>
              <w:t>Source revisions map to new observation revisions; source deletes are review events under an approved contract</w:t>
            </w:r>
          </w:p>
        </w:tc>
        <w:tc>
          <w:tcPr>
            <w:tcW w:type="dxa" w:w="1199"/>
            <w:vAlign w:val="center"/>
            <w:shd w:fill="F4F6F8"/>
          </w:tcPr>
          <w:p>
            <w:pPr>
              <w:spacing w:after="20" w:before="20" w:line="247" w:lineRule="auto"/>
            </w:pPr>
            <w:r>
              <w:rPr>
                <w:b w:val="0"/>
                <w:i w:val="0"/>
                <w:sz w:val="20"/>
              </w:rPr>
              <w:t>R1</w:t>
            </w:r>
          </w:p>
        </w:tc>
      </w:tr>
      <w:tr>
        <w:trPr>
          <w:cantSplit/>
        </w:trPr>
        <w:tc>
          <w:tcPr>
            <w:tcW w:type="dxa" w:w="2199"/>
            <w:vAlign w:val="center"/>
            <w:shd w:fill="FFFFFF"/>
          </w:tcPr>
          <w:p>
            <w:pPr>
              <w:spacing w:after="20" w:before="20" w:line="247" w:lineRule="auto"/>
            </w:pPr>
            <w:r>
              <w:rPr>
                <w:b w:val="0"/>
                <w:i w:val="0"/>
                <w:sz w:val="20"/>
              </w:rPr>
              <w:t>ODK Central</w:t>
            </w:r>
          </w:p>
        </w:tc>
        <w:tc>
          <w:tcPr>
            <w:tcW w:type="dxa" w:w="2998"/>
            <w:vAlign w:val="center"/>
            <w:shd w:fill="FFFFFF"/>
          </w:tcPr>
          <w:p>
            <w:pPr>
              <w:spacing w:after="20" w:before="20" w:line="247" w:lineRule="auto"/>
            </w:pPr>
            <w:r>
              <w:rPr>
                <w:b w:val="0"/>
                <w:i w:val="0"/>
                <w:sz w:val="20"/>
              </w:rPr>
              <w:t>Qualified project, form, submission and attachment contracts</w:t>
            </w:r>
          </w:p>
        </w:tc>
        <w:tc>
          <w:tcPr>
            <w:tcW w:type="dxa" w:w="3598"/>
            <w:vAlign w:val="center"/>
            <w:shd w:fill="FFFFFF"/>
          </w:tcPr>
          <w:p>
            <w:pPr>
              <w:spacing w:after="20" w:before="20" w:line="247" w:lineRule="auto"/>
            </w:pPr>
            <w:r>
              <w:rPr>
                <w:b w:val="0"/>
                <w:i w:val="0"/>
                <w:sz w:val="20"/>
              </w:rPr>
              <w:t>Preserve published form versions and submission amendments; reviewed delete treatment</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SurveyCTO</w:t>
            </w:r>
          </w:p>
        </w:tc>
        <w:tc>
          <w:tcPr>
            <w:tcW w:type="dxa" w:w="2998"/>
            <w:vAlign w:val="center"/>
            <w:shd w:fill="F4F6F8"/>
          </w:tcPr>
          <w:p>
            <w:pPr>
              <w:spacing w:after="20" w:before="20" w:line="247" w:lineRule="auto"/>
            </w:pPr>
            <w:r>
              <w:rPr>
                <w:b w:val="0"/>
                <w:i w:val="0"/>
                <w:sz w:val="20"/>
              </w:rPr>
              <w:t>Qualified dataset and form identifiers, repeat groups and source revisions</w:t>
            </w:r>
          </w:p>
        </w:tc>
        <w:tc>
          <w:tcPr>
            <w:tcW w:type="dxa" w:w="3598"/>
            <w:vAlign w:val="center"/>
            <w:shd w:fill="F4F6F8"/>
          </w:tcPr>
          <w:p>
            <w:pPr>
              <w:spacing w:after="20" w:before="20" w:line="247" w:lineRule="auto"/>
            </w:pPr>
            <w:r>
              <w:rPr>
                <w:b w:val="0"/>
                <w:i w:val="0"/>
                <w:sz w:val="20"/>
              </w:rPr>
              <w:t>Schema changes pause affected mappings; attachments and deletions qualified explicitly</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Google Sheets and Drive</w:t>
            </w:r>
          </w:p>
        </w:tc>
        <w:tc>
          <w:tcPr>
            <w:tcW w:type="dxa" w:w="2998"/>
            <w:vAlign w:val="center"/>
            <w:shd w:fill="FFFFFF"/>
          </w:tcPr>
          <w:p>
            <w:pPr>
              <w:spacing w:after="20" w:before="20" w:line="247" w:lineRule="auto"/>
            </w:pPr>
            <w:r>
              <w:rPr>
                <w:b w:val="0"/>
                <w:i w:val="0"/>
                <w:sz w:val="20"/>
              </w:rPr>
              <w:t>Approved document or table identity, selected ranges or content, source version</w:t>
            </w:r>
          </w:p>
        </w:tc>
        <w:tc>
          <w:tcPr>
            <w:tcW w:type="dxa" w:w="3598"/>
            <w:vAlign w:val="center"/>
            <w:shd w:fill="FFFFFF"/>
          </w:tcPr>
          <w:p>
            <w:pPr>
              <w:spacing w:after="20" w:before="20" w:line="247" w:lineRule="auto"/>
            </w:pPr>
            <w:r>
              <w:rPr>
                <w:b w:val="0"/>
                <w:i w:val="0"/>
                <w:sz w:val="20"/>
              </w:rPr>
              <w:t>New version or refresh uses reviewed keys; no unrestricted Drive crawl implied</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Finance systems</w:t>
            </w:r>
          </w:p>
        </w:tc>
        <w:tc>
          <w:tcPr>
            <w:tcW w:type="dxa" w:w="2998"/>
            <w:vAlign w:val="center"/>
            <w:shd w:fill="F4F6F8"/>
          </w:tcPr>
          <w:p>
            <w:pPr>
              <w:spacing w:after="20" w:before="20" w:line="247" w:lineRule="auto"/>
            </w:pPr>
            <w:r>
              <w:rPr>
                <w:b w:val="0"/>
                <w:i w:val="0"/>
                <w:sz w:val="20"/>
              </w:rPr>
              <w:t>Stable transaction identity, currency, posting and event dates, category</w:t>
            </w:r>
          </w:p>
        </w:tc>
        <w:tc>
          <w:tcPr>
            <w:tcW w:type="dxa" w:w="3598"/>
            <w:vAlign w:val="center"/>
            <w:shd w:fill="F4F6F8"/>
          </w:tcPr>
          <w:p>
            <w:pPr>
              <w:spacing w:after="20" w:before="20" w:line="247" w:lineRule="auto"/>
            </w:pPr>
            <w:r>
              <w:rPr>
                <w:b w:val="0"/>
                <w:i w:val="0"/>
                <w:sz w:val="20"/>
              </w:rPr>
              <w:t>Revisions, reversals and control totals preserved; no payment execution</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Identity provider</w:t>
            </w:r>
          </w:p>
        </w:tc>
        <w:tc>
          <w:tcPr>
            <w:tcW w:type="dxa" w:w="2998"/>
            <w:vAlign w:val="center"/>
            <w:shd w:fill="FFFFFF"/>
          </w:tcPr>
          <w:p>
            <w:pPr>
              <w:spacing w:after="20" w:before="20" w:line="247" w:lineRule="auto"/>
            </w:pPr>
            <w:r>
              <w:rPr>
                <w:b w:val="0"/>
                <w:i w:val="0"/>
                <w:sz w:val="20"/>
              </w:rPr>
              <w:t>Issuer and stable subject; configured group and field authority</w:t>
            </w:r>
          </w:p>
        </w:tc>
        <w:tc>
          <w:tcPr>
            <w:tcW w:type="dxa" w:w="3598"/>
            <w:vAlign w:val="center"/>
            <w:shd w:fill="FFFFFF"/>
          </w:tcPr>
          <w:p>
            <w:pPr>
              <w:spacing w:after="20" w:before="20" w:line="247" w:lineRule="auto"/>
            </w:pPr>
            <w:r>
              <w:rPr>
                <w:b w:val="0"/>
                <w:i w:val="0"/>
                <w:sz w:val="20"/>
              </w:rPr>
              <w:t>Federation R1; SCIM membership and group lifecycle R2; revocation from platform receipt</w:t>
            </w:r>
          </w:p>
        </w:tc>
        <w:tc>
          <w:tcPr>
            <w:tcW w:type="dxa" w:w="1199"/>
            <w:vAlign w:val="center"/>
            <w:shd w:fill="FFFFFF"/>
          </w:tcPr>
          <w:p>
            <w:pPr>
              <w:spacing w:after="20" w:before="20" w:line="247" w:lineRule="auto"/>
            </w:pPr>
            <w:r>
              <w:rPr>
                <w:b w:val="0"/>
                <w:i w:val="0"/>
                <w:sz w:val="20"/>
              </w:rPr>
              <w:t>R1 and R2</w:t>
            </w:r>
          </w:p>
        </w:tc>
      </w:tr>
      <w:tr>
        <w:trPr>
          <w:cantSplit/>
        </w:trPr>
        <w:tc>
          <w:tcPr>
            <w:tcW w:type="dxa" w:w="2199"/>
            <w:vAlign w:val="center"/>
            <w:shd w:fill="F4F6F8"/>
          </w:tcPr>
          <w:p>
            <w:pPr>
              <w:spacing w:after="20" w:before="20" w:line="247" w:lineRule="auto"/>
            </w:pPr>
            <w:r>
              <w:rPr>
                <w:b w:val="0"/>
                <w:i w:val="0"/>
                <w:sz w:val="20"/>
              </w:rPr>
              <w:t>BI retrieval</w:t>
            </w:r>
          </w:p>
        </w:tc>
        <w:tc>
          <w:tcPr>
            <w:tcW w:type="dxa" w:w="2998"/>
            <w:vAlign w:val="center"/>
            <w:shd w:fill="F4F6F8"/>
          </w:tcPr>
          <w:p>
            <w:pPr>
              <w:spacing w:after="20" w:before="20" w:line="247" w:lineRule="auto"/>
            </w:pPr>
            <w:r>
              <w:rPr>
                <w:b w:val="0"/>
                <w:i w:val="0"/>
                <w:sz w:val="20"/>
              </w:rPr>
              <w:t>Governed datasets, field dictionary and result versions</w:t>
            </w:r>
          </w:p>
        </w:tc>
        <w:tc>
          <w:tcPr>
            <w:tcW w:type="dxa" w:w="3598"/>
            <w:vAlign w:val="center"/>
            <w:shd w:fill="F4F6F8"/>
          </w:tcPr>
          <w:p>
            <w:pPr>
              <w:spacing w:after="20" w:before="20" w:line="247" w:lineRule="auto"/>
            </w:pPr>
            <w:r>
              <w:rPr>
                <w:b w:val="0"/>
                <w:i w:val="0"/>
                <w:sz w:val="20"/>
              </w:rPr>
              <w:t>Current scope at refresh; prior external copies tracked as disclosures</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IATI publication</w:t>
            </w:r>
          </w:p>
        </w:tc>
        <w:tc>
          <w:tcPr>
            <w:tcW w:type="dxa" w:w="2998"/>
            <w:vAlign w:val="center"/>
            <w:shd w:fill="FFFFFF"/>
          </w:tcPr>
          <w:p>
            <w:pPr>
              <w:spacing w:after="20" w:before="20" w:line="247" w:lineRule="auto"/>
            </w:pPr>
            <w:r>
              <w:rPr>
                <w:b w:val="0"/>
                <w:i w:val="0"/>
                <w:sz w:val="20"/>
              </w:rPr>
              <w:t>Qualified schema version and organisation publisher identity</w:t>
            </w:r>
          </w:p>
        </w:tc>
        <w:tc>
          <w:tcPr>
            <w:tcW w:type="dxa" w:w="3598"/>
            <w:vAlign w:val="center"/>
            <w:shd w:fill="FFFFFF"/>
          </w:tcPr>
          <w:p>
            <w:pPr>
              <w:spacing w:after="20" w:before="20" w:line="247" w:lineRule="auto"/>
            </w:pPr>
            <w:r>
              <w:rPr>
                <w:b w:val="0"/>
                <w:i w:val="0"/>
                <w:sz w:val="20"/>
              </w:rPr>
              <w:t>Versioned validation, approval, acknowledgement and controlled correction</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Sector systems such as DHIS2</w:t>
            </w:r>
          </w:p>
        </w:tc>
        <w:tc>
          <w:tcPr>
            <w:tcW w:type="dxa" w:w="2998"/>
            <w:vAlign w:val="center"/>
            <w:shd w:fill="F4F6F8"/>
          </w:tcPr>
          <w:p>
            <w:pPr>
              <w:spacing w:after="20" w:before="20" w:line="247" w:lineRule="auto"/>
            </w:pPr>
            <w:r>
              <w:rPr>
                <w:b w:val="0"/>
                <w:i w:val="0"/>
                <w:sz w:val="20"/>
              </w:rPr>
              <w:t>Separately qualified resource and code mapping</w:t>
            </w:r>
          </w:p>
        </w:tc>
        <w:tc>
          <w:tcPr>
            <w:tcW w:type="dxa" w:w="3598"/>
            <w:vAlign w:val="center"/>
            <w:shd w:fill="F4F6F8"/>
          </w:tcPr>
          <w:p>
            <w:pPr>
              <w:spacing w:after="20" w:before="20" w:line="247" w:lineRule="auto"/>
            </w:pPr>
            <w:r>
              <w:rPr>
                <w:b w:val="0"/>
                <w:i w:val="0"/>
                <w:sz w:val="20"/>
              </w:rPr>
              <w:t>No generic promise of complete support; sector semantics and deletion contracts reviewed</w:t>
            </w:r>
          </w:p>
        </w:tc>
        <w:tc>
          <w:tcPr>
            <w:tcW w:type="dxa" w:w="1199"/>
            <w:vAlign w:val="center"/>
            <w:shd w:fill="F4F6F8"/>
          </w:tcPr>
          <w:p>
            <w:pPr>
              <w:spacing w:after="20" w:before="20" w:line="247" w:lineRule="auto"/>
            </w:pPr>
            <w:r>
              <w:rPr>
                <w:b w:val="0"/>
                <w:i w:val="0"/>
                <w:sz w:val="20"/>
              </w:rPr>
              <w:t>R3</w:t>
            </w:r>
          </w:p>
        </w:tc>
      </w:tr>
    </w:tbl>
    <w:p>
      <w:pPr>
        <w:keepNext w:val="0"/>
        <w:spacing w:after="60" w:line="240" w:lineRule="auto" w:before="0"/>
      </w:pPr>
      <w:r>
        <w:rPr>
          <w:b w:val="0"/>
          <w:i w:val="0"/>
          <w:sz w:val="2"/>
        </w:rPr>
      </w:r>
    </w:p>
    <w:p>
      <w:r>
        <w:rPr>
          <w:b w:val="0"/>
          <w:i w:val="0"/>
        </w:rPr>
        <w:t>Vendor-specific fields, authentication parameters and endpoint versions are confirmed against official contracts during connector design and qualification. This FSD defines required business mapping and outcomes without inventing unverified source schemas.</w:t>
      </w:r>
    </w:p>
    <w:p>
      <w:bookmarkStart w:id="304" w:name="sec_34"/>
      <w:pPr>
        <w:pStyle w:val="Heading1"/>
      </w:pPr>
      <w:r>
        <w:rPr>
          <w:b w:val="0"/>
          <w:i w:val="0"/>
        </w:rPr>
        <w:t>34 External business interface contracts</w:t>
      </w:r>
      <w:bookmarkEnd w:id="304"/>
    </w:p>
    <w:p>
      <w:pPr>
        <w:pStyle w:val="Heading2"/>
      </w:pPr>
      <w:r>
        <w:rPr>
          <w:b w:val="0"/>
          <w:i w:val="0"/>
        </w:rPr>
        <w:t>34 1 Common command envelope</w:t>
      </w:r>
    </w:p>
    <w:p>
      <w:r>
        <w:rPr>
          <w:b w:val="0"/>
          <w:i w:val="0"/>
        </w:rPr>
        <w:t>API resource names below identify logical contracts. HLD and LLD may choose routes and transport details, but must preserve these semantics. A mutation carries tenant context, command name, operation identity, expected revision, typed input and optional reason or candidate reference. Successful response carries operation receipt, object ID, new revision, state and any async job reference. Validation or policy failure returns the shared error contract and no ordinary partial save.</w:t>
      </w:r>
    </w:p>
    <w:p>
      <w:r>
        <w:rPr>
          <w:b w:val="0"/>
          <w:i w:val="0"/>
        </w:rPr>
        <w:t>Pagination returns items, stable continuation token and permitted scope metadata. A token is bound to query, sort, scope and snapshot or declared live traversal semantics; changing filters invalidates it. Total counts are supplied only when they can be computed within scope and limits. Sorting uses a deterministic tie-breaker. A hidden row never changes a publicly visible count or pagination hint in a way that reveals its existence. Bulk operations use a separate bounded contract and per item result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Contract</w:t>
            </w:r>
          </w:p>
        </w:tc>
        <w:tc>
          <w:tcPr>
            <w:tcW w:type="dxa" w:w="4297"/>
            <w:vAlign w:val="center"/>
            <w:shd w:fill="233B53"/>
          </w:tcPr>
          <w:p>
            <w:pPr>
              <w:spacing w:after="20" w:before="20" w:line="247" w:lineRule="auto"/>
            </w:pPr>
            <w:r>
              <w:rPr>
                <w:b/>
                <w:i w:val="0"/>
                <w:color w:val="FFFFFF"/>
                <w:sz w:val="20"/>
              </w:rPr>
              <w:t>Principal commands</w:t>
            </w:r>
          </w:p>
        </w:tc>
        <w:tc>
          <w:tcPr>
            <w:tcW w:type="dxa" w:w="3498"/>
            <w:vAlign w:val="center"/>
            <w:shd w:fill="233B53"/>
          </w:tcPr>
          <w:p>
            <w:pPr>
              <w:spacing w:after="20" w:before="20" w:line="247" w:lineRule="auto"/>
            </w:pPr>
            <w:r>
              <w:rPr>
                <w:b/>
                <w:i w:val="0"/>
                <w:color w:val="FFFFFF"/>
                <w:sz w:val="20"/>
              </w:rPr>
              <w:t>Minimum response and invariant</w:t>
            </w:r>
          </w:p>
        </w:tc>
      </w:tr>
      <w:tr>
        <w:trPr>
          <w:cantSplit/>
        </w:trPr>
        <w:tc>
          <w:tcPr>
            <w:tcW w:type="dxa" w:w="2199"/>
            <w:vAlign w:val="center"/>
            <w:shd w:fill="FFFFFF"/>
          </w:tcPr>
          <w:p>
            <w:pPr>
              <w:spacing w:after="20" w:before="20" w:line="247" w:lineRule="auto"/>
            </w:pPr>
            <w:r>
              <w:rPr>
                <w:b w:val="0"/>
                <w:i w:val="0"/>
                <w:sz w:val="20"/>
              </w:rPr>
              <w:t>IC01 Tenant and configuration</w:t>
            </w:r>
          </w:p>
        </w:tc>
        <w:tc>
          <w:tcPr>
            <w:tcW w:type="dxa" w:w="4297"/>
            <w:vAlign w:val="center"/>
            <w:shd w:fill="FFFFFF"/>
          </w:tcPr>
          <w:p>
            <w:pPr>
              <w:spacing w:after="20" w:before="20" w:line="247" w:lineRule="auto"/>
            </w:pPr>
            <w:r>
              <w:rPr>
                <w:b w:val="0"/>
                <w:i w:val="0"/>
                <w:sz w:val="20"/>
              </w:rPr>
              <w:t>Request, activate, suspend, version settings, close</w:t>
            </w:r>
          </w:p>
        </w:tc>
        <w:tc>
          <w:tcPr>
            <w:tcW w:type="dxa" w:w="3498"/>
            <w:vAlign w:val="center"/>
            <w:shd w:fill="FFFFFF"/>
          </w:tcPr>
          <w:p>
            <w:pPr>
              <w:spacing w:after="20" w:before="20" w:line="247" w:lineRule="auto"/>
            </w:pPr>
            <w:r>
              <w:rPr>
                <w:b w:val="0"/>
                <w:i w:val="0"/>
                <w:sz w:val="20"/>
              </w:rPr>
              <w:t>Lifecycle or configuration revision; owner and policy checks</w:t>
            </w:r>
          </w:p>
        </w:tc>
      </w:tr>
      <w:tr>
        <w:trPr>
          <w:cantSplit/>
        </w:trPr>
        <w:tc>
          <w:tcPr>
            <w:tcW w:type="dxa" w:w="2199"/>
            <w:vAlign w:val="center"/>
            <w:shd w:fill="F4F6F8"/>
          </w:tcPr>
          <w:p>
            <w:pPr>
              <w:spacing w:after="20" w:before="20" w:line="247" w:lineRule="auto"/>
            </w:pPr>
            <w:r>
              <w:rPr>
                <w:b w:val="0"/>
                <w:i w:val="0"/>
                <w:sz w:val="20"/>
              </w:rPr>
              <w:t>IC02 Membership and grants</w:t>
            </w:r>
          </w:p>
        </w:tc>
        <w:tc>
          <w:tcPr>
            <w:tcW w:type="dxa" w:w="4297"/>
            <w:vAlign w:val="center"/>
            <w:shd w:fill="F4F6F8"/>
          </w:tcPr>
          <w:p>
            <w:pPr>
              <w:spacing w:after="20" w:before="20" w:line="247" w:lineRule="auto"/>
            </w:pPr>
            <w:r>
              <w:rPr>
                <w:b w:val="0"/>
                <w:i w:val="0"/>
                <w:sz w:val="20"/>
              </w:rPr>
              <w:t>Invite, accept, suspend, expire, grant, revoke, inspect</w:t>
            </w:r>
          </w:p>
        </w:tc>
        <w:tc>
          <w:tcPr>
            <w:tcW w:type="dxa" w:w="3498"/>
            <w:vAlign w:val="center"/>
            <w:shd w:fill="F4F6F8"/>
          </w:tcPr>
          <w:p>
            <w:pPr>
              <w:spacing w:after="20" w:before="20" w:line="247" w:lineRule="auto"/>
            </w:pPr>
            <w:r>
              <w:rPr>
                <w:b w:val="0"/>
                <w:i w:val="0"/>
                <w:sz w:val="20"/>
              </w:rPr>
              <w:t>Membership state, effective permissions and operation receipt; no self elevation</w:t>
            </w:r>
          </w:p>
        </w:tc>
      </w:tr>
      <w:tr>
        <w:trPr>
          <w:cantSplit/>
        </w:trPr>
        <w:tc>
          <w:tcPr>
            <w:tcW w:type="dxa" w:w="2199"/>
            <w:vAlign w:val="center"/>
            <w:shd w:fill="FFFFFF"/>
          </w:tcPr>
          <w:p>
            <w:pPr>
              <w:spacing w:after="20" w:before="20" w:line="247" w:lineRule="auto"/>
            </w:pPr>
            <w:r>
              <w:rPr>
                <w:b w:val="0"/>
                <w:i w:val="0"/>
                <w:sz w:val="20"/>
              </w:rPr>
              <w:t>IC03 Programmes and frameworks</w:t>
            </w:r>
          </w:p>
        </w:tc>
        <w:tc>
          <w:tcPr>
            <w:tcW w:type="dxa" w:w="4297"/>
            <w:vAlign w:val="center"/>
            <w:shd w:fill="FFFFFF"/>
          </w:tcPr>
          <w:p>
            <w:pPr>
              <w:spacing w:after="20" w:before="20" w:line="247" w:lineRule="auto"/>
            </w:pPr>
            <w:r>
              <w:rPr>
                <w:b w:val="0"/>
                <w:i w:val="0"/>
                <w:sz w:val="20"/>
              </w:rPr>
              <w:t>Create, edit draft, submit baseline, approve, archive</w:t>
            </w:r>
          </w:p>
        </w:tc>
        <w:tc>
          <w:tcPr>
            <w:tcW w:type="dxa" w:w="3498"/>
            <w:vAlign w:val="center"/>
            <w:shd w:fill="FFFFFF"/>
          </w:tcPr>
          <w:p>
            <w:pPr>
              <w:spacing w:after="20" w:before="20" w:line="247" w:lineRule="auto"/>
            </w:pPr>
            <w:r>
              <w:rPr>
                <w:b w:val="0"/>
                <w:i w:val="0"/>
                <w:sz w:val="20"/>
              </w:rPr>
              <w:t>Versioned hierarchy and dependencies; independent approval</w:t>
            </w:r>
          </w:p>
        </w:tc>
      </w:tr>
      <w:tr>
        <w:trPr>
          <w:cantSplit/>
        </w:trPr>
        <w:tc>
          <w:tcPr>
            <w:tcW w:type="dxa" w:w="2199"/>
            <w:vAlign w:val="center"/>
            <w:shd w:fill="F4F6F8"/>
          </w:tcPr>
          <w:p>
            <w:pPr>
              <w:spacing w:after="20" w:before="20" w:line="247" w:lineRule="auto"/>
            </w:pPr>
            <w:r>
              <w:rPr>
                <w:b w:val="0"/>
                <w:i w:val="0"/>
                <w:sz w:val="20"/>
              </w:rPr>
              <w:t>IC04 Indicators and targets</w:t>
            </w:r>
          </w:p>
        </w:tc>
        <w:tc>
          <w:tcPr>
            <w:tcW w:type="dxa" w:w="4297"/>
            <w:vAlign w:val="center"/>
            <w:shd w:fill="F4F6F8"/>
          </w:tcPr>
          <w:p>
            <w:pPr>
              <w:spacing w:after="20" w:before="20" w:line="247" w:lineRule="auto"/>
            </w:pPr>
            <w:r>
              <w:rPr>
                <w:b w:val="0"/>
                <w:i w:val="0"/>
                <w:sz w:val="20"/>
              </w:rPr>
              <w:t>Define, instantiate, amend target, retire</w:t>
            </w:r>
          </w:p>
        </w:tc>
        <w:tc>
          <w:tcPr>
            <w:tcW w:type="dxa" w:w="3498"/>
            <w:vAlign w:val="center"/>
            <w:shd w:fill="F4F6F8"/>
          </w:tcPr>
          <w:p>
            <w:pPr>
              <w:spacing w:after="20" w:before="20" w:line="247" w:lineRule="auto"/>
            </w:pPr>
            <w:r>
              <w:rPr>
                <w:b w:val="0"/>
                <w:i w:val="0"/>
                <w:sz w:val="20"/>
              </w:rPr>
              <w:t>Measurement contract and target version; material changes preserve history</w:t>
            </w:r>
          </w:p>
        </w:tc>
      </w:tr>
      <w:tr>
        <w:trPr>
          <w:cantSplit/>
        </w:trPr>
        <w:tc>
          <w:tcPr>
            <w:tcW w:type="dxa" w:w="2199"/>
            <w:vAlign w:val="center"/>
            <w:shd w:fill="FFFFFF"/>
          </w:tcPr>
          <w:p>
            <w:pPr>
              <w:spacing w:after="20" w:before="20" w:line="247" w:lineRule="auto"/>
            </w:pPr>
            <w:r>
              <w:rPr>
                <w:b w:val="0"/>
                <w:i w:val="0"/>
                <w:sz w:val="20"/>
              </w:rPr>
              <w:t>IC05 Forms and assignments</w:t>
            </w:r>
          </w:p>
        </w:tc>
        <w:tc>
          <w:tcPr>
            <w:tcW w:type="dxa" w:w="4297"/>
            <w:vAlign w:val="center"/>
            <w:shd w:fill="FFFFFF"/>
          </w:tcPr>
          <w:p>
            <w:pPr>
              <w:spacing w:after="20" w:before="20" w:line="247" w:lineRule="auto"/>
            </w:pPr>
            <w:r>
              <w:rPr>
                <w:b w:val="0"/>
                <w:i w:val="0"/>
                <w:sz w:val="20"/>
              </w:rPr>
              <w:t>Draft, test, publish, assign, reassign</w:t>
            </w:r>
          </w:p>
        </w:tc>
        <w:tc>
          <w:tcPr>
            <w:tcW w:type="dxa" w:w="3498"/>
            <w:vAlign w:val="center"/>
            <w:shd w:fill="FFFFFF"/>
          </w:tcPr>
          <w:p>
            <w:pPr>
              <w:spacing w:after="20" w:before="20" w:line="247" w:lineRule="auto"/>
            </w:pPr>
            <w:r>
              <w:rPr>
                <w:b w:val="0"/>
                <w:i w:val="0"/>
                <w:sz w:val="20"/>
              </w:rPr>
              <w:t>Form version, compatibility and task identity</w:t>
            </w:r>
          </w:p>
        </w:tc>
      </w:tr>
      <w:tr>
        <w:trPr>
          <w:cantSplit/>
        </w:trPr>
        <w:tc>
          <w:tcPr>
            <w:tcW w:type="dxa" w:w="2199"/>
            <w:vAlign w:val="center"/>
            <w:shd w:fill="F4F6F8"/>
          </w:tcPr>
          <w:p>
            <w:pPr>
              <w:spacing w:after="20" w:before="20" w:line="247" w:lineRule="auto"/>
            </w:pPr>
            <w:r>
              <w:rPr>
                <w:b w:val="0"/>
                <w:i w:val="0"/>
                <w:sz w:val="20"/>
              </w:rPr>
              <w:t>IC06 Submissions</w:t>
            </w:r>
          </w:p>
        </w:tc>
        <w:tc>
          <w:tcPr>
            <w:tcW w:type="dxa" w:w="4297"/>
            <w:vAlign w:val="center"/>
            <w:shd w:fill="F4F6F8"/>
          </w:tcPr>
          <w:p>
            <w:pPr>
              <w:spacing w:after="20" w:before="20" w:line="247" w:lineRule="auto"/>
            </w:pPr>
            <w:r>
              <w:rPr>
                <w:b w:val="0"/>
                <w:i w:val="0"/>
                <w:sz w:val="20"/>
              </w:rPr>
              <w:t>Save, submit, correct, synchronise, inspect receipt</w:t>
            </w:r>
          </w:p>
        </w:tc>
        <w:tc>
          <w:tcPr>
            <w:tcW w:type="dxa" w:w="3498"/>
            <w:vAlign w:val="center"/>
            <w:shd w:fill="F4F6F8"/>
          </w:tcPr>
          <w:p>
            <w:pPr>
              <w:spacing w:after="20" w:before="20" w:line="247" w:lineRule="auto"/>
            </w:pPr>
            <w:r>
              <w:rPr>
                <w:b w:val="0"/>
                <w:i w:val="0"/>
                <w:sz w:val="20"/>
              </w:rPr>
              <w:t>Exact capture and server states; one intended effect per identity</w:t>
            </w:r>
          </w:p>
        </w:tc>
      </w:tr>
      <w:tr>
        <w:trPr>
          <w:cantSplit/>
        </w:trPr>
        <w:tc>
          <w:tcPr>
            <w:tcW w:type="dxa" w:w="2199"/>
            <w:vAlign w:val="center"/>
            <w:shd w:fill="FFFFFF"/>
          </w:tcPr>
          <w:p>
            <w:pPr>
              <w:spacing w:after="20" w:before="20" w:line="247" w:lineRule="auto"/>
            </w:pPr>
            <w:r>
              <w:rPr>
                <w:b w:val="0"/>
                <w:i w:val="0"/>
                <w:sz w:val="20"/>
              </w:rPr>
              <w:t>IC07 Datasets and imports</w:t>
            </w:r>
          </w:p>
        </w:tc>
        <w:tc>
          <w:tcPr>
            <w:tcW w:type="dxa" w:w="4297"/>
            <w:vAlign w:val="center"/>
            <w:shd w:fill="FFFFFF"/>
          </w:tcPr>
          <w:p>
            <w:pPr>
              <w:spacing w:after="20" w:before="20" w:line="247" w:lineRule="auto"/>
            </w:pPr>
            <w:r>
              <w:rPr>
                <w:b w:val="0"/>
                <w:i w:val="0"/>
                <w:sz w:val="20"/>
              </w:rPr>
              <w:t>Preview, validate, commit, cancel, retry, amend</w:t>
            </w:r>
          </w:p>
        </w:tc>
        <w:tc>
          <w:tcPr>
            <w:tcW w:type="dxa" w:w="3498"/>
            <w:vAlign w:val="center"/>
            <w:shd w:fill="FFFFFF"/>
          </w:tcPr>
          <w:p>
            <w:pPr>
              <w:spacing w:after="20" w:before="20" w:line="247" w:lineRule="auto"/>
            </w:pPr>
            <w:r>
              <w:rPr>
                <w:b w:val="0"/>
                <w:i w:val="0"/>
                <w:sz w:val="20"/>
              </w:rPr>
              <w:t>Source and mapping identities plus row accounting manifest</w:t>
            </w:r>
          </w:p>
        </w:tc>
      </w:tr>
      <w:tr>
        <w:trPr>
          <w:cantSplit/>
        </w:trPr>
        <w:tc>
          <w:tcPr>
            <w:tcW w:type="dxa" w:w="2199"/>
            <w:vAlign w:val="center"/>
            <w:shd w:fill="F4F6F8"/>
          </w:tcPr>
          <w:p>
            <w:pPr>
              <w:spacing w:after="20" w:before="20" w:line="247" w:lineRule="auto"/>
            </w:pPr>
            <w:r>
              <w:rPr>
                <w:b w:val="0"/>
                <w:i w:val="0"/>
                <w:sz w:val="20"/>
              </w:rPr>
              <w:t>IC08 Quality and evidence</w:t>
            </w:r>
          </w:p>
        </w:tc>
        <w:tc>
          <w:tcPr>
            <w:tcW w:type="dxa" w:w="4297"/>
            <w:vAlign w:val="center"/>
            <w:shd w:fill="F4F6F8"/>
          </w:tcPr>
          <w:p>
            <w:pPr>
              <w:spacing w:after="20" w:before="20" w:line="247" w:lineRule="auto"/>
            </w:pPr>
            <w:r>
              <w:rPr>
                <w:b w:val="0"/>
                <w:i w:val="0"/>
                <w:sz w:val="20"/>
              </w:rPr>
              <w:t>Raise, assign, revalidate, except, upload, verify, dispute</w:t>
            </w:r>
          </w:p>
        </w:tc>
        <w:tc>
          <w:tcPr>
            <w:tcW w:type="dxa" w:w="3498"/>
            <w:vAlign w:val="center"/>
            <w:shd w:fill="F4F6F8"/>
          </w:tcPr>
          <w:p>
            <w:pPr>
              <w:spacing w:after="20" w:before="20" w:line="247" w:lineRule="auto"/>
            </w:pPr>
            <w:r>
              <w:rPr>
                <w:b w:val="0"/>
                <w:i w:val="0"/>
                <w:sz w:val="20"/>
              </w:rPr>
              <w:t>Rule and evidence versions; safety and authenticity distinct</w:t>
            </w:r>
          </w:p>
        </w:tc>
      </w:tr>
      <w:tr>
        <w:trPr>
          <w:cantSplit/>
        </w:trPr>
        <w:tc>
          <w:tcPr>
            <w:tcW w:type="dxa" w:w="2199"/>
            <w:vAlign w:val="center"/>
            <w:shd w:fill="FFFFFF"/>
          </w:tcPr>
          <w:p>
            <w:pPr>
              <w:spacing w:after="20" w:before="20" w:line="247" w:lineRule="auto"/>
            </w:pPr>
            <w:r>
              <w:rPr>
                <w:b w:val="0"/>
                <w:i w:val="0"/>
                <w:sz w:val="20"/>
              </w:rPr>
              <w:t>IC09 Approval and period close</w:t>
            </w:r>
          </w:p>
        </w:tc>
        <w:tc>
          <w:tcPr>
            <w:tcW w:type="dxa" w:w="4297"/>
            <w:vAlign w:val="center"/>
            <w:shd w:fill="FFFFFF"/>
          </w:tcPr>
          <w:p>
            <w:pPr>
              <w:spacing w:after="20" w:before="20" w:line="247" w:lineRule="auto"/>
            </w:pPr>
            <w:r>
              <w:rPr>
                <w:b w:val="0"/>
                <w:i w:val="0"/>
                <w:sz w:val="20"/>
              </w:rPr>
              <w:t>Review, return, reject, delegate, lock, restate</w:t>
            </w:r>
          </w:p>
        </w:tc>
        <w:tc>
          <w:tcPr>
            <w:tcW w:type="dxa" w:w="3498"/>
            <w:vAlign w:val="center"/>
            <w:shd w:fill="FFFFFF"/>
          </w:tcPr>
          <w:p>
            <w:pPr>
              <w:spacing w:after="20" w:before="20" w:line="247" w:lineRule="auto"/>
            </w:pPr>
            <w:r>
              <w:rPr>
                <w:b w:val="0"/>
                <w:i w:val="0"/>
                <w:sz w:val="20"/>
              </w:rPr>
              <w:t>Candidate and workflow versions, decision receipt and snapshot</w:t>
            </w:r>
          </w:p>
        </w:tc>
      </w:tr>
      <w:tr>
        <w:trPr>
          <w:cantSplit/>
        </w:trPr>
        <w:tc>
          <w:tcPr>
            <w:tcW w:type="dxa" w:w="2199"/>
            <w:vAlign w:val="center"/>
            <w:shd w:fill="F4F6F8"/>
          </w:tcPr>
          <w:p>
            <w:pPr>
              <w:spacing w:after="20" w:before="20" w:line="247" w:lineRule="auto"/>
            </w:pPr>
            <w:r>
              <w:rPr>
                <w:b w:val="0"/>
                <w:i w:val="0"/>
                <w:sz w:val="20"/>
              </w:rPr>
              <w:t>IC10 Results and analysis</w:t>
            </w:r>
          </w:p>
        </w:tc>
        <w:tc>
          <w:tcPr>
            <w:tcW w:type="dxa" w:w="4297"/>
            <w:vAlign w:val="center"/>
            <w:shd w:fill="F4F6F8"/>
          </w:tcPr>
          <w:p>
            <w:pPr>
              <w:spacing w:after="20" w:before="20" w:line="247" w:lineRule="auto"/>
            </w:pPr>
            <w:r>
              <w:rPr>
                <w:b w:val="0"/>
                <w:i w:val="0"/>
                <w:sz w:val="20"/>
              </w:rPr>
              <w:t>Query, explain, compare, calculate, export</w:t>
            </w:r>
          </w:p>
        </w:tc>
        <w:tc>
          <w:tcPr>
            <w:tcW w:type="dxa" w:w="3498"/>
            <w:vAlign w:val="center"/>
            <w:shd w:fill="F4F6F8"/>
          </w:tcPr>
          <w:p>
            <w:pPr>
              <w:spacing w:after="20" w:before="20" w:line="247" w:lineRule="auto"/>
            </w:pPr>
            <w:r>
              <w:rPr>
                <w:b w:val="0"/>
                <w:i w:val="0"/>
                <w:sz w:val="20"/>
              </w:rPr>
              <w:t>Typed value state, lineage, coverage and permitted scope</w:t>
            </w:r>
          </w:p>
        </w:tc>
      </w:tr>
      <w:tr>
        <w:trPr>
          <w:cantSplit/>
        </w:trPr>
        <w:tc>
          <w:tcPr>
            <w:tcW w:type="dxa" w:w="2199"/>
            <w:vAlign w:val="center"/>
            <w:shd w:fill="FFFFFF"/>
          </w:tcPr>
          <w:p>
            <w:pPr>
              <w:spacing w:after="20" w:before="20" w:line="247" w:lineRule="auto"/>
            </w:pPr>
            <w:r>
              <w:rPr>
                <w:b w:val="0"/>
                <w:i w:val="0"/>
                <w:sz w:val="20"/>
              </w:rPr>
              <w:t>IC11 Reports and disclosure</w:t>
            </w:r>
          </w:p>
        </w:tc>
        <w:tc>
          <w:tcPr>
            <w:tcW w:type="dxa" w:w="4297"/>
            <w:vAlign w:val="center"/>
            <w:shd w:fill="FFFFFF"/>
          </w:tcPr>
          <w:p>
            <w:pPr>
              <w:spacing w:after="20" w:before="20" w:line="247" w:lineRule="auto"/>
            </w:pPr>
            <w:r>
              <w:rPr>
                <w:b w:val="0"/>
                <w:i w:val="0"/>
                <w:sz w:val="20"/>
              </w:rPr>
              <w:t>Draft, reconcile, approve, publish, deliver, withdraw</w:t>
            </w:r>
          </w:p>
        </w:tc>
        <w:tc>
          <w:tcPr>
            <w:tcW w:type="dxa" w:w="3498"/>
            <w:vAlign w:val="center"/>
            <w:shd w:fill="FFFFFF"/>
          </w:tcPr>
          <w:p>
            <w:pPr>
              <w:spacing w:after="20" w:before="20" w:line="247" w:lineRule="auto"/>
            </w:pPr>
            <w:r>
              <w:rPr>
                <w:b w:val="0"/>
                <w:i w:val="0"/>
                <w:sz w:val="20"/>
              </w:rPr>
              <w:t>Snapshot and artifact version, audience and disclosure receipt</w:t>
            </w:r>
          </w:p>
        </w:tc>
      </w:tr>
      <w:tr>
        <w:trPr>
          <w:cantSplit/>
        </w:trPr>
        <w:tc>
          <w:tcPr>
            <w:tcW w:type="dxa" w:w="2199"/>
            <w:vAlign w:val="center"/>
            <w:shd w:fill="F4F6F8"/>
          </w:tcPr>
          <w:p>
            <w:pPr>
              <w:spacing w:after="20" w:before="20" w:line="247" w:lineRule="auto"/>
            </w:pPr>
            <w:r>
              <w:rPr>
                <w:b w:val="0"/>
                <w:i w:val="0"/>
                <w:sz w:val="20"/>
              </w:rPr>
              <w:t>IC12 Participant and handling</w:t>
            </w:r>
          </w:p>
        </w:tc>
        <w:tc>
          <w:tcPr>
            <w:tcW w:type="dxa" w:w="4297"/>
            <w:vAlign w:val="center"/>
            <w:shd w:fill="F4F6F8"/>
          </w:tcPr>
          <w:p>
            <w:pPr>
              <w:spacing w:after="20" w:before="20" w:line="247" w:lineRule="auto"/>
            </w:pPr>
            <w:r>
              <w:rPr>
                <w:b w:val="0"/>
                <w:i w:val="0"/>
                <w:sz w:val="20"/>
              </w:rPr>
              <w:t>Register, record event, correct, restrict, withdraw purpose</w:t>
            </w:r>
          </w:p>
        </w:tc>
        <w:tc>
          <w:tcPr>
            <w:tcW w:type="dxa" w:w="3498"/>
            <w:vAlign w:val="center"/>
            <w:shd w:fill="F4F6F8"/>
          </w:tcPr>
          <w:p>
            <w:pPr>
              <w:spacing w:after="20" w:before="20" w:line="247" w:lineRule="auto"/>
            </w:pPr>
            <w:r>
              <w:rPr>
                <w:b w:val="0"/>
                <w:i w:val="0"/>
                <w:sz w:val="20"/>
              </w:rPr>
              <w:t>Scoped pseudonym, handling status and downstream impact</w:t>
            </w:r>
          </w:p>
        </w:tc>
      </w:tr>
      <w:tr>
        <w:trPr>
          <w:cantSplit/>
        </w:trPr>
        <w:tc>
          <w:tcPr>
            <w:tcW w:type="dxa" w:w="2199"/>
            <w:vAlign w:val="center"/>
            <w:shd w:fill="FFFFFF"/>
          </w:tcPr>
          <w:p>
            <w:pPr>
              <w:spacing w:after="20" w:before="20" w:line="247" w:lineRule="auto"/>
            </w:pPr>
            <w:r>
              <w:rPr>
                <w:b w:val="0"/>
                <w:i w:val="0"/>
                <w:sz w:val="20"/>
              </w:rPr>
              <w:t>IC13 Funding and finance</w:t>
            </w:r>
          </w:p>
        </w:tc>
        <w:tc>
          <w:tcPr>
            <w:tcW w:type="dxa" w:w="4297"/>
            <w:vAlign w:val="center"/>
            <w:shd w:fill="FFFFFF"/>
          </w:tcPr>
          <w:p>
            <w:pPr>
              <w:spacing w:after="20" w:before="20" w:line="247" w:lineRule="auto"/>
            </w:pPr>
            <w:r>
              <w:rPr>
                <w:b w:val="0"/>
                <w:i w:val="0"/>
                <w:sz w:val="20"/>
              </w:rPr>
              <w:t>Record agreement, version budget, import expenditure, convert</w:t>
            </w:r>
          </w:p>
        </w:tc>
        <w:tc>
          <w:tcPr>
            <w:tcW w:type="dxa" w:w="3498"/>
            <w:vAlign w:val="center"/>
            <w:shd w:fill="FFFFFF"/>
          </w:tcPr>
          <w:p>
            <w:pPr>
              <w:spacing w:after="20" w:before="20" w:line="247" w:lineRule="auto"/>
            </w:pPr>
            <w:r>
              <w:rPr>
                <w:b w:val="0"/>
                <w:i w:val="0"/>
                <w:sz w:val="20"/>
              </w:rPr>
              <w:t>Currency and source contracts, reconciliation and independent approvals</w:t>
            </w:r>
          </w:p>
        </w:tc>
      </w:tr>
      <w:tr>
        <w:trPr>
          <w:cantSplit/>
        </w:trPr>
        <w:tc>
          <w:tcPr>
            <w:tcW w:type="dxa" w:w="2199"/>
            <w:vAlign w:val="center"/>
            <w:shd w:fill="F4F6F8"/>
          </w:tcPr>
          <w:p>
            <w:pPr>
              <w:spacing w:after="20" w:before="20" w:line="247" w:lineRule="auto"/>
            </w:pPr>
            <w:r>
              <w:rPr>
                <w:b w:val="0"/>
                <w:i w:val="0"/>
                <w:sz w:val="20"/>
              </w:rPr>
              <w:t>IC14 Integrations</w:t>
            </w:r>
          </w:p>
        </w:tc>
        <w:tc>
          <w:tcPr>
            <w:tcW w:type="dxa" w:w="4297"/>
            <w:vAlign w:val="center"/>
            <w:shd w:fill="F4F6F8"/>
          </w:tcPr>
          <w:p>
            <w:pPr>
              <w:spacing w:after="20" w:before="20" w:line="247" w:lineRule="auto"/>
            </w:pPr>
            <w:r>
              <w:rPr>
                <w:b w:val="0"/>
                <w:i w:val="0"/>
                <w:sz w:val="20"/>
              </w:rPr>
              <w:t>Configure, test, activate, pause, rotate, run, replay</w:t>
            </w:r>
          </w:p>
        </w:tc>
        <w:tc>
          <w:tcPr>
            <w:tcW w:type="dxa" w:w="3498"/>
            <w:vAlign w:val="center"/>
            <w:shd w:fill="F4F6F8"/>
          </w:tcPr>
          <w:p>
            <w:pPr>
              <w:spacing w:after="20" w:before="20" w:line="247" w:lineRule="auto"/>
            </w:pPr>
            <w:r>
              <w:rPr>
                <w:b w:val="0"/>
                <w:i w:val="0"/>
                <w:sz w:val="20"/>
              </w:rPr>
              <w:t>Safe credential reference, checkpoint and item outcomes</w:t>
            </w:r>
          </w:p>
        </w:tc>
      </w:tr>
      <w:tr>
        <w:trPr>
          <w:cantSplit/>
        </w:trPr>
        <w:tc>
          <w:tcPr>
            <w:tcW w:type="dxa" w:w="2199"/>
            <w:vAlign w:val="center"/>
            <w:shd w:fill="FFFFFF"/>
          </w:tcPr>
          <w:p>
            <w:pPr>
              <w:spacing w:after="20" w:before="20" w:line="247" w:lineRule="auto"/>
            </w:pPr>
            <w:r>
              <w:rPr>
                <w:b w:val="0"/>
                <w:i w:val="0"/>
                <w:sz w:val="20"/>
              </w:rPr>
              <w:t>IC15 AI assistance</w:t>
            </w:r>
          </w:p>
        </w:tc>
        <w:tc>
          <w:tcPr>
            <w:tcW w:type="dxa" w:w="4297"/>
            <w:vAlign w:val="center"/>
            <w:shd w:fill="FFFFFF"/>
          </w:tcPr>
          <w:p>
            <w:pPr>
              <w:spacing w:after="20" w:before="20" w:line="247" w:lineRule="auto"/>
            </w:pPr>
            <w:r>
              <w:rPr>
                <w:b w:val="0"/>
                <w:i w:val="0"/>
                <w:sz w:val="20"/>
              </w:rPr>
              <w:t>Request task, inspect proposal, confirm permitted action, cancel</w:t>
            </w:r>
          </w:p>
        </w:tc>
        <w:tc>
          <w:tcPr>
            <w:tcW w:type="dxa" w:w="3498"/>
            <w:vAlign w:val="center"/>
            <w:shd w:fill="FFFFFF"/>
          </w:tcPr>
          <w:p>
            <w:pPr>
              <w:spacing w:after="20" w:before="20" w:line="247" w:lineRule="auto"/>
            </w:pPr>
            <w:r>
              <w:rPr>
                <w:b w:val="0"/>
                <w:i w:val="0"/>
                <w:sz w:val="20"/>
              </w:rPr>
              <w:t>Source references, policy checked draft and ordinary domain receipts</w:t>
            </w:r>
          </w:p>
        </w:tc>
      </w:tr>
      <w:tr>
        <w:trPr>
          <w:cantSplit/>
        </w:trPr>
        <w:tc>
          <w:tcPr>
            <w:tcW w:type="dxa" w:w="2199"/>
            <w:vAlign w:val="center"/>
            <w:shd w:fill="F4F6F8"/>
          </w:tcPr>
          <w:p>
            <w:pPr>
              <w:spacing w:after="20" w:before="20" w:line="247" w:lineRule="auto"/>
            </w:pPr>
            <w:r>
              <w:rPr>
                <w:b w:val="0"/>
                <w:i w:val="0"/>
                <w:sz w:val="20"/>
              </w:rPr>
              <w:t>IC16 Privacy and exit</w:t>
            </w:r>
          </w:p>
        </w:tc>
        <w:tc>
          <w:tcPr>
            <w:tcW w:type="dxa" w:w="4297"/>
            <w:vAlign w:val="center"/>
            <w:shd w:fill="F4F6F8"/>
          </w:tcPr>
          <w:p>
            <w:pPr>
              <w:spacing w:after="20" w:before="20" w:line="247" w:lineRule="auto"/>
            </w:pPr>
            <w:r>
              <w:rPr>
                <w:b w:val="0"/>
                <w:i w:val="0"/>
                <w:sz w:val="20"/>
              </w:rPr>
              <w:t>Open case, verify, restrict, execute deletion, export, close</w:t>
            </w:r>
          </w:p>
        </w:tc>
        <w:tc>
          <w:tcPr>
            <w:tcW w:type="dxa" w:w="3498"/>
            <w:vAlign w:val="center"/>
            <w:shd w:fill="F4F6F8"/>
          </w:tcPr>
          <w:p>
            <w:pPr>
              <w:spacing w:after="20" w:before="20" w:line="247" w:lineRule="auto"/>
            </w:pPr>
            <w:r>
              <w:rPr>
                <w:b w:val="0"/>
                <w:i w:val="0"/>
                <w:sz w:val="20"/>
              </w:rPr>
              <w:t>Scoped outcome manifest with holds and external actions</w:t>
            </w:r>
          </w:p>
        </w:tc>
      </w:tr>
      <w:tr>
        <w:trPr>
          <w:cantSplit/>
        </w:trPr>
        <w:tc>
          <w:tcPr>
            <w:tcW w:type="dxa" w:w="2199"/>
            <w:vAlign w:val="center"/>
            <w:shd w:fill="FFFFFF"/>
          </w:tcPr>
          <w:p>
            <w:pPr>
              <w:spacing w:after="20" w:before="20" w:line="247" w:lineRule="auto"/>
            </w:pPr>
            <w:r>
              <w:rPr>
                <w:b w:val="0"/>
                <w:i w:val="0"/>
                <w:sz w:val="20"/>
              </w:rPr>
              <w:t>IC17 Operations and audit</w:t>
            </w:r>
          </w:p>
        </w:tc>
        <w:tc>
          <w:tcPr>
            <w:tcW w:type="dxa" w:w="4297"/>
            <w:vAlign w:val="center"/>
            <w:shd w:fill="FFFFFF"/>
          </w:tcPr>
          <w:p>
            <w:pPr>
              <w:spacing w:after="20" w:before="20" w:line="247" w:lineRule="auto"/>
            </w:pPr>
            <w:r>
              <w:rPr>
                <w:b w:val="0"/>
                <w:i w:val="0"/>
                <w:sz w:val="20"/>
              </w:rPr>
              <w:t>Query health, request elevation, inspect audit, manage limits</w:t>
            </w:r>
          </w:p>
        </w:tc>
        <w:tc>
          <w:tcPr>
            <w:tcW w:type="dxa" w:w="3498"/>
            <w:vAlign w:val="center"/>
            <w:shd w:fill="FFFFFF"/>
          </w:tcPr>
          <w:p>
            <w:pPr>
              <w:spacing w:after="20" w:before="20" w:line="247" w:lineRule="auto"/>
            </w:pPr>
            <w:r>
              <w:rPr>
                <w:b w:val="0"/>
                <w:i w:val="0"/>
                <w:sz w:val="20"/>
              </w:rPr>
              <w:t>Metadata only by default and attributable controlled actions</w:t>
            </w:r>
          </w:p>
        </w:tc>
      </w:tr>
    </w:tbl>
    <w:p>
      <w:pPr>
        <w:keepNext w:val="0"/>
        <w:spacing w:after="60" w:line="240" w:lineRule="auto" w:before="0"/>
      </w:pPr>
      <w:r>
        <w:rPr>
          <w:b w:val="0"/>
          <w:i w:val="0"/>
          <w:sz w:val="2"/>
        </w:rPr>
      </w:r>
    </w:p>
    <w:p>
      <w:pPr>
        <w:pStyle w:val="Heading2"/>
      </w:pPr>
      <w:r>
        <w:rPr>
          <w:b w:val="0"/>
          <w:i w:val="0"/>
        </w:rPr>
        <w:t>34 2 Event delivery contract</w:t>
      </w:r>
    </w:p>
    <w:p>
      <w:r>
        <w:rPr>
          <w:b w:val="0"/>
          <w:i w:val="0"/>
        </w:rPr>
        <w:t>Outbound events identify event_id, tenant, type, occurrence time, object ID, object revision, event schema version and minimal permitted summary. Integrity authentication and timestamp validation are mandatory in the qualified webhook implementation. Delivery_id and attempt number identify transport attempts separately from the one business event. Consumers must tolerate duplicates and order variation and use resource revisions when applying updates. No event implies that a subscriber has gained access to referenced data.</w:t>
      </w:r>
    </w:p>
    <w:p>
      <w:r>
        <w:rPr>
          <w:b w:val="0"/>
          <w:i w:val="0"/>
        </w:rPr>
        <w:t>Recipients and destinations are rechecked on retry. Invalid destination, revoked scope or expired credentials stops delivery and creates a safe diagnostic. Default retry uses the connector schedule in FR-INT-003, then a failed delivery queue for controlled replay. Replay records a new transport attempt against the original event identity. A consumer outage never rolls back an already valid internal approval.</w:t>
      </w:r>
    </w:p>
    <w:p>
      <w:bookmarkStart w:id="305" w:name="sec_35"/>
      <w:pPr>
        <w:pStyle w:val="Heading1"/>
      </w:pPr>
      <w:r>
        <w:rPr>
          <w:b w:val="0"/>
          <w:i w:val="0"/>
        </w:rPr>
        <w:t>35 Asynchronous work notifications and audit</w:t>
      </w:r>
      <w:bookmarkEnd w:id="305"/>
    </w:p>
    <w:p>
      <w:pPr>
        <w:pStyle w:val="Heading2"/>
      </w:pPr>
      <w:r>
        <w:rPr>
          <w:b w:val="0"/>
          <w:i w:val="0"/>
        </w:rPr>
        <w:t>35 1 Job lifecycle and authority</w:t>
      </w:r>
    </w:p>
    <w:p>
      <w:r>
        <w:rPr>
          <w:b w:val="0"/>
          <w:i w:val="0"/>
        </w:rPr>
        <w:t>Jobs follow Requested, Validating, Queued, Running and then Succeeded, SucceededWithIssues, Failed or Cancelled. Cancelling is an intermediate state until the stop boundary is known. Each job records requester, effective service identity, tenant, input versions, granted scope, start and completion times, progress basis, attempts, cancellation boundary and output manifest. A percentage is displayed only when its denominator is known; otherwise show named stages and completed item counts.</w:t>
      </w:r>
    </w:p>
    <w:p>
      <w:r>
        <w:rPr>
          <w:b w:val="0"/>
          <w:i w:val="0"/>
        </w:rPr>
        <w:t>Before starting and before every sensitive side effect, check current authority, object versions and destination policy. A service job runs under its explicitly granted machine identity and ownership, not a cached human browser session. Reassignment of a job requires a current eligible owner and review of its original scope; it never broadens work silently. Receipts distinguish completed internal processing from external delivery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Job class</w:t>
            </w:r>
          </w:p>
        </w:tc>
        <w:tc>
          <w:tcPr>
            <w:tcW w:type="dxa" w:w="4297"/>
            <w:vAlign w:val="center"/>
            <w:shd w:fill="233B53"/>
          </w:tcPr>
          <w:p>
            <w:pPr>
              <w:spacing w:after="20" w:before="20" w:line="247" w:lineRule="auto"/>
            </w:pPr>
            <w:r>
              <w:rPr>
                <w:b/>
                <w:i w:val="0"/>
                <w:color w:val="FFFFFF"/>
                <w:sz w:val="20"/>
              </w:rPr>
              <w:t>Success condition</w:t>
            </w:r>
          </w:p>
        </w:tc>
        <w:tc>
          <w:tcPr>
            <w:tcW w:type="dxa" w:w="3498"/>
            <w:vAlign w:val="center"/>
            <w:shd w:fill="233B53"/>
          </w:tcPr>
          <w:p>
            <w:pPr>
              <w:spacing w:after="20" w:before="20" w:line="247" w:lineRule="auto"/>
            </w:pPr>
            <w:r>
              <w:rPr>
                <w:b/>
                <w:i w:val="0"/>
                <w:color w:val="FFFFFF"/>
                <w:sz w:val="20"/>
              </w:rPr>
              <w:t>Retry and failure rule</w:t>
            </w:r>
          </w:p>
        </w:tc>
      </w:tr>
      <w:tr>
        <w:trPr>
          <w:cantSplit/>
        </w:trPr>
        <w:tc>
          <w:tcPr>
            <w:tcW w:type="dxa" w:w="2199"/>
            <w:vAlign w:val="center"/>
            <w:shd w:fill="FFFFFF"/>
          </w:tcPr>
          <w:p>
            <w:pPr>
              <w:spacing w:after="20" w:before="20" w:line="247" w:lineRule="auto"/>
            </w:pPr>
            <w:r>
              <w:rPr>
                <w:b w:val="0"/>
                <w:i w:val="0"/>
                <w:sz w:val="20"/>
              </w:rPr>
              <w:t>Import and sync</w:t>
            </w:r>
          </w:p>
        </w:tc>
        <w:tc>
          <w:tcPr>
            <w:tcW w:type="dxa" w:w="4297"/>
            <w:vAlign w:val="center"/>
            <w:shd w:fill="FFFFFF"/>
          </w:tcPr>
          <w:p>
            <w:pPr>
              <w:spacing w:after="20" w:before="20" w:line="247" w:lineRule="auto"/>
            </w:pPr>
            <w:r>
              <w:rPr>
                <w:b w:val="0"/>
                <w:i w:val="0"/>
                <w:sz w:val="20"/>
              </w:rPr>
              <w:t>Every item accounted, durable accepted records and media state known</w:t>
            </w:r>
          </w:p>
        </w:tc>
        <w:tc>
          <w:tcPr>
            <w:tcW w:type="dxa" w:w="3498"/>
            <w:vAlign w:val="center"/>
            <w:shd w:fill="FFFFFF"/>
          </w:tcPr>
          <w:p>
            <w:pPr>
              <w:spacing w:after="20" w:before="20" w:line="247" w:lineRule="auto"/>
            </w:pPr>
            <w:r>
              <w:rPr>
                <w:b w:val="0"/>
                <w:i w:val="0"/>
                <w:sz w:val="20"/>
              </w:rPr>
              <w:t>Retry failed items with stable business identities; preserve partial manifest</w:t>
            </w:r>
          </w:p>
        </w:tc>
      </w:tr>
      <w:tr>
        <w:trPr>
          <w:cantSplit/>
        </w:trPr>
        <w:tc>
          <w:tcPr>
            <w:tcW w:type="dxa" w:w="2199"/>
            <w:vAlign w:val="center"/>
            <w:shd w:fill="F4F6F8"/>
          </w:tcPr>
          <w:p>
            <w:pPr>
              <w:spacing w:after="20" w:before="20" w:line="247" w:lineRule="auto"/>
            </w:pPr>
            <w:r>
              <w:rPr>
                <w:b w:val="0"/>
                <w:i w:val="0"/>
                <w:sz w:val="20"/>
              </w:rPr>
              <w:t>Recalculation</w:t>
            </w:r>
          </w:p>
        </w:tc>
        <w:tc>
          <w:tcPr>
            <w:tcW w:type="dxa" w:w="4297"/>
            <w:vAlign w:val="center"/>
            <w:shd w:fill="F4F6F8"/>
          </w:tcPr>
          <w:p>
            <w:pPr>
              <w:spacing w:after="20" w:before="20" w:line="247" w:lineRule="auto"/>
            </w:pPr>
            <w:r>
              <w:rPr>
                <w:b w:val="0"/>
                <w:i w:val="0"/>
                <w:sz w:val="20"/>
              </w:rPr>
              <w:t>All bounded affected results have new coherent versions</w:t>
            </w:r>
          </w:p>
        </w:tc>
        <w:tc>
          <w:tcPr>
            <w:tcW w:type="dxa" w:w="3498"/>
            <w:vAlign w:val="center"/>
            <w:shd w:fill="F4F6F8"/>
          </w:tcPr>
          <w:p>
            <w:pPr>
              <w:spacing w:after="20" w:before="20" w:line="247" w:lineRule="auto"/>
            </w:pPr>
            <w:r>
              <w:rPr>
                <w:b w:val="0"/>
                <w:i w:val="0"/>
                <w:sz w:val="20"/>
              </w:rPr>
              <w:t>Prior values remain stale until successful replacement; frozen snapshots unchanged</w:t>
            </w:r>
          </w:p>
        </w:tc>
      </w:tr>
      <w:tr>
        <w:trPr>
          <w:cantSplit/>
        </w:trPr>
        <w:tc>
          <w:tcPr>
            <w:tcW w:type="dxa" w:w="2199"/>
            <w:vAlign w:val="center"/>
            <w:shd w:fill="FFFFFF"/>
          </w:tcPr>
          <w:p>
            <w:pPr>
              <w:spacing w:after="20" w:before="20" w:line="247" w:lineRule="auto"/>
            </w:pPr>
            <w:r>
              <w:rPr>
                <w:b w:val="0"/>
                <w:i w:val="0"/>
                <w:sz w:val="20"/>
              </w:rPr>
              <w:t>Export and rendering</w:t>
            </w:r>
          </w:p>
        </w:tc>
        <w:tc>
          <w:tcPr>
            <w:tcW w:type="dxa" w:w="4297"/>
            <w:vAlign w:val="center"/>
            <w:shd w:fill="FFFFFF"/>
          </w:tcPr>
          <w:p>
            <w:pPr>
              <w:spacing w:after="20" w:before="20" w:line="247" w:lineRule="auto"/>
            </w:pPr>
            <w:r>
              <w:rPr>
                <w:b w:val="0"/>
                <w:i w:val="0"/>
                <w:sz w:val="20"/>
              </w:rPr>
              <w:t>Artifact complete, reconciled, safe and permission checked</w:t>
            </w:r>
          </w:p>
        </w:tc>
        <w:tc>
          <w:tcPr>
            <w:tcW w:type="dxa" w:w="3498"/>
            <w:vAlign w:val="center"/>
            <w:shd w:fill="FFFFFF"/>
          </w:tcPr>
          <w:p>
            <w:pPr>
              <w:spacing w:after="20" w:before="20" w:line="247" w:lineRule="auto"/>
            </w:pPr>
            <w:r>
              <w:rPr>
                <w:b w:val="0"/>
                <w:i w:val="0"/>
                <w:sz w:val="20"/>
              </w:rPr>
              <w:t>Failed temporary files unavailable; regeneration preserves snapshot</w:t>
            </w:r>
          </w:p>
        </w:tc>
      </w:tr>
      <w:tr>
        <w:trPr>
          <w:cantSplit/>
        </w:trPr>
        <w:tc>
          <w:tcPr>
            <w:tcW w:type="dxa" w:w="2199"/>
            <w:vAlign w:val="center"/>
            <w:shd w:fill="F4F6F8"/>
          </w:tcPr>
          <w:p>
            <w:pPr>
              <w:spacing w:after="20" w:before="20" w:line="247" w:lineRule="auto"/>
            </w:pPr>
            <w:r>
              <w:rPr>
                <w:b w:val="0"/>
                <w:i w:val="0"/>
                <w:sz w:val="20"/>
              </w:rPr>
              <w:t>Report delivery</w:t>
            </w:r>
          </w:p>
        </w:tc>
        <w:tc>
          <w:tcPr>
            <w:tcW w:type="dxa" w:w="4297"/>
            <w:vAlign w:val="center"/>
            <w:shd w:fill="F4F6F8"/>
          </w:tcPr>
          <w:p>
            <w:pPr>
              <w:spacing w:after="20" w:before="20" w:line="247" w:lineRule="auto"/>
            </w:pPr>
            <w:r>
              <w:rPr>
                <w:b w:val="0"/>
                <w:i w:val="0"/>
                <w:sz w:val="20"/>
              </w:rPr>
              <w:t>Eligible recipient and valid artifact; provider outcome reconciled</w:t>
            </w:r>
          </w:p>
        </w:tc>
        <w:tc>
          <w:tcPr>
            <w:tcW w:type="dxa" w:w="3498"/>
            <w:vAlign w:val="center"/>
            <w:shd w:fill="F4F6F8"/>
          </w:tcPr>
          <w:p>
            <w:pPr>
              <w:spacing w:after="20" w:before="20" w:line="247" w:lineRule="auto"/>
            </w:pPr>
            <w:r>
              <w:rPr>
                <w:b w:val="0"/>
                <w:i w:val="0"/>
                <w:sz w:val="20"/>
              </w:rPr>
              <w:t>Unknown delivery distinct from failure; no new logical notice on retry</w:t>
            </w:r>
          </w:p>
        </w:tc>
      </w:tr>
      <w:tr>
        <w:trPr>
          <w:cantSplit/>
        </w:trPr>
        <w:tc>
          <w:tcPr>
            <w:tcW w:type="dxa" w:w="2199"/>
            <w:vAlign w:val="center"/>
            <w:shd w:fill="FFFFFF"/>
          </w:tcPr>
          <w:p>
            <w:pPr>
              <w:spacing w:after="20" w:before="20" w:line="247" w:lineRule="auto"/>
            </w:pPr>
            <w:r>
              <w:rPr>
                <w:b w:val="0"/>
                <w:i w:val="0"/>
                <w:sz w:val="20"/>
              </w:rPr>
              <w:t>AI extraction or drafting</w:t>
            </w:r>
          </w:p>
        </w:tc>
        <w:tc>
          <w:tcPr>
            <w:tcW w:type="dxa" w:w="4297"/>
            <w:vAlign w:val="center"/>
            <w:shd w:fill="FFFFFF"/>
          </w:tcPr>
          <w:p>
            <w:pPr>
              <w:spacing w:after="20" w:before="20" w:line="247" w:lineRule="auto"/>
            </w:pPr>
            <w:r>
              <w:rPr>
                <w:b w:val="0"/>
                <w:i w:val="0"/>
                <w:sz w:val="20"/>
              </w:rPr>
              <w:t>Complete labelled draft or explicit partial outcome</w:t>
            </w:r>
          </w:p>
        </w:tc>
        <w:tc>
          <w:tcPr>
            <w:tcW w:type="dxa" w:w="3498"/>
            <w:vAlign w:val="center"/>
            <w:shd w:fill="FFFFFF"/>
          </w:tcPr>
          <w:p>
            <w:pPr>
              <w:spacing w:after="20" w:before="20" w:line="247" w:lineRule="auto"/>
            </w:pPr>
            <w:r>
              <w:rPr>
                <w:b w:val="0"/>
                <w:i w:val="0"/>
                <w:sz w:val="20"/>
              </w:rPr>
              <w:t>No domain write without separate confirmed proposal; no unapproved fallback</w:t>
            </w:r>
          </w:p>
        </w:tc>
      </w:tr>
      <w:tr>
        <w:trPr>
          <w:cantSplit/>
        </w:trPr>
        <w:tc>
          <w:tcPr>
            <w:tcW w:type="dxa" w:w="2199"/>
            <w:vAlign w:val="center"/>
            <w:shd w:fill="F4F6F8"/>
          </w:tcPr>
          <w:p>
            <w:pPr>
              <w:spacing w:after="20" w:before="20" w:line="247" w:lineRule="auto"/>
            </w:pPr>
            <w:r>
              <w:rPr>
                <w:b w:val="0"/>
                <w:i w:val="0"/>
                <w:sz w:val="20"/>
              </w:rPr>
              <w:t>Privacy deletion</w:t>
            </w:r>
          </w:p>
        </w:tc>
        <w:tc>
          <w:tcPr>
            <w:tcW w:type="dxa" w:w="4297"/>
            <w:vAlign w:val="center"/>
            <w:shd w:fill="F4F6F8"/>
          </w:tcPr>
          <w:p>
            <w:pPr>
              <w:spacing w:after="20" w:before="20" w:line="247" w:lineRule="auto"/>
            </w:pPr>
            <w:r>
              <w:rPr>
                <w:b w:val="0"/>
                <w:i w:val="0"/>
                <w:sz w:val="20"/>
              </w:rPr>
              <w:t>Every in-scope active store removed or effectively restricted; holds separately recorded</w:t>
            </w:r>
          </w:p>
        </w:tc>
        <w:tc>
          <w:tcPr>
            <w:tcW w:type="dxa" w:w="3498"/>
            <w:vAlign w:val="center"/>
            <w:shd w:fill="F4F6F8"/>
          </w:tcPr>
          <w:p>
            <w:pPr>
              <w:spacing w:after="20" w:before="20" w:line="247" w:lineRule="auto"/>
            </w:pPr>
            <w:r>
              <w:rPr>
                <w:b w:val="0"/>
                <w:i w:val="0"/>
                <w:sz w:val="20"/>
              </w:rPr>
              <w:t>Retry failures; never report full completion when accessible copies remain</w:t>
            </w:r>
          </w:p>
        </w:tc>
      </w:tr>
      <w:tr>
        <w:trPr>
          <w:cantSplit/>
        </w:trPr>
        <w:tc>
          <w:tcPr>
            <w:tcW w:type="dxa" w:w="2199"/>
            <w:vAlign w:val="center"/>
            <w:shd w:fill="FFFFFF"/>
          </w:tcPr>
          <w:p>
            <w:pPr>
              <w:spacing w:after="20" w:before="20" w:line="247" w:lineRule="auto"/>
            </w:pPr>
            <w:r>
              <w:rPr>
                <w:b w:val="0"/>
                <w:i w:val="0"/>
                <w:sz w:val="20"/>
              </w:rPr>
              <w:t>Backup restore</w:t>
            </w:r>
          </w:p>
        </w:tc>
        <w:tc>
          <w:tcPr>
            <w:tcW w:type="dxa" w:w="4297"/>
            <w:vAlign w:val="center"/>
            <w:shd w:fill="FFFFFF"/>
          </w:tcPr>
          <w:p>
            <w:pPr>
              <w:spacing w:after="20" w:before="20" w:line="247" w:lineRule="auto"/>
            </w:pPr>
            <w:r>
              <w:rPr>
                <w:b w:val="0"/>
                <w:i w:val="0"/>
                <w:sz w:val="20"/>
              </w:rPr>
              <w:t>Consistent data and files, current restrictions reapplied, reconciliation passed</w:t>
            </w:r>
          </w:p>
        </w:tc>
        <w:tc>
          <w:tcPr>
            <w:tcW w:type="dxa" w:w="3498"/>
            <w:vAlign w:val="center"/>
            <w:shd w:fill="FFFFFF"/>
          </w:tcPr>
          <w:p>
            <w:pPr>
              <w:spacing w:after="20" w:before="20" w:line="247" w:lineRule="auto"/>
            </w:pPr>
            <w:r>
              <w:rPr>
                <w:b w:val="0"/>
                <w:i w:val="0"/>
                <w:sz w:val="20"/>
              </w:rPr>
              <w:t>Access remains closed until verification; no prohibited region fallback</w:t>
            </w:r>
          </w:p>
        </w:tc>
      </w:tr>
      <w:tr>
        <w:trPr>
          <w:cantSplit/>
        </w:trPr>
        <w:tc>
          <w:tcPr>
            <w:tcW w:type="dxa" w:w="2199"/>
            <w:vAlign w:val="center"/>
            <w:shd w:fill="F4F6F8"/>
          </w:tcPr>
          <w:p>
            <w:pPr>
              <w:spacing w:after="20" w:before="20" w:line="247" w:lineRule="auto"/>
            </w:pPr>
            <w:r>
              <w:rPr>
                <w:b w:val="0"/>
                <w:i w:val="0"/>
                <w:sz w:val="20"/>
              </w:rPr>
              <w:t>Tenant export</w:t>
            </w:r>
          </w:p>
        </w:tc>
        <w:tc>
          <w:tcPr>
            <w:tcW w:type="dxa" w:w="4297"/>
            <w:vAlign w:val="center"/>
            <w:shd w:fill="F4F6F8"/>
          </w:tcPr>
          <w:p>
            <w:pPr>
              <w:spacing w:after="20" w:before="20" w:line="247" w:lineRule="auto"/>
            </w:pPr>
            <w:r>
              <w:rPr>
                <w:b w:val="0"/>
                <w:i w:val="0"/>
                <w:sz w:val="20"/>
              </w:rPr>
              <w:t>Manifest, files and relations complete within permitted scope</w:t>
            </w:r>
          </w:p>
        </w:tc>
        <w:tc>
          <w:tcPr>
            <w:tcW w:type="dxa" w:w="3498"/>
            <w:vAlign w:val="center"/>
            <w:shd w:fill="F4F6F8"/>
          </w:tcPr>
          <w:p>
            <w:pPr>
              <w:spacing w:after="20" w:before="20" w:line="247" w:lineRule="auto"/>
            </w:pPr>
            <w:r>
              <w:rPr>
                <w:b w:val="0"/>
                <w:i w:val="0"/>
                <w:sz w:val="20"/>
              </w:rPr>
              <w:t>Progress and estimate for large tenant; resumable package creation</w:t>
            </w:r>
          </w:p>
        </w:tc>
      </w:tr>
    </w:tbl>
    <w:p>
      <w:pPr>
        <w:keepNext w:val="0"/>
        <w:spacing w:after="60" w:line="240" w:lineRule="auto" w:before="0"/>
      </w:pPr>
      <w:r>
        <w:rPr>
          <w:b w:val="0"/>
          <w:i w:val="0"/>
          <w:sz w:val="2"/>
        </w:rPr>
      </w:r>
    </w:p>
    <w:p>
      <w:pPr>
        <w:pStyle w:val="Heading2"/>
      </w:pPr>
      <w:r>
        <w:rPr>
          <w:b w:val="0"/>
          <w:i w:val="0"/>
        </w:rPr>
        <w:t>35 2 Notification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Event group</w:t>
            </w:r>
          </w:p>
        </w:tc>
        <w:tc>
          <w:tcPr>
            <w:tcW w:type="dxa" w:w="4297"/>
            <w:vAlign w:val="center"/>
            <w:shd w:fill="233B53"/>
          </w:tcPr>
          <w:p>
            <w:pPr>
              <w:spacing w:after="20" w:before="20" w:line="247" w:lineRule="auto"/>
            </w:pPr>
            <w:r>
              <w:rPr>
                <w:b/>
                <w:i w:val="0"/>
                <w:color w:val="FFFFFF"/>
                <w:sz w:val="20"/>
              </w:rPr>
              <w:t>Recipients</w:t>
            </w:r>
          </w:p>
        </w:tc>
        <w:tc>
          <w:tcPr>
            <w:tcW w:type="dxa" w:w="3498"/>
            <w:vAlign w:val="center"/>
            <w:shd w:fill="233B53"/>
          </w:tcPr>
          <w:p>
            <w:pPr>
              <w:spacing w:after="20" w:before="20" w:line="247" w:lineRule="auto"/>
            </w:pPr>
            <w:r>
              <w:rPr>
                <w:b/>
                <w:i w:val="0"/>
                <w:color w:val="FFFFFF"/>
                <w:sz w:val="20"/>
              </w:rPr>
              <w:t>Content and delivery policy</w:t>
            </w:r>
          </w:p>
        </w:tc>
      </w:tr>
      <w:tr>
        <w:trPr>
          <w:cantSplit/>
        </w:trPr>
        <w:tc>
          <w:tcPr>
            <w:tcW w:type="dxa" w:w="2199"/>
            <w:vAlign w:val="center"/>
            <w:shd w:fill="FFFFFF"/>
          </w:tcPr>
          <w:p>
            <w:pPr>
              <w:spacing w:after="20" w:before="20" w:line="247" w:lineRule="auto"/>
            </w:pPr>
            <w:r>
              <w:rPr>
                <w:b w:val="0"/>
                <w:i w:val="0"/>
                <w:sz w:val="20"/>
              </w:rPr>
              <w:t>Invitation and identity change</w:t>
            </w:r>
          </w:p>
        </w:tc>
        <w:tc>
          <w:tcPr>
            <w:tcW w:type="dxa" w:w="4297"/>
            <w:vAlign w:val="center"/>
            <w:shd w:fill="FFFFFF"/>
          </w:tcPr>
          <w:p>
            <w:pPr>
              <w:spacing w:after="20" w:before="20" w:line="247" w:lineRule="auto"/>
            </w:pPr>
            <w:r>
              <w:rPr>
                <w:b w:val="0"/>
                <w:i w:val="0"/>
                <w:sz w:val="20"/>
              </w:rPr>
              <w:t>Intended verified identity; security contacts as permitted</w:t>
            </w:r>
          </w:p>
        </w:tc>
        <w:tc>
          <w:tcPr>
            <w:tcW w:type="dxa" w:w="3498"/>
            <w:vAlign w:val="center"/>
            <w:shd w:fill="FFFFFF"/>
          </w:tcPr>
          <w:p>
            <w:pPr>
              <w:spacing w:after="20" w:before="20" w:line="247" w:lineRule="auto"/>
            </w:pPr>
            <w:r>
              <w:rPr>
                <w:b w:val="0"/>
                <w:i w:val="0"/>
                <w:sz w:val="20"/>
              </w:rPr>
              <w:t>Single use invitation or minimal security notice; no role secrets in preview</w:t>
            </w:r>
          </w:p>
        </w:tc>
      </w:tr>
      <w:tr>
        <w:trPr>
          <w:cantSplit/>
        </w:trPr>
        <w:tc>
          <w:tcPr>
            <w:tcW w:type="dxa" w:w="2199"/>
            <w:vAlign w:val="center"/>
            <w:shd w:fill="F4F6F8"/>
          </w:tcPr>
          <w:p>
            <w:pPr>
              <w:spacing w:after="20" w:before="20" w:line="247" w:lineRule="auto"/>
            </w:pPr>
            <w:r>
              <w:rPr>
                <w:b w:val="0"/>
                <w:i w:val="0"/>
                <w:sz w:val="20"/>
              </w:rPr>
              <w:t>Assignment and due work</w:t>
            </w:r>
          </w:p>
        </w:tc>
        <w:tc>
          <w:tcPr>
            <w:tcW w:type="dxa" w:w="4297"/>
            <w:vAlign w:val="center"/>
            <w:shd w:fill="F4F6F8"/>
          </w:tcPr>
          <w:p>
            <w:pPr>
              <w:spacing w:after="20" w:before="20" w:line="247" w:lineRule="auto"/>
            </w:pPr>
            <w:r>
              <w:rPr>
                <w:b w:val="0"/>
                <w:i w:val="0"/>
                <w:sz w:val="20"/>
              </w:rPr>
              <w:t>Current assignee and eligible manager</w:t>
            </w:r>
          </w:p>
        </w:tc>
        <w:tc>
          <w:tcPr>
            <w:tcW w:type="dxa" w:w="3498"/>
            <w:vAlign w:val="center"/>
            <w:shd w:fill="F4F6F8"/>
          </w:tcPr>
          <w:p>
            <w:pPr>
              <w:spacing w:after="20" w:before="20" w:line="247" w:lineRule="auto"/>
            </w:pPr>
            <w:r>
              <w:rPr>
                <w:b w:val="0"/>
                <w:i w:val="0"/>
                <w:sz w:val="20"/>
              </w:rPr>
              <w:t>Object reference, safe task label and deadline; FD12 schedule</w:t>
            </w:r>
          </w:p>
        </w:tc>
      </w:tr>
      <w:tr>
        <w:trPr>
          <w:cantSplit/>
        </w:trPr>
        <w:tc>
          <w:tcPr>
            <w:tcW w:type="dxa" w:w="2199"/>
            <w:vAlign w:val="center"/>
            <w:shd w:fill="FFFFFF"/>
          </w:tcPr>
          <w:p>
            <w:pPr>
              <w:spacing w:after="20" w:before="20" w:line="247" w:lineRule="auto"/>
            </w:pPr>
            <w:r>
              <w:rPr>
                <w:b w:val="0"/>
                <w:i w:val="0"/>
                <w:sz w:val="20"/>
              </w:rPr>
              <w:t>Return or rejection</w:t>
            </w:r>
          </w:p>
        </w:tc>
        <w:tc>
          <w:tcPr>
            <w:tcW w:type="dxa" w:w="4297"/>
            <w:vAlign w:val="center"/>
            <w:shd w:fill="FFFFFF"/>
          </w:tcPr>
          <w:p>
            <w:pPr>
              <w:spacing w:after="20" w:before="20" w:line="247" w:lineRule="auto"/>
            </w:pPr>
            <w:r>
              <w:rPr>
                <w:b w:val="0"/>
                <w:i w:val="0"/>
                <w:sz w:val="20"/>
              </w:rPr>
              <w:t>Current author or delegated owner</w:t>
            </w:r>
          </w:p>
        </w:tc>
        <w:tc>
          <w:tcPr>
            <w:tcW w:type="dxa" w:w="3498"/>
            <w:vAlign w:val="center"/>
            <w:shd w:fill="FFFFFF"/>
          </w:tcPr>
          <w:p>
            <w:pPr>
              <w:spacing w:after="20" w:before="20" w:line="247" w:lineRule="auto"/>
            </w:pPr>
            <w:r>
              <w:rPr>
                <w:b w:val="0"/>
                <w:i w:val="0"/>
                <w:sz w:val="20"/>
              </w:rPr>
              <w:t>Actionable permitted reason; restricted evidence remains behind authentication</w:t>
            </w:r>
          </w:p>
        </w:tc>
      </w:tr>
      <w:tr>
        <w:trPr>
          <w:cantSplit/>
        </w:trPr>
        <w:tc>
          <w:tcPr>
            <w:tcW w:type="dxa" w:w="2199"/>
            <w:vAlign w:val="center"/>
            <w:shd w:fill="F4F6F8"/>
          </w:tcPr>
          <w:p>
            <w:pPr>
              <w:spacing w:after="20" w:before="20" w:line="247" w:lineRule="auto"/>
            </w:pPr>
            <w:r>
              <w:rPr>
                <w:b w:val="0"/>
                <w:i w:val="0"/>
                <w:sz w:val="20"/>
              </w:rPr>
              <w:t>Approval and period lock</w:t>
            </w:r>
          </w:p>
        </w:tc>
        <w:tc>
          <w:tcPr>
            <w:tcW w:type="dxa" w:w="4297"/>
            <w:vAlign w:val="center"/>
            <w:shd w:fill="F4F6F8"/>
          </w:tcPr>
          <w:p>
            <w:pPr>
              <w:spacing w:after="20" w:before="20" w:line="247" w:lineRule="auto"/>
            </w:pPr>
            <w:r>
              <w:rPr>
                <w:b w:val="0"/>
                <w:i w:val="0"/>
                <w:sz w:val="20"/>
              </w:rPr>
              <w:t>Owners and subscribed eligible users</w:t>
            </w:r>
          </w:p>
        </w:tc>
        <w:tc>
          <w:tcPr>
            <w:tcW w:type="dxa" w:w="3498"/>
            <w:vAlign w:val="center"/>
            <w:shd w:fill="F4F6F8"/>
          </w:tcPr>
          <w:p>
            <w:pPr>
              <w:spacing w:after="20" w:before="20" w:line="247" w:lineRule="auto"/>
            </w:pPr>
            <w:r>
              <w:rPr>
                <w:b w:val="0"/>
                <w:i w:val="0"/>
                <w:sz w:val="20"/>
              </w:rPr>
              <w:t>Exact version and decision status; not a claim of external publication</w:t>
            </w:r>
          </w:p>
        </w:tc>
      </w:tr>
      <w:tr>
        <w:trPr>
          <w:cantSplit/>
        </w:trPr>
        <w:tc>
          <w:tcPr>
            <w:tcW w:type="dxa" w:w="2199"/>
            <w:vAlign w:val="center"/>
            <w:shd w:fill="FFFFFF"/>
          </w:tcPr>
          <w:p>
            <w:pPr>
              <w:spacing w:after="20" w:before="20" w:line="247" w:lineRule="auto"/>
            </w:pPr>
            <w:r>
              <w:rPr>
                <w:b w:val="0"/>
                <w:i w:val="0"/>
                <w:sz w:val="20"/>
              </w:rPr>
              <w:t>Quality and freshness issue</w:t>
            </w:r>
          </w:p>
        </w:tc>
        <w:tc>
          <w:tcPr>
            <w:tcW w:type="dxa" w:w="4297"/>
            <w:vAlign w:val="center"/>
            <w:shd w:fill="FFFFFF"/>
          </w:tcPr>
          <w:p>
            <w:pPr>
              <w:spacing w:after="20" w:before="20" w:line="247" w:lineRule="auto"/>
            </w:pPr>
            <w:r>
              <w:rPr>
                <w:b w:val="0"/>
                <w:i w:val="0"/>
                <w:sz w:val="20"/>
              </w:rPr>
              <w:t>Source owner and affected authorised reporting owners</w:t>
            </w:r>
          </w:p>
        </w:tc>
        <w:tc>
          <w:tcPr>
            <w:tcW w:type="dxa" w:w="3498"/>
            <w:vAlign w:val="center"/>
            <w:shd w:fill="FFFFFF"/>
          </w:tcPr>
          <w:p>
            <w:pPr>
              <w:spacing w:after="20" w:before="20" w:line="247" w:lineRule="auto"/>
            </w:pPr>
            <w:r>
              <w:rPr>
                <w:b w:val="0"/>
                <w:i w:val="0"/>
                <w:sz w:val="20"/>
              </w:rPr>
              <w:t>Severity and affected scope; no raw participant payload</w:t>
            </w:r>
          </w:p>
        </w:tc>
      </w:tr>
      <w:tr>
        <w:trPr>
          <w:cantSplit/>
        </w:trPr>
        <w:tc>
          <w:tcPr>
            <w:tcW w:type="dxa" w:w="2199"/>
            <w:vAlign w:val="center"/>
            <w:shd w:fill="F4F6F8"/>
          </w:tcPr>
          <w:p>
            <w:pPr>
              <w:spacing w:after="20" w:before="20" w:line="247" w:lineRule="auto"/>
            </w:pPr>
            <w:r>
              <w:rPr>
                <w:b w:val="0"/>
                <w:i w:val="0"/>
                <w:sz w:val="20"/>
              </w:rPr>
              <w:t>Export ready</w:t>
            </w:r>
          </w:p>
        </w:tc>
        <w:tc>
          <w:tcPr>
            <w:tcW w:type="dxa" w:w="4297"/>
            <w:vAlign w:val="center"/>
            <w:shd w:fill="F4F6F8"/>
          </w:tcPr>
          <w:p>
            <w:pPr>
              <w:spacing w:after="20" w:before="20" w:line="247" w:lineRule="auto"/>
            </w:pPr>
            <w:r>
              <w:rPr>
                <w:b w:val="0"/>
                <w:i w:val="0"/>
                <w:sz w:val="20"/>
              </w:rPr>
              <w:t>Current authorised requester</w:t>
            </w:r>
          </w:p>
        </w:tc>
        <w:tc>
          <w:tcPr>
            <w:tcW w:type="dxa" w:w="3498"/>
            <w:vAlign w:val="center"/>
            <w:shd w:fill="F4F6F8"/>
          </w:tcPr>
          <w:p>
            <w:pPr>
              <w:spacing w:after="20" w:before="20" w:line="247" w:lineRule="auto"/>
            </w:pPr>
            <w:r>
              <w:rPr>
                <w:b w:val="0"/>
                <w:i w:val="0"/>
                <w:sz w:val="20"/>
              </w:rPr>
              <w:t>Authenticated access reference with expiry; no sensitive attachment</w:t>
            </w:r>
          </w:p>
        </w:tc>
      </w:tr>
      <w:tr>
        <w:trPr>
          <w:cantSplit/>
        </w:trPr>
        <w:tc>
          <w:tcPr>
            <w:tcW w:type="dxa" w:w="2199"/>
            <w:vAlign w:val="center"/>
            <w:shd w:fill="FFFFFF"/>
          </w:tcPr>
          <w:p>
            <w:pPr>
              <w:spacing w:after="20" w:before="20" w:line="247" w:lineRule="auto"/>
            </w:pPr>
            <w:r>
              <w:rPr>
                <w:b w:val="0"/>
                <w:i w:val="0"/>
                <w:sz w:val="20"/>
              </w:rPr>
              <w:t>Report published or superseded</w:t>
            </w:r>
          </w:p>
        </w:tc>
        <w:tc>
          <w:tcPr>
            <w:tcW w:type="dxa" w:w="4297"/>
            <w:vAlign w:val="center"/>
            <w:shd w:fill="FFFFFF"/>
          </w:tcPr>
          <w:p>
            <w:pPr>
              <w:spacing w:after="20" w:before="20" w:line="247" w:lineRule="auto"/>
            </w:pPr>
            <w:r>
              <w:rPr>
                <w:b w:val="0"/>
                <w:i w:val="0"/>
                <w:sz w:val="20"/>
              </w:rPr>
              <w:t>Current approved audience</w:t>
            </w:r>
          </w:p>
        </w:tc>
        <w:tc>
          <w:tcPr>
            <w:tcW w:type="dxa" w:w="3498"/>
            <w:vAlign w:val="center"/>
            <w:shd w:fill="FFFFFF"/>
          </w:tcPr>
          <w:p>
            <w:pPr>
              <w:spacing w:after="20" w:before="20" w:line="247" w:lineRule="auto"/>
            </w:pPr>
            <w:r>
              <w:rPr>
                <w:b w:val="0"/>
                <w:i w:val="0"/>
                <w:sz w:val="20"/>
              </w:rPr>
              <w:t>Version and safe notice; obsolete copies identified accurately</w:t>
            </w:r>
          </w:p>
        </w:tc>
      </w:tr>
      <w:tr>
        <w:trPr>
          <w:cantSplit/>
        </w:trPr>
        <w:tc>
          <w:tcPr>
            <w:tcW w:type="dxa" w:w="2199"/>
            <w:vAlign w:val="center"/>
            <w:shd w:fill="F4F6F8"/>
          </w:tcPr>
          <w:p>
            <w:pPr>
              <w:spacing w:after="20" w:before="20" w:line="247" w:lineRule="auto"/>
            </w:pPr>
            <w:r>
              <w:rPr>
                <w:b w:val="0"/>
                <w:i w:val="0"/>
                <w:sz w:val="20"/>
              </w:rPr>
              <w:t>Access revocation and owner departure</w:t>
            </w:r>
          </w:p>
        </w:tc>
        <w:tc>
          <w:tcPr>
            <w:tcW w:type="dxa" w:w="4297"/>
            <w:vAlign w:val="center"/>
            <w:shd w:fill="F4F6F8"/>
          </w:tcPr>
          <w:p>
            <w:pPr>
              <w:spacing w:after="20" w:before="20" w:line="247" w:lineRule="auto"/>
            </w:pPr>
            <w:r>
              <w:rPr>
                <w:b w:val="0"/>
                <w:i w:val="0"/>
                <w:sz w:val="20"/>
              </w:rPr>
              <w:t>Relevant admins and affected owner where appropriate</w:t>
            </w:r>
          </w:p>
        </w:tc>
        <w:tc>
          <w:tcPr>
            <w:tcW w:type="dxa" w:w="3498"/>
            <w:vAlign w:val="center"/>
            <w:shd w:fill="F4F6F8"/>
          </w:tcPr>
          <w:p>
            <w:pPr>
              <w:spacing w:after="20" w:before="20" w:line="247" w:lineRule="auto"/>
            </w:pPr>
            <w:r>
              <w:rPr>
                <w:b w:val="0"/>
                <w:i w:val="0"/>
                <w:sz w:val="20"/>
              </w:rPr>
              <w:t>Revoked scope and reassignment tasks without hidden content</w:t>
            </w:r>
          </w:p>
        </w:tc>
      </w:tr>
      <w:tr>
        <w:trPr>
          <w:cantSplit/>
        </w:trPr>
        <w:tc>
          <w:tcPr>
            <w:tcW w:type="dxa" w:w="2199"/>
            <w:vAlign w:val="center"/>
            <w:shd w:fill="FFFFFF"/>
          </w:tcPr>
          <w:p>
            <w:pPr>
              <w:spacing w:after="20" w:before="20" w:line="247" w:lineRule="auto"/>
            </w:pPr>
            <w:r>
              <w:rPr>
                <w:b w:val="0"/>
                <w:i w:val="0"/>
                <w:sz w:val="20"/>
              </w:rPr>
              <w:t>Privacy case or safeguarding</w:t>
            </w:r>
          </w:p>
        </w:tc>
        <w:tc>
          <w:tcPr>
            <w:tcW w:type="dxa" w:w="4297"/>
            <w:vAlign w:val="center"/>
            <w:shd w:fill="FFFFFF"/>
          </w:tcPr>
          <w:p>
            <w:pPr>
              <w:spacing w:after="20" w:before="20" w:line="247" w:lineRule="auto"/>
            </w:pPr>
            <w:r>
              <w:rPr>
                <w:b w:val="0"/>
                <w:i w:val="0"/>
                <w:sz w:val="20"/>
              </w:rPr>
              <w:t>Designated restricted handler</w:t>
            </w:r>
          </w:p>
        </w:tc>
        <w:tc>
          <w:tcPr>
            <w:tcW w:type="dxa" w:w="3498"/>
            <w:vAlign w:val="center"/>
            <w:shd w:fill="FFFFFF"/>
          </w:tcPr>
          <w:p>
            <w:pPr>
              <w:spacing w:after="20" w:before="20" w:line="247" w:lineRule="auto"/>
            </w:pPr>
            <w:r>
              <w:rPr>
                <w:b w:val="0"/>
                <w:i w:val="0"/>
                <w:sz w:val="20"/>
              </w:rPr>
              <w:t>Minimal case reference only; no narrative in general email</w:t>
            </w:r>
          </w:p>
        </w:tc>
      </w:tr>
      <w:tr>
        <w:trPr>
          <w:cantSplit/>
        </w:trPr>
        <w:tc>
          <w:tcPr>
            <w:tcW w:type="dxa" w:w="2199"/>
            <w:vAlign w:val="center"/>
            <w:shd w:fill="F4F6F8"/>
          </w:tcPr>
          <w:p>
            <w:pPr>
              <w:spacing w:after="20" w:before="20" w:line="247" w:lineRule="auto"/>
            </w:pPr>
            <w:r>
              <w:rPr>
                <w:b w:val="0"/>
                <w:i w:val="0"/>
                <w:sz w:val="20"/>
              </w:rPr>
              <w:t>Service or AI incident</w:t>
            </w:r>
          </w:p>
        </w:tc>
        <w:tc>
          <w:tcPr>
            <w:tcW w:type="dxa" w:w="4297"/>
            <w:vAlign w:val="center"/>
            <w:shd w:fill="F4F6F8"/>
          </w:tcPr>
          <w:p>
            <w:pPr>
              <w:spacing w:after="20" w:before="20" w:line="247" w:lineRule="auto"/>
            </w:pPr>
            <w:r>
              <w:rPr>
                <w:b w:val="0"/>
                <w:i w:val="0"/>
                <w:sz w:val="20"/>
              </w:rPr>
              <w:t>On call and affected authorised contacts</w:t>
            </w:r>
          </w:p>
        </w:tc>
        <w:tc>
          <w:tcPr>
            <w:tcW w:type="dxa" w:w="3498"/>
            <w:vAlign w:val="center"/>
            <w:shd w:fill="F4F6F8"/>
          </w:tcPr>
          <w:p>
            <w:pPr>
              <w:spacing w:after="20" w:before="20" w:line="247" w:lineRule="auto"/>
            </w:pPr>
            <w:r>
              <w:rPr>
                <w:b w:val="0"/>
                <w:i w:val="0"/>
                <w:sz w:val="20"/>
              </w:rPr>
              <w:t>Function, impact and safe reference; legal notices follow approved policy</w:t>
            </w:r>
          </w:p>
        </w:tc>
      </w:tr>
    </w:tbl>
    <w:p>
      <w:pPr>
        <w:keepNext w:val="0"/>
        <w:spacing w:after="60" w:line="240" w:lineRule="auto" w:before="0"/>
      </w:pPr>
      <w:r>
        <w:rPr>
          <w:b w:val="0"/>
          <w:i w:val="0"/>
          <w:sz w:val="2"/>
        </w:rPr>
      </w:r>
    </w:p>
    <w:p>
      <w:r>
        <w:rPr>
          <w:b w:val="0"/>
          <w:i w:val="0"/>
        </w:rPr>
        <w:t>Notification deduplication key combines event, recipient, channel and notice class. Security events are never suppressed by a digest preference. Contact changes do not redirect a pending sensitive notice without revalidation. Channel failure appears in authorised delivery diagnostics and does not mark the business task complete.</w:t>
      </w:r>
    </w:p>
    <w:p>
      <w:pPr>
        <w:pStyle w:val="Heading2"/>
      </w:pPr>
      <w:r>
        <w:rPr>
          <w:b w:val="0"/>
          <w:i w:val="0"/>
        </w:rPr>
        <w:t>35 3 Audit event catalogue</w:t>
      </w:r>
    </w:p>
    <w:p>
      <w:r>
        <w:rPr>
          <w:b w:val="0"/>
          <w:i w:val="0"/>
        </w:rPr>
        <w:t>Audit covers authentication and recovery, session creation and revocation, membership and grants, policy changes, restricted reads, source receipt, mapping and transformations, corrections, approval attempts and decisions, calculation execution, period locks and restatements, exports and downloads, publication and delivery, AI proposal confirmation and tool execution, support elevation, privacy actions, holds, recovery, release promotion and tenant closure.</w:t>
      </w:r>
    </w:p>
    <w:p>
      <w:r>
        <w:rPr>
          <w:b w:val="0"/>
          <w:i w:val="0"/>
        </w:rPr>
        <w:t>Every FR mutation uses action_type equal to its domain command and specification_ref equal to its FR identifier. Outcome is requested, denied, started, completed, partially_completed, failed or cancelled as applicable. Decisions add candidate version and workflow version; exports add purpose and artifact manifest; AI changes add proposal and domain receipts; privacy actions add minimised store outcomes. Per field before and after values are stored only where policy allows, with secrets and unnecessary identifiers excluded. Failed authorisation does not log protected content in a more widely visible audit channel.</w:t>
      </w:r>
    </w:p>
    <w:p>
      <w:r>
        <w:rPr>
          <w:b w:val="0"/>
          <w:i w:val="0"/>
        </w:rPr>
        <w:t>Audit queries are tenant and purpose scoped, support time and action filters and return immutable event identities. Audit export is separately granted. Retention expiry produces an accountable lifecycle event or permitted aggregate proof; it does not permit an administrator to selectively remove a damaging action from history.</w:t>
      </w:r>
    </w:p>
    <w:p>
      <w:bookmarkStart w:id="306" w:name="sec_36"/>
      <w:pPr>
        <w:pStyle w:val="Heading1"/>
      </w:pPr>
      <w:r>
        <w:rPr>
          <w:b w:val="0"/>
          <w:i w:val="0"/>
        </w:rPr>
        <w:t>36 AI tool and confirmation catalogue</w:t>
      </w:r>
      <w:bookmarkEnd w:id="306"/>
    </w:p>
    <w:p>
      <w:pPr>
        <w:pStyle w:val="Heading2"/>
      </w:pPr>
      <w:r>
        <w:rPr>
          <w:b w:val="0"/>
          <w:i w:val="0"/>
        </w:rPr>
        <w:t>36 1 Tool eligibility</w:t>
      </w:r>
    </w:p>
    <w:p>
      <w:r>
        <w:rPr>
          <w:b w:val="0"/>
          <w:i w:val="0"/>
        </w:rPr>
        <w:t>The assistant receives only the tools enabled for the tenant, user and use case. Each tool validates its input independently of the model. Read tools do not implicitly permit writes. A tool output is untrusted evidence for subsequent reasoning and cannot change the allowed catalogue. The model does not receive secrets or unrestricted query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Tool contract</w:t>
            </w:r>
          </w:p>
        </w:tc>
        <w:tc>
          <w:tcPr>
            <w:tcW w:type="dxa" w:w="4297"/>
            <w:vAlign w:val="center"/>
            <w:shd w:fill="233B53"/>
          </w:tcPr>
          <w:p>
            <w:pPr>
              <w:spacing w:after="20" w:before="20" w:line="247" w:lineRule="auto"/>
            </w:pPr>
            <w:r>
              <w:rPr>
                <w:b/>
                <w:i w:val="0"/>
                <w:color w:val="FFFFFF"/>
                <w:sz w:val="20"/>
              </w:rPr>
              <w:t>Typed inputs</w:t>
            </w:r>
          </w:p>
        </w:tc>
        <w:tc>
          <w:tcPr>
            <w:tcW w:type="dxa" w:w="3498"/>
            <w:vAlign w:val="center"/>
            <w:shd w:fill="233B53"/>
          </w:tcPr>
          <w:p>
            <w:pPr>
              <w:spacing w:after="20" w:before="20" w:line="247" w:lineRule="auto"/>
            </w:pPr>
            <w:r>
              <w:rPr>
                <w:b/>
                <w:i w:val="0"/>
                <w:color w:val="FFFFFF"/>
                <w:sz w:val="20"/>
              </w:rPr>
              <w:t>Output and authority</w:t>
            </w:r>
          </w:p>
        </w:tc>
      </w:tr>
      <w:tr>
        <w:trPr>
          <w:cantSplit/>
        </w:trPr>
        <w:tc>
          <w:tcPr>
            <w:tcW w:type="dxa" w:w="2199"/>
            <w:vAlign w:val="center"/>
            <w:shd w:fill="FFFFFF"/>
          </w:tcPr>
          <w:p>
            <w:pPr>
              <w:spacing w:after="20" w:before="20" w:line="247" w:lineRule="auto"/>
            </w:pPr>
            <w:r>
              <w:rPr>
                <w:b w:val="0"/>
                <w:i w:val="0"/>
                <w:sz w:val="20"/>
              </w:rPr>
              <w:t>AI01 Search evidence</w:t>
            </w:r>
          </w:p>
        </w:tc>
        <w:tc>
          <w:tcPr>
            <w:tcW w:type="dxa" w:w="4297"/>
            <w:vAlign w:val="center"/>
            <w:shd w:fill="FFFFFF"/>
          </w:tcPr>
          <w:p>
            <w:pPr>
              <w:spacing w:after="20" w:before="20" w:line="247" w:lineRule="auto"/>
            </w:pPr>
            <w:r>
              <w:rPr>
                <w:b w:val="0"/>
                <w:i w:val="0"/>
                <w:sz w:val="20"/>
              </w:rPr>
              <w:t>Permitted scope, query, source types, date range and limit</w:t>
            </w:r>
          </w:p>
        </w:tc>
        <w:tc>
          <w:tcPr>
            <w:tcW w:type="dxa" w:w="3498"/>
            <w:vAlign w:val="center"/>
            <w:shd w:fill="FFFFFF"/>
          </w:tcPr>
          <w:p>
            <w:pPr>
              <w:spacing w:after="20" w:before="20" w:line="247" w:lineRule="auto"/>
            </w:pPr>
            <w:r>
              <w:rPr>
                <w:b w:val="0"/>
                <w:i w:val="0"/>
                <w:sz w:val="20"/>
              </w:rPr>
              <w:t>Authorised citations and excerpts with source versions; no hidden counts</w:t>
            </w:r>
          </w:p>
        </w:tc>
      </w:tr>
      <w:tr>
        <w:trPr>
          <w:cantSplit/>
        </w:trPr>
        <w:tc>
          <w:tcPr>
            <w:tcW w:type="dxa" w:w="2199"/>
            <w:vAlign w:val="center"/>
            <w:shd w:fill="F4F6F8"/>
          </w:tcPr>
          <w:p>
            <w:pPr>
              <w:spacing w:after="20" w:before="20" w:line="247" w:lineRule="auto"/>
            </w:pPr>
            <w:r>
              <w:rPr>
                <w:b w:val="0"/>
                <w:i w:val="0"/>
                <w:sz w:val="20"/>
              </w:rPr>
              <w:t>AI02 Read measurement contract</w:t>
            </w:r>
          </w:p>
        </w:tc>
        <w:tc>
          <w:tcPr>
            <w:tcW w:type="dxa" w:w="4297"/>
            <w:vAlign w:val="center"/>
            <w:shd w:fill="F4F6F8"/>
          </w:tcPr>
          <w:p>
            <w:pPr>
              <w:spacing w:after="20" w:before="20" w:line="247" w:lineRule="auto"/>
            </w:pPr>
            <w:r>
              <w:rPr>
                <w:b w:val="0"/>
                <w:i w:val="0"/>
                <w:sz w:val="20"/>
              </w:rPr>
              <w:t>Indicator and definition versions</w:t>
            </w:r>
          </w:p>
        </w:tc>
        <w:tc>
          <w:tcPr>
            <w:tcW w:type="dxa" w:w="3498"/>
            <w:vAlign w:val="center"/>
            <w:shd w:fill="F4F6F8"/>
          </w:tcPr>
          <w:p>
            <w:pPr>
              <w:spacing w:after="20" w:before="20" w:line="247" w:lineRule="auto"/>
            </w:pPr>
            <w:r>
              <w:rPr>
                <w:b w:val="0"/>
                <w:i w:val="0"/>
                <w:sz w:val="20"/>
              </w:rPr>
              <w:t>Permitted definition, units, denominator, time and approval context</w:t>
            </w:r>
          </w:p>
        </w:tc>
      </w:tr>
      <w:tr>
        <w:trPr>
          <w:cantSplit/>
        </w:trPr>
        <w:tc>
          <w:tcPr>
            <w:tcW w:type="dxa" w:w="2199"/>
            <w:vAlign w:val="center"/>
            <w:shd w:fill="FFFFFF"/>
          </w:tcPr>
          <w:p>
            <w:pPr>
              <w:spacing w:after="20" w:before="20" w:line="247" w:lineRule="auto"/>
            </w:pPr>
            <w:r>
              <w:rPr>
                <w:b w:val="0"/>
                <w:i w:val="0"/>
                <w:sz w:val="20"/>
              </w:rPr>
              <w:t>AI03 Calculate result</w:t>
            </w:r>
          </w:p>
        </w:tc>
        <w:tc>
          <w:tcPr>
            <w:tcW w:type="dxa" w:w="4297"/>
            <w:vAlign w:val="center"/>
            <w:shd w:fill="FFFFFF"/>
          </w:tcPr>
          <w:p>
            <w:pPr>
              <w:spacing w:after="20" w:before="20" w:line="247" w:lineRule="auto"/>
            </w:pPr>
            <w:r>
              <w:rPr>
                <w:b w:val="0"/>
                <w:i w:val="0"/>
                <w:sz w:val="20"/>
              </w:rPr>
              <w:t>Approved measure or bounded plan, snapshot, filters and period</w:t>
            </w:r>
          </w:p>
        </w:tc>
        <w:tc>
          <w:tcPr>
            <w:tcW w:type="dxa" w:w="3498"/>
            <w:vAlign w:val="center"/>
            <w:shd w:fill="FFFFFF"/>
          </w:tcPr>
          <w:p>
            <w:pPr>
              <w:spacing w:after="20" w:before="20" w:line="247" w:lineRule="auto"/>
            </w:pPr>
            <w:r>
              <w:rPr>
                <w:b w:val="0"/>
                <w:i w:val="0"/>
                <w:sz w:val="20"/>
              </w:rPr>
              <w:t>Deterministic result contract and lineage; numeric authority resides here</w:t>
            </w:r>
          </w:p>
        </w:tc>
      </w:tr>
      <w:tr>
        <w:trPr>
          <w:cantSplit/>
        </w:trPr>
        <w:tc>
          <w:tcPr>
            <w:tcW w:type="dxa" w:w="2199"/>
            <w:vAlign w:val="center"/>
            <w:shd w:fill="F4F6F8"/>
          </w:tcPr>
          <w:p>
            <w:pPr>
              <w:spacing w:after="20" w:before="20" w:line="247" w:lineRule="auto"/>
            </w:pPr>
            <w:r>
              <w:rPr>
                <w:b w:val="0"/>
                <w:i w:val="0"/>
                <w:sz w:val="20"/>
              </w:rPr>
              <w:t>AI04 Extract proposal</w:t>
            </w:r>
          </w:p>
        </w:tc>
        <w:tc>
          <w:tcPr>
            <w:tcW w:type="dxa" w:w="4297"/>
            <w:vAlign w:val="center"/>
            <w:shd w:fill="F4F6F8"/>
          </w:tcPr>
          <w:p>
            <w:pPr>
              <w:spacing w:after="20" w:before="20" w:line="247" w:lineRule="auto"/>
            </w:pPr>
            <w:r>
              <w:rPr>
                <w:b w:val="0"/>
                <w:i w:val="0"/>
                <w:sz w:val="20"/>
              </w:rPr>
              <w:t>Approved files, field schema and use case</w:t>
            </w:r>
          </w:p>
        </w:tc>
        <w:tc>
          <w:tcPr>
            <w:tcW w:type="dxa" w:w="3498"/>
            <w:vAlign w:val="center"/>
            <w:shd w:fill="F4F6F8"/>
          </w:tcPr>
          <w:p>
            <w:pPr>
              <w:spacing w:after="20" w:before="20" w:line="247" w:lineRule="auto"/>
            </w:pPr>
            <w:r>
              <w:rPr>
                <w:b w:val="0"/>
                <w:i w:val="0"/>
                <w:sz w:val="20"/>
              </w:rPr>
              <w:t>Field proposals with source locations, ambiguity and inference labels</w:t>
            </w:r>
          </w:p>
        </w:tc>
      </w:tr>
      <w:tr>
        <w:trPr>
          <w:cantSplit/>
        </w:trPr>
        <w:tc>
          <w:tcPr>
            <w:tcW w:type="dxa" w:w="2199"/>
            <w:vAlign w:val="center"/>
            <w:shd w:fill="FFFFFF"/>
          </w:tcPr>
          <w:p>
            <w:pPr>
              <w:spacing w:after="20" w:before="20" w:line="247" w:lineRule="auto"/>
            </w:pPr>
            <w:r>
              <w:rPr>
                <w:b w:val="0"/>
                <w:i w:val="0"/>
                <w:sz w:val="20"/>
              </w:rPr>
              <w:t>AI05 Propose indicator</w:t>
            </w:r>
          </w:p>
        </w:tc>
        <w:tc>
          <w:tcPr>
            <w:tcW w:type="dxa" w:w="4297"/>
            <w:vAlign w:val="center"/>
            <w:shd w:fill="FFFFFF"/>
          </w:tcPr>
          <w:p>
            <w:pPr>
              <w:spacing w:after="20" w:before="20" w:line="247" w:lineRule="auto"/>
            </w:pPr>
            <w:r>
              <w:rPr>
                <w:b w:val="0"/>
                <w:i w:val="0"/>
                <w:sz w:val="20"/>
              </w:rPr>
              <w:t>Programme context and approved library candidates</w:t>
            </w:r>
          </w:p>
        </w:tc>
        <w:tc>
          <w:tcPr>
            <w:tcW w:type="dxa" w:w="3498"/>
            <w:vAlign w:val="center"/>
            <w:shd w:fill="FFFFFF"/>
          </w:tcPr>
          <w:p>
            <w:pPr>
              <w:spacing w:after="20" w:before="20" w:line="247" w:lineRule="auto"/>
            </w:pPr>
            <w:r>
              <w:rPr>
                <w:b w:val="0"/>
                <w:i w:val="0"/>
                <w:sz w:val="20"/>
              </w:rPr>
              <w:t>Draft definition with required fields and validation findings</w:t>
            </w:r>
          </w:p>
        </w:tc>
      </w:tr>
      <w:tr>
        <w:trPr>
          <w:cantSplit/>
        </w:trPr>
        <w:tc>
          <w:tcPr>
            <w:tcW w:type="dxa" w:w="2199"/>
            <w:vAlign w:val="center"/>
            <w:shd w:fill="F4F6F8"/>
          </w:tcPr>
          <w:p>
            <w:pPr>
              <w:spacing w:after="20" w:before="20" w:line="247" w:lineRule="auto"/>
            </w:pPr>
            <w:r>
              <w:rPr>
                <w:b w:val="0"/>
                <w:i w:val="0"/>
                <w:sz w:val="20"/>
              </w:rPr>
              <w:t>AI06 Propose mapping</w:t>
            </w:r>
          </w:p>
        </w:tc>
        <w:tc>
          <w:tcPr>
            <w:tcW w:type="dxa" w:w="4297"/>
            <w:vAlign w:val="center"/>
            <w:shd w:fill="F4F6F8"/>
          </w:tcPr>
          <w:p>
            <w:pPr>
              <w:spacing w:after="20" w:before="20" w:line="247" w:lineRule="auto"/>
            </w:pPr>
            <w:r>
              <w:rPr>
                <w:b w:val="0"/>
                <w:i w:val="0"/>
                <w:sz w:val="20"/>
              </w:rPr>
              <w:t>Source schema, allowed destination schema and bounded sample</w:t>
            </w:r>
          </w:p>
        </w:tc>
        <w:tc>
          <w:tcPr>
            <w:tcW w:type="dxa" w:w="3498"/>
            <w:vAlign w:val="center"/>
            <w:shd w:fill="F4F6F8"/>
          </w:tcPr>
          <w:p>
            <w:pPr>
              <w:spacing w:after="20" w:before="20" w:line="247" w:lineRule="auto"/>
            </w:pPr>
            <w:r>
              <w:rPr>
                <w:b w:val="0"/>
                <w:i w:val="0"/>
                <w:sz w:val="20"/>
              </w:rPr>
              <w:t>Deterministic mapping diff and row impact; no raw evidence overwrite</w:t>
            </w:r>
          </w:p>
        </w:tc>
      </w:tr>
      <w:tr>
        <w:trPr>
          <w:cantSplit/>
        </w:trPr>
        <w:tc>
          <w:tcPr>
            <w:tcW w:type="dxa" w:w="2199"/>
            <w:vAlign w:val="center"/>
            <w:shd w:fill="FFFFFF"/>
          </w:tcPr>
          <w:p>
            <w:pPr>
              <w:spacing w:after="20" w:before="20" w:line="247" w:lineRule="auto"/>
            </w:pPr>
            <w:r>
              <w:rPr>
                <w:b w:val="0"/>
                <w:i w:val="0"/>
                <w:sz w:val="20"/>
              </w:rPr>
              <w:t>AI07 Draft report section</w:t>
            </w:r>
          </w:p>
        </w:tc>
        <w:tc>
          <w:tcPr>
            <w:tcW w:type="dxa" w:w="4297"/>
            <w:vAlign w:val="center"/>
            <w:shd w:fill="FFFFFF"/>
          </w:tcPr>
          <w:p>
            <w:pPr>
              <w:spacing w:after="20" w:before="20" w:line="247" w:lineRule="auto"/>
            </w:pPr>
            <w:r>
              <w:rPr>
                <w:b w:val="0"/>
                <w:i w:val="0"/>
                <w:sz w:val="20"/>
              </w:rPr>
              <w:t>Approved snapshot, template section and permitted evidence</w:t>
            </w:r>
          </w:p>
        </w:tc>
        <w:tc>
          <w:tcPr>
            <w:tcW w:type="dxa" w:w="3498"/>
            <w:vAlign w:val="center"/>
            <w:shd w:fill="FFFFFF"/>
          </w:tcPr>
          <w:p>
            <w:pPr>
              <w:spacing w:after="20" w:before="20" w:line="247" w:lineRule="auto"/>
            </w:pPr>
            <w:r>
              <w:rPr>
                <w:b w:val="0"/>
                <w:i w:val="0"/>
                <w:sz w:val="20"/>
              </w:rPr>
              <w:t>Labelled narrative, citations, metric bindings and unresolved gaps</w:t>
            </w:r>
          </w:p>
        </w:tc>
      </w:tr>
      <w:tr>
        <w:trPr>
          <w:cantSplit/>
        </w:trPr>
        <w:tc>
          <w:tcPr>
            <w:tcW w:type="dxa" w:w="2199"/>
            <w:vAlign w:val="center"/>
            <w:shd w:fill="F4F6F8"/>
          </w:tcPr>
          <w:p>
            <w:pPr>
              <w:spacing w:after="20" w:before="20" w:line="247" w:lineRule="auto"/>
            </w:pPr>
            <w:r>
              <w:rPr>
                <w:b w:val="0"/>
                <w:i w:val="0"/>
                <w:sz w:val="20"/>
              </w:rPr>
              <w:t>AI08 Suggest qualitative coding</w:t>
            </w:r>
          </w:p>
        </w:tc>
        <w:tc>
          <w:tcPr>
            <w:tcW w:type="dxa" w:w="4297"/>
            <w:vAlign w:val="center"/>
            <w:shd w:fill="F4F6F8"/>
          </w:tcPr>
          <w:p>
            <w:pPr>
              <w:spacing w:after="20" w:before="20" w:line="247" w:lineRule="auto"/>
            </w:pPr>
            <w:r>
              <w:rPr>
                <w:b w:val="0"/>
                <w:i w:val="0"/>
                <w:sz w:val="20"/>
              </w:rPr>
              <w:t>Permitted excerpts, codebook and language</w:t>
            </w:r>
          </w:p>
        </w:tc>
        <w:tc>
          <w:tcPr>
            <w:tcW w:type="dxa" w:w="3498"/>
            <w:vAlign w:val="center"/>
            <w:shd w:fill="F4F6F8"/>
          </w:tcPr>
          <w:p>
            <w:pPr>
              <w:spacing w:after="20" w:before="20" w:line="247" w:lineRule="auto"/>
            </w:pPr>
            <w:r>
              <w:rPr>
                <w:b w:val="0"/>
                <w:i w:val="0"/>
                <w:sz w:val="20"/>
              </w:rPr>
              <w:t>Suggested code assignments and source spans; no automatic final interpretation</w:t>
            </w:r>
          </w:p>
        </w:tc>
      </w:tr>
      <w:tr>
        <w:trPr>
          <w:cantSplit/>
        </w:trPr>
        <w:tc>
          <w:tcPr>
            <w:tcW w:type="dxa" w:w="2199"/>
            <w:vAlign w:val="center"/>
            <w:shd w:fill="FFFFFF"/>
          </w:tcPr>
          <w:p>
            <w:pPr>
              <w:spacing w:after="20" w:before="20" w:line="247" w:lineRule="auto"/>
            </w:pPr>
            <w:r>
              <w:rPr>
                <w:b w:val="0"/>
                <w:i w:val="0"/>
                <w:sz w:val="20"/>
              </w:rPr>
              <w:t>AI09 Create action proposal</w:t>
            </w:r>
          </w:p>
        </w:tc>
        <w:tc>
          <w:tcPr>
            <w:tcW w:type="dxa" w:w="4297"/>
            <w:vAlign w:val="center"/>
            <w:shd w:fill="FFFFFF"/>
          </w:tcPr>
          <w:p>
            <w:pPr>
              <w:spacing w:after="20" w:before="20" w:line="247" w:lineRule="auto"/>
            </w:pPr>
            <w:r>
              <w:rPr>
                <w:b w:val="0"/>
                <w:i w:val="0"/>
                <w:sz w:val="20"/>
              </w:rPr>
              <w:t>Allowed domain command, objects, expected revisions and values</w:t>
            </w:r>
          </w:p>
        </w:tc>
        <w:tc>
          <w:tcPr>
            <w:tcW w:type="dxa" w:w="3498"/>
            <w:vAlign w:val="center"/>
            <w:shd w:fill="FFFFFF"/>
          </w:tcPr>
          <w:p>
            <w:pPr>
              <w:spacing w:after="20" w:before="20" w:line="247" w:lineRule="auto"/>
            </w:pPr>
            <w:r>
              <w:rPr>
                <w:b w:val="0"/>
                <w:i w:val="0"/>
                <w:sz w:val="20"/>
              </w:rPr>
              <w:t>Exact unapplied diff, impact and proposal expiry</w:t>
            </w:r>
          </w:p>
        </w:tc>
      </w:tr>
      <w:tr>
        <w:trPr>
          <w:cantSplit/>
        </w:trPr>
        <w:tc>
          <w:tcPr>
            <w:tcW w:type="dxa" w:w="2199"/>
            <w:vAlign w:val="center"/>
            <w:shd w:fill="F4F6F8"/>
          </w:tcPr>
          <w:p>
            <w:pPr>
              <w:spacing w:after="20" w:before="20" w:line="247" w:lineRule="auto"/>
            </w:pPr>
            <w:r>
              <w:rPr>
                <w:b w:val="0"/>
                <w:i w:val="0"/>
                <w:sz w:val="20"/>
              </w:rPr>
              <w:t>AI10 Apply confirmed proposal</w:t>
            </w:r>
          </w:p>
        </w:tc>
        <w:tc>
          <w:tcPr>
            <w:tcW w:type="dxa" w:w="4297"/>
            <w:vAlign w:val="center"/>
            <w:shd w:fill="F4F6F8"/>
          </w:tcPr>
          <w:p>
            <w:pPr>
              <w:spacing w:after="20" w:before="20" w:line="247" w:lineRule="auto"/>
            </w:pPr>
            <w:r>
              <w:rPr>
                <w:b w:val="0"/>
                <w:i w:val="0"/>
                <w:sz w:val="20"/>
              </w:rPr>
              <w:t>Proposal identity, confirmation receipt and fresh authority</w:t>
            </w:r>
          </w:p>
        </w:tc>
        <w:tc>
          <w:tcPr>
            <w:tcW w:type="dxa" w:w="3498"/>
            <w:vAlign w:val="center"/>
            <w:shd w:fill="F4F6F8"/>
          </w:tcPr>
          <w:p>
            <w:pPr>
              <w:spacing w:after="20" w:before="20" w:line="247" w:lineRule="auto"/>
            </w:pPr>
            <w:r>
              <w:rPr>
                <w:b w:val="0"/>
                <w:i w:val="0"/>
                <w:sz w:val="20"/>
              </w:rPr>
              <w:t>Ordinary domain command receipt or explicit stale or denied outcome</w:t>
            </w:r>
          </w:p>
        </w:tc>
      </w:tr>
      <w:tr>
        <w:trPr>
          <w:cantSplit/>
        </w:trPr>
        <w:tc>
          <w:tcPr>
            <w:tcW w:type="dxa" w:w="2199"/>
            <w:vAlign w:val="center"/>
            <w:shd w:fill="FFFFFF"/>
          </w:tcPr>
          <w:p>
            <w:pPr>
              <w:spacing w:after="20" w:before="20" w:line="247" w:lineRule="auto"/>
            </w:pPr>
            <w:r>
              <w:rPr>
                <w:b w:val="0"/>
                <w:i w:val="0"/>
                <w:sz w:val="20"/>
              </w:rPr>
              <w:t>AI11 Explain result or discrepancy</w:t>
            </w:r>
          </w:p>
        </w:tc>
        <w:tc>
          <w:tcPr>
            <w:tcW w:type="dxa" w:w="4297"/>
            <w:vAlign w:val="center"/>
            <w:shd w:fill="FFFFFF"/>
          </w:tcPr>
          <w:p>
            <w:pPr>
              <w:spacing w:after="20" w:before="20" w:line="247" w:lineRule="auto"/>
            </w:pPr>
            <w:r>
              <w:rPr>
                <w:b w:val="0"/>
                <w:i w:val="0"/>
                <w:sz w:val="20"/>
              </w:rPr>
              <w:t>Permitted result versions and comparison purpose</w:t>
            </w:r>
          </w:p>
        </w:tc>
        <w:tc>
          <w:tcPr>
            <w:tcW w:type="dxa" w:w="3498"/>
            <w:vAlign w:val="center"/>
            <w:shd w:fill="FFFFFF"/>
          </w:tcPr>
          <w:p>
            <w:pPr>
              <w:spacing w:after="20" w:before="20" w:line="247" w:lineRule="auto"/>
            </w:pPr>
            <w:r>
              <w:rPr>
                <w:b w:val="0"/>
                <w:i w:val="0"/>
                <w:sz w:val="20"/>
              </w:rPr>
              <w:t>Source, rule, target, period and coverage differences without hidden records</w:t>
            </w:r>
          </w:p>
        </w:tc>
      </w:tr>
      <w:tr>
        <w:trPr>
          <w:cantSplit/>
        </w:trPr>
        <w:tc>
          <w:tcPr>
            <w:tcW w:type="dxa" w:w="2199"/>
            <w:vAlign w:val="center"/>
            <w:shd w:fill="F4F6F8"/>
          </w:tcPr>
          <w:p>
            <w:pPr>
              <w:spacing w:after="20" w:before="20" w:line="247" w:lineRule="auto"/>
            </w:pPr>
            <w:r>
              <w:rPr>
                <w:b w:val="0"/>
                <w:i w:val="0"/>
                <w:sz w:val="20"/>
              </w:rPr>
              <w:t>AI12 Forecast scenario</w:t>
            </w:r>
          </w:p>
        </w:tc>
        <w:tc>
          <w:tcPr>
            <w:tcW w:type="dxa" w:w="4297"/>
            <w:vAlign w:val="center"/>
            <w:shd w:fill="F4F6F8"/>
          </w:tcPr>
          <w:p>
            <w:pPr>
              <w:spacing w:after="20" w:before="20" w:line="247" w:lineRule="auto"/>
            </w:pPr>
            <w:r>
              <w:rPr>
                <w:b w:val="0"/>
                <w:i w:val="0"/>
                <w:sz w:val="20"/>
              </w:rPr>
              <w:t>Qualified method, sources, horizon and assumptions</w:t>
            </w:r>
          </w:p>
        </w:tc>
        <w:tc>
          <w:tcPr>
            <w:tcW w:type="dxa" w:w="3498"/>
            <w:vAlign w:val="center"/>
            <w:shd w:fill="F4F6F8"/>
          </w:tcPr>
          <w:p>
            <w:pPr>
              <w:spacing w:after="20" w:before="20" w:line="247" w:lineRule="auto"/>
            </w:pPr>
            <w:r>
              <w:rPr>
                <w:b w:val="0"/>
                <w:i w:val="0"/>
                <w:sz w:val="20"/>
              </w:rPr>
              <w:t>Labelled projection and uncertainty; no actual or target mutation</w:t>
            </w:r>
          </w:p>
        </w:tc>
      </w:tr>
    </w:tbl>
    <w:p>
      <w:pPr>
        <w:keepNext w:val="0"/>
        <w:spacing w:after="60" w:line="240" w:lineRule="auto" w:before="0"/>
      </w:pPr>
      <w:r>
        <w:rPr>
          <w:b w:val="0"/>
          <w:i w:val="0"/>
          <w:sz w:val="2"/>
        </w:rPr>
      </w:r>
    </w:p>
    <w:p>
      <w:pPr>
        <w:pStyle w:val="Heading2"/>
      </w:pPr>
      <w:r>
        <w:rPr>
          <w:b w:val="0"/>
          <w:i w:val="0"/>
        </w:rPr>
        <w:t>36 2 Confirmation and prohibited actions</w:t>
      </w:r>
    </w:p>
    <w:p>
      <w:r>
        <w:rPr>
          <w:b w:val="0"/>
          <w:i w:val="0"/>
        </w:rPr>
        <w:t>Action proposals expire after 30 minutes by default and earlier if material policy or source versions change. The confirmation screen shows each create or edit, exact scope and resulting lifecycle state. The default allowed writes are create draft programme structures, draft definitions, draft mappings, report draft sections and ordinary permitted follow up tasks. Required independent approvals remain outstanding after application.</w:t>
      </w:r>
    </w:p>
    <w:p>
      <w:r>
        <w:rPr>
          <w:b w:val="0"/>
          <w:i w:val="0"/>
        </w:rPr>
        <w:t>The model has no direct tool to approve data, publish externally, grant permissions, rotate secrets, merge participant identities, delete data, remove a hold or change approved actuals. A human may initiate those actions through the governed interface, where normal approval and policy rules apply. Introducing a future AI tool for a higher impact domain requires an explicit specification change and assurance gate; a natural language instruction cannot create that capability.</w:t>
      </w:r>
    </w:p>
    <w:p>
      <w:pPr>
        <w:pStyle w:val="Heading2"/>
      </w:pPr>
      <w:r>
        <w:rPr>
          <w:b w:val="0"/>
          <w:i w:val="0"/>
        </w:rPr>
        <w:t>36 3 Evidence response contract</w:t>
      </w:r>
    </w:p>
    <w:p>
      <w:r>
        <w:rPr>
          <w:b w:val="0"/>
          <w:i w:val="0"/>
        </w:rPr>
        <w:t>An evidence answer separates source facts, calculated results, interpretations and missing information. Material claims reference source version and location. Official numeric text is bound to the tool result; if the binding is lost or changed during generation, the claim is withheld until reconciled. An inaccessible source is not named in an explanation. Unanswerable questions use a concise abstention and identify permissible missing context without inventing facts. Returned generation and citations obey the same data minimisation and retention policy as their inputs.</w:t>
      </w:r>
    </w:p>
    <w:p>
      <w:bookmarkStart w:id="307" w:name="sec_37"/>
      <w:pPr>
        <w:pStyle w:val="Heading1"/>
      </w:pPr>
      <w:r>
        <w:rPr>
          <w:b w:val="0"/>
          <w:i w:val="0"/>
        </w:rPr>
        <w:t>37 Nonfunctional verification contracts</w:t>
      </w:r>
      <w:bookmarkEnd w:id="307"/>
    </w:p>
    <w:p>
      <w:pPr>
        <w:pStyle w:val="Heading2"/>
      </w:pPr>
      <w:r>
        <w:rPr>
          <w:b w:val="0"/>
          <w:i w:val="0"/>
        </w:rPr>
        <w:t>37 1 Governing workload and release evidence</w:t>
      </w:r>
    </w:p>
    <w:p>
      <w:r>
        <w:rPr>
          <w:b w:val="0"/>
          <w:i w:val="0"/>
        </w:rPr>
        <w:t>The numerical targets below are inherited unchanged from the BRD and remain proposed qualification targets until measured and approved. Each VF states the observable contract and verification procedure. HLD shall size and cost the workload; these are not claims of already achieved performance or customer demand. The proposed functional defaults in section 1 must support this envelope or return as an explicit baseline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Dimension</w:t>
            </w:r>
          </w:p>
        </w:tc>
        <w:tc>
          <w:tcPr>
            <w:tcW w:type="dxa" w:w="7095"/>
            <w:vAlign w:val="center"/>
            <w:shd w:fill="233B53"/>
          </w:tcPr>
          <w:p>
            <w:pPr>
              <w:spacing w:after="20" w:before="20" w:line="247" w:lineRule="auto"/>
            </w:pPr>
            <w:r>
              <w:rPr>
                <w:b/>
                <w:i w:val="0"/>
                <w:color w:val="FFFFFF"/>
                <w:sz w:val="20"/>
              </w:rPr>
              <w:t>Qualification baseline</w:t>
            </w:r>
          </w:p>
        </w:tc>
      </w:tr>
      <w:tr>
        <w:trPr>
          <w:cantSplit/>
        </w:trPr>
        <w:tc>
          <w:tcPr>
            <w:tcW w:type="dxa" w:w="2898"/>
            <w:vAlign w:val="center"/>
            <w:shd w:fill="FFFFFF"/>
          </w:tcPr>
          <w:p>
            <w:pPr>
              <w:spacing w:after="20" w:before="20" w:line="247" w:lineRule="auto"/>
            </w:pPr>
            <w:r>
              <w:rPr>
                <w:b w:val="0"/>
                <w:i w:val="0"/>
                <w:sz w:val="20"/>
              </w:rPr>
              <w:t>Tenant population</w:t>
            </w:r>
          </w:p>
        </w:tc>
        <w:tc>
          <w:tcPr>
            <w:tcW w:type="dxa" w:w="7095"/>
            <w:vAlign w:val="center"/>
            <w:shd w:fill="FFFFFF"/>
          </w:tcPr>
          <w:p>
            <w:pPr>
              <w:spacing w:after="20" w:before="20" w:line="247" w:lineRule="auto"/>
            </w:pPr>
            <w:r>
              <w:rPr>
                <w:b w:val="0"/>
                <w:i w:val="0"/>
                <w:sz w:val="20"/>
              </w:rPr>
              <w:t>250 configured tenants; at least 20 generating concurrent workload</w:t>
            </w:r>
          </w:p>
        </w:tc>
      </w:tr>
      <w:tr>
        <w:trPr>
          <w:cantSplit/>
        </w:trPr>
        <w:tc>
          <w:tcPr>
            <w:tcW w:type="dxa" w:w="2898"/>
            <w:vAlign w:val="center"/>
            <w:shd w:fill="F4F6F8"/>
          </w:tcPr>
          <w:p>
            <w:pPr>
              <w:spacing w:after="20" w:before="20" w:line="247" w:lineRule="auto"/>
            </w:pPr>
            <w:r>
              <w:rPr>
                <w:b w:val="0"/>
                <w:i w:val="0"/>
                <w:sz w:val="20"/>
              </w:rPr>
              <w:t>Interactive load</w:t>
            </w:r>
          </w:p>
        </w:tc>
        <w:tc>
          <w:tcPr>
            <w:tcW w:type="dxa" w:w="7095"/>
            <w:vAlign w:val="center"/>
            <w:shd w:fill="F4F6F8"/>
          </w:tcPr>
          <w:p>
            <w:pPr>
              <w:spacing w:after="20" w:before="20" w:line="247" w:lineRule="auto"/>
            </w:pPr>
            <w:r>
              <w:rPr>
                <w:b w:val="0"/>
                <w:i w:val="0"/>
                <w:sz w:val="20"/>
              </w:rPr>
              <w:t>1000 concurrently active users in the test; 250 in the largest active tenant; average one business operation per user per five seconds</w:t>
            </w:r>
          </w:p>
        </w:tc>
      </w:tr>
      <w:tr>
        <w:trPr>
          <w:cantSplit/>
        </w:trPr>
        <w:tc>
          <w:tcPr>
            <w:tcW w:type="dxa" w:w="2898"/>
            <w:vAlign w:val="center"/>
            <w:shd w:fill="FFFFFF"/>
          </w:tcPr>
          <w:p>
            <w:pPr>
              <w:spacing w:after="20" w:before="20" w:line="247" w:lineRule="auto"/>
            </w:pPr>
            <w:r>
              <w:rPr>
                <w:b w:val="0"/>
                <w:i w:val="0"/>
                <w:sz w:val="20"/>
              </w:rPr>
              <w:t>Workload mix</w:t>
            </w:r>
          </w:p>
        </w:tc>
        <w:tc>
          <w:tcPr>
            <w:tcW w:type="dxa" w:w="7095"/>
            <w:vAlign w:val="center"/>
            <w:shd w:fill="FFFFFF"/>
          </w:tcPr>
          <w:p>
            <w:pPr>
              <w:spacing w:after="20" w:before="20" w:line="247" w:lineRule="auto"/>
            </w:pPr>
            <w:r>
              <w:rPr>
                <w:b w:val="0"/>
                <w:i w:val="0"/>
                <w:sz w:val="20"/>
              </w:rPr>
              <w:t>50 percent record reads and navigation, 20 percent dashboard requests, 15 percent submissions and edits, 10 percent search and 5 percent approvals; background imports and exports run concurrently</w:t>
            </w:r>
          </w:p>
        </w:tc>
      </w:tr>
      <w:tr>
        <w:trPr>
          <w:cantSplit/>
        </w:trPr>
        <w:tc>
          <w:tcPr>
            <w:tcW w:type="dxa" w:w="2898"/>
            <w:vAlign w:val="center"/>
            <w:shd w:fill="F4F6F8"/>
          </w:tcPr>
          <w:p>
            <w:pPr>
              <w:spacing w:after="20" w:before="20" w:line="247" w:lineRule="auto"/>
            </w:pPr>
            <w:r>
              <w:rPr>
                <w:b w:val="0"/>
                <w:i w:val="0"/>
                <w:sz w:val="20"/>
              </w:rPr>
              <w:t>Portfolio size</w:t>
            </w:r>
          </w:p>
        </w:tc>
        <w:tc>
          <w:tcPr>
            <w:tcW w:type="dxa" w:w="7095"/>
            <w:vAlign w:val="center"/>
            <w:shd w:fill="F4F6F8"/>
          </w:tcPr>
          <w:p>
            <w:pPr>
              <w:spacing w:after="20" w:before="20" w:line="247" w:lineRule="auto"/>
            </w:pPr>
            <w:r>
              <w:rPr>
                <w:b w:val="0"/>
                <w:i w:val="0"/>
                <w:sz w:val="20"/>
              </w:rPr>
              <w:t>10000 projects and 200000 indicator instances across the service; largest tenant contains 1000 projects and 20000 indicators</w:t>
            </w:r>
          </w:p>
        </w:tc>
      </w:tr>
      <w:tr>
        <w:trPr>
          <w:cantSplit/>
        </w:trPr>
        <w:tc>
          <w:tcPr>
            <w:tcW w:type="dxa" w:w="2898"/>
            <w:vAlign w:val="center"/>
            <w:shd w:fill="FFFFFF"/>
          </w:tcPr>
          <w:p>
            <w:pPr>
              <w:spacing w:after="20" w:before="20" w:line="247" w:lineRule="auto"/>
            </w:pPr>
            <w:r>
              <w:rPr>
                <w:b w:val="0"/>
                <w:i w:val="0"/>
                <w:sz w:val="20"/>
              </w:rPr>
              <w:t>Data volume</w:t>
            </w:r>
          </w:p>
        </w:tc>
        <w:tc>
          <w:tcPr>
            <w:tcW w:type="dxa" w:w="7095"/>
            <w:vAlign w:val="center"/>
            <w:shd w:fill="FFFFFF"/>
          </w:tcPr>
          <w:p>
            <w:pPr>
              <w:spacing w:after="20" w:before="20" w:line="247" w:lineRule="auto"/>
            </w:pPr>
            <w:r>
              <w:rPr>
                <w:b w:val="0"/>
                <w:i w:val="0"/>
                <w:sz w:val="20"/>
              </w:rPr>
              <w:t>100 million structured observation rows across the service; 20 million in the largest tenant; 30 typical fields per row</w:t>
            </w:r>
          </w:p>
        </w:tc>
      </w:tr>
      <w:tr>
        <w:trPr>
          <w:cantSplit/>
        </w:trPr>
        <w:tc>
          <w:tcPr>
            <w:tcW w:type="dxa" w:w="2898"/>
            <w:vAlign w:val="center"/>
            <w:shd w:fill="F4F6F8"/>
          </w:tcPr>
          <w:p>
            <w:pPr>
              <w:spacing w:after="20" w:before="20" w:line="247" w:lineRule="auto"/>
            </w:pPr>
            <w:r>
              <w:rPr>
                <w:b w:val="0"/>
                <w:i w:val="0"/>
                <w:sz w:val="20"/>
              </w:rPr>
              <w:t>Aggregation fixture</w:t>
            </w:r>
          </w:p>
        </w:tc>
        <w:tc>
          <w:tcPr>
            <w:tcW w:type="dxa" w:w="7095"/>
            <w:vAlign w:val="center"/>
            <w:shd w:fill="F4F6F8"/>
          </w:tcPr>
          <w:p>
            <w:pPr>
              <w:spacing w:after="20" w:before="20" w:line="247" w:lineRule="auto"/>
            </w:pPr>
            <w:r>
              <w:rPr>
                <w:b w:val="0"/>
                <w:i w:val="0"/>
                <w:sz w:val="20"/>
              </w:rPr>
              <w:t>Up to ten reporting levels, 1000 contributing indicators to one aggregate and five disaggregation dimensions; bounded sparse combinations</w:t>
            </w:r>
          </w:p>
        </w:tc>
      </w:tr>
      <w:tr>
        <w:trPr>
          <w:cantSplit/>
        </w:trPr>
        <w:tc>
          <w:tcPr>
            <w:tcW w:type="dxa" w:w="2898"/>
            <w:vAlign w:val="center"/>
            <w:shd w:fill="FFFFFF"/>
          </w:tcPr>
          <w:p>
            <w:pPr>
              <w:spacing w:after="20" w:before="20" w:line="247" w:lineRule="auto"/>
            </w:pPr>
            <w:r>
              <w:rPr>
                <w:b w:val="0"/>
                <w:i w:val="0"/>
                <w:sz w:val="20"/>
              </w:rPr>
              <w:t>Standard network</w:t>
            </w:r>
          </w:p>
        </w:tc>
        <w:tc>
          <w:tcPr>
            <w:tcW w:type="dxa" w:w="7095"/>
            <w:vAlign w:val="center"/>
            <w:shd w:fill="FFFFFF"/>
          </w:tcPr>
          <w:p>
            <w:pPr>
              <w:spacing w:after="20" w:before="20" w:line="247" w:lineRule="auto"/>
            </w:pPr>
            <w:r>
              <w:rPr>
                <w:b w:val="0"/>
                <w:i w:val="0"/>
                <w:sz w:val="20"/>
              </w:rPr>
              <w:t>20 Mbps connection and 80 ms round trip latency from the test client</w:t>
            </w:r>
          </w:p>
        </w:tc>
      </w:tr>
      <w:tr>
        <w:trPr>
          <w:cantSplit/>
        </w:trPr>
        <w:tc>
          <w:tcPr>
            <w:tcW w:type="dxa" w:w="2898"/>
            <w:vAlign w:val="center"/>
            <w:shd w:fill="F4F6F8"/>
          </w:tcPr>
          <w:p>
            <w:pPr>
              <w:spacing w:after="20" w:before="20" w:line="247" w:lineRule="auto"/>
            </w:pPr>
            <w:r>
              <w:rPr>
                <w:b w:val="0"/>
                <w:i w:val="0"/>
                <w:sz w:val="20"/>
              </w:rPr>
              <w:t>Constrained network</w:t>
            </w:r>
          </w:p>
        </w:tc>
        <w:tc>
          <w:tcPr>
            <w:tcW w:type="dxa" w:w="7095"/>
            <w:vAlign w:val="center"/>
            <w:shd w:fill="F4F6F8"/>
          </w:tcPr>
          <w:p>
            <w:pPr>
              <w:spacing w:after="20" w:before="20" w:line="247" w:lineRule="auto"/>
            </w:pPr>
            <w:r>
              <w:rPr>
                <w:b w:val="0"/>
                <w:i w:val="0"/>
                <w:sz w:val="20"/>
              </w:rPr>
              <w:t>1 Mbps connection, 300 ms round trip latency and intermittent loss; offline scenarios tested separately</w:t>
            </w:r>
          </w:p>
        </w:tc>
      </w:tr>
      <w:tr>
        <w:trPr>
          <w:cantSplit/>
        </w:trPr>
        <w:tc>
          <w:tcPr>
            <w:tcW w:type="dxa" w:w="2898"/>
            <w:vAlign w:val="center"/>
            <w:shd w:fill="FFFFFF"/>
          </w:tcPr>
          <w:p>
            <w:pPr>
              <w:spacing w:after="20" w:before="20" w:line="247" w:lineRule="auto"/>
            </w:pPr>
            <w:r>
              <w:rPr>
                <w:b w:val="0"/>
                <w:i w:val="0"/>
                <w:sz w:val="20"/>
              </w:rPr>
              <w:t>Standard client</w:t>
            </w:r>
          </w:p>
        </w:tc>
        <w:tc>
          <w:tcPr>
            <w:tcW w:type="dxa" w:w="7095"/>
            <w:vAlign w:val="center"/>
            <w:shd w:fill="FFFFFF"/>
          </w:tcPr>
          <w:p>
            <w:pPr>
              <w:spacing w:after="20" w:before="20" w:line="247" w:lineRule="auto"/>
            </w:pPr>
            <w:r>
              <w:rPr>
                <w:b w:val="0"/>
                <w:i w:val="0"/>
                <w:sz w:val="20"/>
              </w:rPr>
              <w:t>Supported browser on a midrange laptop with 8 GB RAM; mobile core tasks on an Android device with 4 GB RAM</w:t>
            </w:r>
          </w:p>
        </w:tc>
      </w:tr>
      <w:tr>
        <w:trPr>
          <w:cantSplit/>
        </w:trPr>
        <w:tc>
          <w:tcPr>
            <w:tcW w:type="dxa" w:w="2898"/>
            <w:vAlign w:val="center"/>
            <w:shd w:fill="F4F6F8"/>
          </w:tcPr>
          <w:p>
            <w:pPr>
              <w:spacing w:after="20" w:before="20" w:line="247" w:lineRule="auto"/>
            </w:pPr>
            <w:r>
              <w:rPr>
                <w:b w:val="0"/>
                <w:i w:val="0"/>
                <w:sz w:val="20"/>
              </w:rPr>
              <w:t>Duration</w:t>
            </w:r>
          </w:p>
        </w:tc>
        <w:tc>
          <w:tcPr>
            <w:tcW w:type="dxa" w:w="7095"/>
            <w:vAlign w:val="center"/>
            <w:shd w:fill="F4F6F8"/>
          </w:tcPr>
          <w:p>
            <w:pPr>
              <w:spacing w:after="20" w:before="20" w:line="247" w:lineRule="auto"/>
            </w:pPr>
            <w:r>
              <w:rPr>
                <w:b w:val="0"/>
                <w:i w:val="0"/>
                <w:sz w:val="20"/>
              </w:rPr>
              <w:t>60 minute peak workload, eight hour soak test and twofold arrival burst for five minutes</w:t>
            </w:r>
          </w:p>
        </w:tc>
      </w:tr>
      <w:tr>
        <w:trPr>
          <w:cantSplit/>
        </w:trPr>
        <w:tc>
          <w:tcPr>
            <w:tcW w:type="dxa" w:w="2898"/>
            <w:vAlign w:val="center"/>
            <w:shd w:fill="FFFFFF"/>
          </w:tcPr>
          <w:p>
            <w:pPr>
              <w:spacing w:after="20" w:before="20" w:line="247" w:lineRule="auto"/>
            </w:pPr>
            <w:r>
              <w:rPr>
                <w:b w:val="0"/>
                <w:i w:val="0"/>
                <w:sz w:val="20"/>
              </w:rPr>
              <w:t>Test evidence</w:t>
            </w:r>
          </w:p>
        </w:tc>
        <w:tc>
          <w:tcPr>
            <w:tcW w:type="dxa" w:w="7095"/>
            <w:vAlign w:val="center"/>
            <w:shd w:fill="FFFFFF"/>
          </w:tcPr>
          <w:p>
            <w:pPr>
              <w:spacing w:after="20" w:before="20" w:line="247" w:lineRule="auto"/>
            </w:pPr>
            <w:r>
              <w:rPr>
                <w:b w:val="0"/>
                <w:i w:val="0"/>
                <w:sz w:val="20"/>
              </w:rPr>
              <w:t>Dataset manifest, workload script, environment description, cold and warm results, errors, percentiles and tenant level results</w:t>
            </w:r>
          </w:p>
        </w:tc>
      </w:tr>
    </w:tbl>
    <w:p>
      <w:pPr>
        <w:keepNext w:val="0"/>
        <w:spacing w:after="60" w:line="240" w:lineRule="auto" w:before="0"/>
      </w:pPr>
      <w:r>
        <w:rPr>
          <w:b w:val="0"/>
          <w:i w:val="0"/>
          <w:sz w:val="2"/>
        </w:rPr>
      </w:r>
    </w:p>
    <w:p>
      <w:r>
        <w:rPr>
          <w:b w:val="0"/>
          <w:i w:val="0"/>
        </w:rPr>
        <w:t>Use the full peak profile, the eight-hour soak and burst conditions. Record environment, data and fixture versions, browser and client profile, network conditions, action mix, admission limits, cold and warm results, failures and tenant-level percentiles. Include internal queuing in elapsed time unless the parent explicitly excludes it. Fast failures do not count as successful response samples; report error rates alongside latency. Scope and authority checks remain active throughout load and resilience tests.</w:t>
      </w:r>
    </w:p>
    <w:p>
      <w:pPr>
        <w:pStyle w:val="Heading2"/>
      </w:pPr>
      <w:r>
        <w:rPr>
          <w:b w:val="0"/>
          <w:i w:val="0"/>
        </w:rPr>
        <w:t>37 2 Individual verification contracts</w:t>
      </w:r>
    </w:p>
    <w:p>
      <w:bookmarkStart w:id="308" w:name="req_VF_PER_001"/>
      <w:pPr>
        <w:keepNext/>
        <w:spacing w:before="180" w:after="40"/>
      </w:pPr>
      <w:r>
        <w:rPr>
          <w:b/>
          <w:i w:val="0"/>
        </w:rPr>
        <w:t>VF-PER-001   Interactive response</w:t>
      </w:r>
      <w:bookmarkEnd w:id="308"/>
    </w:p>
    <w:p>
      <w:pPr>
        <w:keepNext/>
        <w:spacing w:after="60"/>
      </w:pPr>
      <w:r>
        <w:rPr>
          <w:b w:val="0"/>
          <w:i w:val="0"/>
          <w:sz w:val="19"/>
        </w:rPr>
        <w:t>Parent NFR-PER-001   |   P0   |   R1</w:t>
      </w:r>
    </w:p>
    <w:p>
      <w:pPr>
        <w:spacing w:after="60"/>
      </w:pPr>
      <w:r>
        <w:rPr>
          <w:b/>
          <w:i w:val="0"/>
        </w:rPr>
        <w:t xml:space="preserve">Required target: </w:t>
      </w:r>
      <w:r>
        <w:rPr>
          <w:b w:val="0"/>
          <w:i w:val="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p>
      <w:pPr>
        <w:spacing w:after="60"/>
      </w:pPr>
      <w:r>
        <w:rPr>
          <w:b/>
          <w:i w:val="0"/>
        </w:rPr>
        <w:t xml:space="preserve">Procedure: </w:t>
      </w:r>
      <w:r>
        <w:rPr>
          <w:b w:val="0"/>
          <w:i w:val="0"/>
        </w:rPr>
        <w:t>Instrument action start, usable response and durable confirmation for reads, 100-row lists, saves and approvals separately. Run the complete peak and soak profile with concurrent background work; report per tenant p95, p99, timeout and error counts.</w:t>
      </w:r>
    </w:p>
    <w:p>
      <w:pPr>
        <w:spacing w:after="60"/>
      </w:pPr>
      <w:r>
        <w:rPr>
          <w:b/>
          <w:i w:val="0"/>
        </w:rPr>
        <w:t xml:space="preserve">Failure rule: </w:t>
      </w:r>
      <w:r>
        <w:rPr>
          <w:b w:val="0"/>
          <w:i w:val="0"/>
        </w:rPr>
        <w:t>Fail any action class or material tenant cohort outside its bound; do not combine fast reads with slow approvals to hide a failure.</w:t>
      </w:r>
    </w:p>
    <w:p>
      <w:bookmarkStart w:id="309" w:name="req_VF_PER_002"/>
      <w:pPr>
        <w:keepNext/>
        <w:spacing w:before="180" w:after="40"/>
      </w:pPr>
      <w:r>
        <w:rPr>
          <w:b/>
          <w:i w:val="0"/>
        </w:rPr>
        <w:t>VF-PER-002   Dashboard response</w:t>
      </w:r>
      <w:bookmarkEnd w:id="309"/>
    </w:p>
    <w:p>
      <w:pPr>
        <w:keepNext/>
        <w:spacing w:after="60"/>
      </w:pPr>
      <w:r>
        <w:rPr>
          <w:b w:val="0"/>
          <w:i w:val="0"/>
          <w:sz w:val="19"/>
        </w:rPr>
        <w:t>Parent NFR-PER-002   |   P1   |   R1</w:t>
      </w:r>
    </w:p>
    <w:p>
      <w:pPr>
        <w:spacing w:after="60"/>
      </w:pPr>
      <w:r>
        <w:rPr>
          <w:b/>
          <w:i w:val="0"/>
        </w:rPr>
        <w:t xml:space="preserve">Required target: </w:t>
      </w:r>
      <w:r>
        <w:rPr>
          <w:b w:val="0"/>
          <w:i w:val="0"/>
        </w:rPr>
        <w:t>A standard dashboard of up to ten widgets with approved bounded calculations shall become usable at p95 within 5 seconds and p99 within 10 seconds. Cached and uncached results shall be reported separately. Freshness and calculation status shall remain visible.</w:t>
      </w:r>
    </w:p>
    <w:p>
      <w:pPr>
        <w:spacing w:after="60"/>
      </w:pPr>
      <w:r>
        <w:rPr>
          <w:b/>
          <w:i w:val="0"/>
        </w:rPr>
        <w:t xml:space="preserve">Procedure: </w:t>
      </w:r>
      <w:r>
        <w:rPr>
          <w:b w:val="0"/>
          <w:i w:val="0"/>
        </w:rPr>
        <w:t>Measure initial opening, filter change and drill down for ten-widget dashboards with cold and warm caches as separate populations. Verify data bindings and freshness while imports and report jobs run.</w:t>
      </w:r>
    </w:p>
    <w:p>
      <w:pPr>
        <w:spacing w:after="60"/>
      </w:pPr>
      <w:r>
        <w:rPr>
          <w:b/>
          <w:i w:val="0"/>
        </w:rPr>
        <w:t xml:space="preserve">Failure rule: </w:t>
      </w:r>
      <w:r>
        <w:rPr>
          <w:b w:val="0"/>
          <w:i w:val="0"/>
        </w:rPr>
        <w:t>A placeholder or partially loaded chart is not usable completion. Record failed widgets rather than excluding their samples.</w:t>
      </w:r>
    </w:p>
    <w:p>
      <w:bookmarkStart w:id="310" w:name="req_VF_PER_003"/>
      <w:pPr>
        <w:keepNext/>
        <w:spacing w:before="180" w:after="40"/>
      </w:pPr>
      <w:r>
        <w:rPr>
          <w:b/>
          <w:i w:val="0"/>
        </w:rPr>
        <w:t>VF-PER-003   Search response</w:t>
      </w:r>
      <w:bookmarkEnd w:id="310"/>
    </w:p>
    <w:p>
      <w:pPr>
        <w:keepNext/>
        <w:spacing w:after="60"/>
      </w:pPr>
      <w:r>
        <w:rPr>
          <w:b w:val="0"/>
          <w:i w:val="0"/>
          <w:sz w:val="19"/>
        </w:rPr>
        <w:t>Parent NFR-PER-003   |   P1   |   R1</w:t>
      </w:r>
    </w:p>
    <w:p>
      <w:pPr>
        <w:spacing w:after="60"/>
      </w:pPr>
      <w:r>
        <w:rPr>
          <w:b/>
          <w:i w:val="0"/>
        </w:rPr>
        <w:t xml:space="preserve">Required target: </w:t>
      </w:r>
      <w:r>
        <w:rPr>
          <w:b w:val="0"/>
          <w:i w:val="0"/>
        </w:rPr>
        <w:t>Permission filtered metadata and indexed document searches shall return the first 50 results at p95 within 3 seconds and p99 within 8 seconds under the standard profile. Empty, restricted and multilingual searches shall follow the same confidentiality rules.</w:t>
      </w:r>
    </w:p>
    <w:p>
      <w:pPr>
        <w:spacing w:after="60"/>
      </w:pPr>
      <w:r>
        <w:rPr>
          <w:b/>
          <w:i w:val="0"/>
        </w:rPr>
        <w:t xml:space="preserve">Procedure: </w:t>
      </w:r>
      <w:r>
        <w:rPr>
          <w:b w:val="0"/>
          <w:i w:val="0"/>
        </w:rPr>
        <w:t>Search a synthetic corpus with restricted, multilingual and empty-result queries and retrieve the first fifty permitted results. Inspect counts, suggestions and snippets for hidden markers.</w:t>
      </w:r>
    </w:p>
    <w:p>
      <w:pPr>
        <w:spacing w:after="60"/>
      </w:pPr>
      <w:r>
        <w:rPr>
          <w:b/>
          <w:i w:val="0"/>
        </w:rPr>
        <w:t xml:space="preserve">Failure rule: </w:t>
      </w:r>
      <w:r>
        <w:rPr>
          <w:b w:val="0"/>
          <w:i w:val="0"/>
        </w:rPr>
        <w:t>Latency success cannot compensate for permission leakage. Time the complete first usable page, including policy filtering.</w:t>
      </w:r>
    </w:p>
    <w:p>
      <w:bookmarkStart w:id="311" w:name="req_VF_PER_004"/>
      <w:pPr>
        <w:keepNext/>
        <w:spacing w:before="180" w:after="40"/>
      </w:pPr>
      <w:r>
        <w:rPr>
          <w:b/>
          <w:i w:val="0"/>
        </w:rPr>
        <w:t>VF-PER-004   Import and recalculation throughput</w:t>
      </w:r>
      <w:bookmarkEnd w:id="311"/>
    </w:p>
    <w:p>
      <w:pPr>
        <w:keepNext/>
        <w:spacing w:after="60"/>
      </w:pPr>
      <w:r>
        <w:rPr>
          <w:b w:val="0"/>
          <w:i w:val="0"/>
          <w:sz w:val="19"/>
        </w:rPr>
        <w:t>Parent NFR-PER-004   |   P1   |   R1</w:t>
      </w:r>
    </w:p>
    <w:p>
      <w:pPr>
        <w:spacing w:after="60"/>
      </w:pPr>
      <w:r>
        <w:rPr>
          <w:b/>
          <w:i w:val="0"/>
        </w:rPr>
        <w:t xml:space="preserve">Required target: </w:t>
      </w:r>
      <w:r>
        <w:rPr>
          <w:b w:val="0"/>
          <w:i w:val="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p>
      <w:pPr>
        <w:spacing w:after="60"/>
      </w:pPr>
      <w:r>
        <w:rPr>
          <w:b/>
          <w:i w:val="0"/>
        </w:rPr>
        <w:t xml:space="preserve">Procedure: </w:t>
      </w:r>
      <w:r>
        <w:rPr>
          <w:b w:val="0"/>
          <w:i w:val="0"/>
        </w:rPr>
        <w:t>Run repeated 100000-row, thirty-field imports containing updates, duplicates and rejected rows. Start the bounded 1000-indicator calculation after eligible ingestion and record each stage separately.</w:t>
      </w:r>
    </w:p>
    <w:p>
      <w:pPr>
        <w:spacing w:after="60"/>
      </w:pPr>
      <w:r>
        <w:rPr>
          <w:b/>
          <w:i w:val="0"/>
        </w:rPr>
        <w:t xml:space="preserve">Failure rule: </w:t>
      </w:r>
      <w:r>
        <w:rPr>
          <w:b w:val="0"/>
          <w:i w:val="0"/>
        </w:rPr>
        <w:t>Human approval and external transfer are separately reported exclusions; validation, internal queuing and ordinary retries remain measured.</w:t>
      </w:r>
    </w:p>
    <w:p>
      <w:bookmarkStart w:id="312" w:name="req_VF_PER_005"/>
      <w:pPr>
        <w:keepNext/>
        <w:spacing w:before="180" w:after="40"/>
      </w:pPr>
      <w:r>
        <w:rPr>
          <w:b/>
          <w:i w:val="0"/>
        </w:rPr>
        <w:t>VF-PER-005   Export and report generation</w:t>
      </w:r>
      <w:bookmarkEnd w:id="312"/>
    </w:p>
    <w:p>
      <w:pPr>
        <w:keepNext/>
        <w:spacing w:after="60"/>
      </w:pPr>
      <w:r>
        <w:rPr>
          <w:b w:val="0"/>
          <w:i w:val="0"/>
          <w:sz w:val="19"/>
        </w:rPr>
        <w:t>Parent NFR-PER-005   |   P1   |   R1</w:t>
      </w:r>
    </w:p>
    <w:p>
      <w:pPr>
        <w:spacing w:after="60"/>
      </w:pPr>
      <w:r>
        <w:rPr>
          <w:b/>
          <w:i w:val="0"/>
        </w:rPr>
        <w:t xml:space="preserve">Required target: </w:t>
      </w:r>
      <w:r>
        <w:rPr>
          <w:b w:val="0"/>
          <w:i w:val="0"/>
        </w:rPr>
        <w:t>A standard 100000 row data export or 50 page report with up to 20 charts shall complete at p95 within 5 minutes. Jobs shall acknowledge receipt within 2 seconds, expose progress and support cancellation. Larger jobs shall show estimated class and explicit limits.</w:t>
      </w:r>
    </w:p>
    <w:p>
      <w:pPr>
        <w:spacing w:after="60"/>
      </w:pPr>
      <w:r>
        <w:rPr>
          <w:b/>
          <w:i w:val="0"/>
        </w:rPr>
        <w:t xml:space="preserve">Procedure: </w:t>
      </w:r>
      <w:r>
        <w:rPr>
          <w:b w:val="0"/>
          <w:i w:val="0"/>
        </w:rPr>
        <w:t>Generate 100000-row exports and fifty-page reports with twenty charts under mixed load. Measure acknowledgement and finished artifact times, validate content and cancel jobs at several stages.</w:t>
      </w:r>
    </w:p>
    <w:p>
      <w:pPr>
        <w:spacing w:after="60"/>
      </w:pPr>
      <w:r>
        <w:rPr>
          <w:b/>
          <w:i w:val="0"/>
        </w:rPr>
        <w:t xml:space="preserve">Failure rule: </w:t>
      </w:r>
      <w:r>
        <w:rPr>
          <w:b w:val="0"/>
          <w:i w:val="0"/>
        </w:rPr>
        <w:t>A ready link to an incomplete artifact fails. Permission revocation before download must prevent retrieval even when performance targets passed.</w:t>
      </w:r>
    </w:p>
    <w:p>
      <w:bookmarkStart w:id="313" w:name="req_VF_PER_006"/>
      <w:pPr>
        <w:keepNext/>
        <w:spacing w:before="180" w:after="40"/>
      </w:pPr>
      <w:r>
        <w:rPr>
          <w:b/>
          <w:i w:val="0"/>
        </w:rPr>
        <w:t>VF-PER-006   Data freshness</w:t>
      </w:r>
      <w:bookmarkEnd w:id="313"/>
    </w:p>
    <w:p>
      <w:pPr>
        <w:keepNext/>
        <w:spacing w:after="60"/>
      </w:pPr>
      <w:r>
        <w:rPr>
          <w:b w:val="0"/>
          <w:i w:val="0"/>
          <w:sz w:val="19"/>
        </w:rPr>
        <w:t>Parent NFR-PER-006   |   P0   |   R1</w:t>
      </w:r>
    </w:p>
    <w:p>
      <w:pPr>
        <w:spacing w:after="60"/>
      </w:pPr>
      <w:r>
        <w:rPr>
          <w:b/>
          <w:i w:val="0"/>
        </w:rPr>
        <w:t xml:space="preserve">Required target: </w:t>
      </w:r>
      <w:r>
        <w:rPr>
          <w:b w:val="0"/>
          <w:i w:val="0"/>
        </w:rPr>
        <w:t>After a submission is approved and its bounded calculation finishes, live dashboards shall reflect the new approved result within 60 seconds at p95. External source cadence and human review delays shall be displayed separately rather than hidden in this metric.</w:t>
      </w:r>
    </w:p>
    <w:p>
      <w:pPr>
        <w:spacing w:after="60"/>
      </w:pPr>
      <w:r>
        <w:rPr>
          <w:b/>
          <w:i w:val="0"/>
        </w:rPr>
        <w:t xml:space="preserve">Procedure: </w:t>
      </w:r>
      <w:r>
        <w:rPr>
          <w:b w:val="0"/>
          <w:i w:val="0"/>
        </w:rPr>
        <w:t>Record source receipt, validation, approval, calculation completion and first visible updated dashboard result. Use version identifiers to prove the new result is actually shown.</w:t>
      </w:r>
    </w:p>
    <w:p>
      <w:pPr>
        <w:spacing w:after="60"/>
      </w:pPr>
      <w:r>
        <w:rPr>
          <w:b/>
          <w:i w:val="0"/>
        </w:rPr>
        <w:t xml:space="preserve">Failure rule: </w:t>
      </w:r>
      <w:r>
        <w:rPr>
          <w:b w:val="0"/>
          <w:i w:val="0"/>
        </w:rPr>
        <w:t>Measure the sixty-second propagation from calculation completion, while separately exposing collection and human review delay.</w:t>
      </w:r>
    </w:p>
    <w:p>
      <w:bookmarkStart w:id="314" w:name="req_VF_PER_007"/>
      <w:pPr>
        <w:keepNext/>
        <w:spacing w:before="180" w:after="40"/>
      </w:pPr>
      <w:r>
        <w:rPr>
          <w:b/>
          <w:i w:val="0"/>
        </w:rPr>
        <w:t>VF-PER-007   AI responsiveness</w:t>
      </w:r>
      <w:bookmarkEnd w:id="314"/>
    </w:p>
    <w:p>
      <w:pPr>
        <w:keepNext/>
        <w:spacing w:after="60"/>
      </w:pPr>
      <w:r>
        <w:rPr>
          <w:b w:val="0"/>
          <w:i w:val="0"/>
          <w:sz w:val="19"/>
        </w:rPr>
        <w:t>Parent NFR-PER-007   |   P1   |   R1</w:t>
      </w:r>
    </w:p>
    <w:p>
      <w:pPr>
        <w:spacing w:after="60"/>
      </w:pPr>
      <w:r>
        <w:rPr>
          <w:b/>
          <w:i w:val="0"/>
        </w:rPr>
        <w:t xml:space="preserve">Required target: </w:t>
      </w:r>
      <w:r>
        <w:rPr>
          <w:b w:val="0"/>
          <w:i w:val="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p>
      <w:pPr>
        <w:spacing w:after="60"/>
      </w:pPr>
      <w:r>
        <w:rPr>
          <w:b/>
          <w:i w:val="0"/>
        </w:rPr>
        <w:t xml:space="preserve">Procedure: </w:t>
      </w:r>
      <w:r>
        <w:rPr>
          <w:b w:val="0"/>
          <w:i w:val="0"/>
        </w:rPr>
        <w:t>Run representative supported question sets by use case and model configuration. Measure acknowledgement, first useful response and completed answer, including policy checks and numeric tools.</w:t>
      </w:r>
    </w:p>
    <w:p>
      <w:pPr>
        <w:spacing w:after="60"/>
      </w:pPr>
      <w:r>
        <w:rPr>
          <w:b/>
          <w:i w:val="0"/>
        </w:rPr>
        <w:t xml:space="preserve">Failure rule: </w:t>
      </w:r>
      <w:r>
        <w:rPr>
          <w:b w:val="0"/>
          <w:i w:val="0"/>
        </w:rPr>
        <w:t>A generic waiting message is not useful response. Provider timeout must preserve the question and offer the manual route without unapproved fallback.</w:t>
      </w:r>
    </w:p>
    <w:p>
      <w:bookmarkStart w:id="315" w:name="req_VF_CAP_001"/>
      <w:pPr>
        <w:keepNext/>
        <w:spacing w:before="180" w:after="40"/>
      </w:pPr>
      <w:r>
        <w:rPr>
          <w:b/>
          <w:i w:val="0"/>
        </w:rPr>
        <w:t>VF-CAP-001   Supported object limits</w:t>
      </w:r>
      <w:bookmarkEnd w:id="315"/>
    </w:p>
    <w:p>
      <w:pPr>
        <w:keepNext/>
        <w:spacing w:after="60"/>
      </w:pPr>
      <w:r>
        <w:rPr>
          <w:b w:val="0"/>
          <w:i w:val="0"/>
          <w:sz w:val="19"/>
        </w:rPr>
        <w:t>Parent NFR-CAP-001   |   P1   |   R1</w:t>
      </w:r>
    </w:p>
    <w:p>
      <w:pPr>
        <w:spacing w:after="60"/>
      </w:pPr>
      <w:r>
        <w:rPr>
          <w:b/>
          <w:i w:val="0"/>
        </w:rPr>
        <w:t xml:space="preserve">Required target: </w:t>
      </w:r>
      <w:r>
        <w:rPr>
          <w:b w:val="0"/>
          <w:i w:val="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p>
      <w:pPr>
        <w:spacing w:after="60"/>
      </w:pPr>
      <w:r>
        <w:rPr>
          <w:b/>
          <w:i w:val="0"/>
        </w:rPr>
        <w:t xml:space="preserve">Procedure: </w:t>
      </w:r>
      <w:r>
        <w:rPr>
          <w:b w:val="0"/>
          <w:i w:val="0"/>
        </w:rPr>
        <w:t>Test 199, 200 and 201 questions; 99, 100 and 101 repeat entries; each file boundary and one million-row async import. Exercise representative combinations and preservation of existing drafts.</w:t>
      </w:r>
    </w:p>
    <w:p>
      <w:pPr>
        <w:spacing w:after="60"/>
      </w:pPr>
      <w:r>
        <w:rPr>
          <w:b/>
          <w:i w:val="0"/>
        </w:rPr>
        <w:t xml:space="preserve">Failure rule: </w:t>
      </w:r>
      <w:r>
        <w:rPr>
          <w:b w:val="0"/>
          <w:i w:val="0"/>
        </w:rPr>
        <w:t>Document decimal versus binary file size units before qualification. Advertised limits must not be reduced by an undocumented frontend constraint.</w:t>
      </w:r>
    </w:p>
    <w:p>
      <w:bookmarkStart w:id="316" w:name="req_VF_CAP_002"/>
      <w:pPr>
        <w:keepNext/>
        <w:spacing w:before="180" w:after="40"/>
      </w:pPr>
      <w:r>
        <w:rPr>
          <w:b/>
          <w:i w:val="0"/>
        </w:rPr>
        <w:t>VF-CAP-002   Scaling and workload isolation</w:t>
      </w:r>
      <w:bookmarkEnd w:id="316"/>
    </w:p>
    <w:p>
      <w:pPr>
        <w:keepNext/>
        <w:spacing w:after="60"/>
      </w:pPr>
      <w:r>
        <w:rPr>
          <w:b w:val="0"/>
          <w:i w:val="0"/>
          <w:sz w:val="19"/>
        </w:rPr>
        <w:t>Parent NFR-CAP-002   |   P0   |   R1</w:t>
      </w:r>
    </w:p>
    <w:p>
      <w:pPr>
        <w:spacing w:after="60"/>
      </w:pPr>
      <w:r>
        <w:rPr>
          <w:b/>
          <w:i w:val="0"/>
        </w:rPr>
        <w:t xml:space="preserve">Required target: </w:t>
      </w:r>
      <w:r>
        <w:rPr>
          <w:b w:val="0"/>
          <w:i w:val="0"/>
        </w:rPr>
        <w:t>The service shall admit, queue or limit work predictably as demand rises. A large tenant import or AI job shall not cause unrelated tenants to miss core service targets during the baseline workload. Bursts shall recover without unbounded queues.</w:t>
      </w:r>
    </w:p>
    <w:p>
      <w:pPr>
        <w:spacing w:after="60"/>
      </w:pPr>
      <w:r>
        <w:rPr>
          <w:b/>
          <w:i w:val="0"/>
        </w:rPr>
        <w:t xml:space="preserve">Procedure: </w:t>
      </w:r>
      <w:r>
        <w:rPr>
          <w:b w:val="0"/>
          <w:i w:val="0"/>
        </w:rPr>
        <w:t>Apply the five-minute twofold arrival burst and a noisy tenant bulk workload while representative other tenants save and approve. Measure queue depth, rejections and recovery to baseline.</w:t>
      </w:r>
    </w:p>
    <w:p>
      <w:pPr>
        <w:spacing w:after="60"/>
      </w:pPr>
      <w:r>
        <w:rPr>
          <w:b/>
          <w:i w:val="0"/>
        </w:rPr>
        <w:t xml:space="preserve">Failure rule: </w:t>
      </w:r>
      <w:r>
        <w:rPr>
          <w:b w:val="0"/>
          <w:i w:val="0"/>
        </w:rPr>
        <w:t>Fail unbounded queue growth, unexplained starvation or target violations hidden by service-wide averages.</w:t>
      </w:r>
    </w:p>
    <w:p>
      <w:bookmarkStart w:id="317" w:name="req_VF_AVL_001"/>
      <w:pPr>
        <w:keepNext/>
        <w:spacing w:before="180" w:after="40"/>
      </w:pPr>
      <w:r>
        <w:rPr>
          <w:b/>
          <w:i w:val="0"/>
        </w:rPr>
        <w:t>VF-AVL-001   Core availability</w:t>
      </w:r>
      <w:bookmarkEnd w:id="317"/>
    </w:p>
    <w:p>
      <w:pPr>
        <w:keepNext/>
        <w:spacing w:after="60"/>
      </w:pPr>
      <w:r>
        <w:rPr>
          <w:b w:val="0"/>
          <w:i w:val="0"/>
          <w:sz w:val="19"/>
        </w:rPr>
        <w:t>Parent NFR-AVL-001   |   P0   |   R1</w:t>
      </w:r>
    </w:p>
    <w:p>
      <w:pPr>
        <w:spacing w:after="60"/>
      </w:pPr>
      <w:r>
        <w:rPr>
          <w:b/>
          <w:i w:val="0"/>
        </w:rPr>
        <w:t xml:space="preserve">Required target: </w:t>
      </w:r>
      <w:r>
        <w:rPr>
          <w:b w:val="0"/>
          <w:i w:val="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p>
      <w:pPr>
        <w:spacing w:after="60"/>
      </w:pPr>
      <w:r>
        <w:rPr>
          <w:b/>
          <w:i w:val="0"/>
        </w:rPr>
        <w:t xml:space="preserve">Procedure: </w:t>
      </w:r>
      <w:r>
        <w:rPr>
          <w:b w:val="0"/>
          <w:i w:val="0"/>
        </w:rPr>
        <w:t>Define successful synthetic journeys for authentication, read, submission, approval and report access; measure monthly bad minutes and failed-request evidence per material cohort.</w:t>
      </w:r>
    </w:p>
    <w:p>
      <w:pPr>
        <w:spacing w:after="60"/>
      </w:pPr>
      <w:r>
        <w:rPr>
          <w:b/>
          <w:i w:val="0"/>
        </w:rPr>
        <w:t xml:space="preserve">Failure rule: </w:t>
      </w:r>
      <w:r>
        <w:rPr>
          <w:b w:val="0"/>
          <w:i w:val="0"/>
        </w:rPr>
        <w:t>Planned maintenance and platform-dependent outages count for this internal objective. A single aggregate availability number is insufficient.</w:t>
      </w:r>
    </w:p>
    <w:p>
      <w:bookmarkStart w:id="318" w:name="req_VF_AVL_002"/>
      <w:pPr>
        <w:keepNext/>
        <w:spacing w:before="180" w:after="40"/>
      </w:pPr>
      <w:r>
        <w:rPr>
          <w:b/>
          <w:i w:val="0"/>
        </w:rPr>
        <w:t>VF-AVL-002   Dependency degradation</w:t>
      </w:r>
      <w:bookmarkEnd w:id="318"/>
    </w:p>
    <w:p>
      <w:pPr>
        <w:keepNext/>
        <w:spacing w:after="60"/>
      </w:pPr>
      <w:r>
        <w:rPr>
          <w:b w:val="0"/>
          <w:i w:val="0"/>
          <w:sz w:val="19"/>
        </w:rPr>
        <w:t>Parent NFR-AVL-002   |   P0   |   R1</w:t>
      </w:r>
    </w:p>
    <w:p>
      <w:pPr>
        <w:spacing w:after="60"/>
      </w:pPr>
      <w:r>
        <w:rPr>
          <w:b/>
          <w:i w:val="0"/>
        </w:rPr>
        <w:t xml:space="preserve">Required target: </w:t>
      </w:r>
      <w:r>
        <w:rPr>
          <w:b w:val="0"/>
          <w:i w:val="0"/>
        </w:rPr>
        <w:t>AI, email, external data collection and BI failures shall be isolated where possible. Users shall see the affected function, stale data and queued actions. Core manual workflows shall remain available when their independent dependencies are healthy.</w:t>
      </w:r>
    </w:p>
    <w:p>
      <w:pPr>
        <w:spacing w:after="60"/>
      </w:pPr>
      <w:r>
        <w:rPr>
          <w:b/>
          <w:i w:val="0"/>
        </w:rPr>
        <w:t xml:space="preserve">Procedure: </w:t>
      </w:r>
      <w:r>
        <w:rPr>
          <w:b w:val="0"/>
          <w:i w:val="0"/>
        </w:rPr>
        <w:t>Independently fail AI, email, survey connector and BI retrieval. Complete manual entry, deterministic calculations and existing approved report access while inspecting queued work and status labels.</w:t>
      </w:r>
    </w:p>
    <w:p>
      <w:pPr>
        <w:spacing w:after="60"/>
      </w:pPr>
      <w:r>
        <w:rPr>
          <w:b/>
          <w:i w:val="0"/>
        </w:rPr>
        <w:t xml:space="preserve">Failure rule: </w:t>
      </w:r>
      <w:r>
        <w:rPr>
          <w:b w:val="0"/>
          <w:i w:val="0"/>
        </w:rPr>
        <w:t>Do not claim isolation when the failed dependency is actually required for the tested journey; declare that dependency and report the affected cohort.</w:t>
      </w:r>
    </w:p>
    <w:p>
      <w:bookmarkStart w:id="319" w:name="req_VF_DR_001"/>
      <w:pPr>
        <w:keepNext/>
        <w:spacing w:before="180" w:after="40"/>
      </w:pPr>
      <w:r>
        <w:rPr>
          <w:b/>
          <w:i w:val="0"/>
        </w:rPr>
        <w:t>VF-DR-001   Disaster recovery</w:t>
      </w:r>
      <w:bookmarkEnd w:id="319"/>
    </w:p>
    <w:p>
      <w:pPr>
        <w:keepNext/>
        <w:spacing w:after="60"/>
      </w:pPr>
      <w:r>
        <w:rPr>
          <w:b w:val="0"/>
          <w:i w:val="0"/>
          <w:sz w:val="19"/>
        </w:rPr>
        <w:t>Parent NFR-DR-001   |   P0   |   R1</w:t>
      </w:r>
    </w:p>
    <w:p>
      <w:pPr>
        <w:spacing w:after="60"/>
      </w:pPr>
      <w:r>
        <w:rPr>
          <w:b/>
          <w:i w:val="0"/>
        </w:rPr>
        <w:t xml:space="preserve">Required target: </w:t>
      </w:r>
      <w:r>
        <w:rPr>
          <w:b w:val="0"/>
          <w:i w:val="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p>
      <w:pPr>
        <w:spacing w:after="60"/>
      </w:pPr>
      <w:r>
        <w:rPr>
          <w:b/>
          <w:i w:val="0"/>
        </w:rPr>
        <w:t xml:space="preserve">Procedure: </w:t>
      </w:r>
      <w:r>
        <w:rPr>
          <w:b w:val="0"/>
          <w:i w:val="0"/>
        </w:rPr>
        <w:t>Declare a simulated regional disaster, restore only in an allowed region and time service recovery. Reconcile records and attachments against the latest accepted receipts and identify any permitted recovery point gap.</w:t>
      </w:r>
    </w:p>
    <w:p>
      <w:pPr>
        <w:spacing w:after="60"/>
      </w:pPr>
      <w:r>
        <w:rPr>
          <w:b/>
          <w:i w:val="0"/>
        </w:rPr>
        <w:t xml:space="preserve">Failure rule: </w:t>
      </w:r>
      <w:r>
        <w:rPr>
          <w:b w:val="0"/>
          <w:i w:val="0"/>
        </w:rPr>
        <w:t>Do not reopen with mismatched governance or missing deletion restrictions. Report actual lost interval and affected accepted writes, not only backup timestamps.</w:t>
      </w:r>
    </w:p>
    <w:p>
      <w:bookmarkStart w:id="320" w:name="req_VF_DR_002"/>
      <w:pPr>
        <w:keepNext/>
        <w:spacing w:before="180" w:after="40"/>
      </w:pPr>
      <w:r>
        <w:rPr>
          <w:b/>
          <w:i w:val="0"/>
        </w:rPr>
        <w:t>VF-DR-002   Ordinary failure durability</w:t>
      </w:r>
      <w:bookmarkEnd w:id="320"/>
    </w:p>
    <w:p>
      <w:pPr>
        <w:keepNext/>
        <w:spacing w:after="60"/>
      </w:pPr>
      <w:r>
        <w:rPr>
          <w:b w:val="0"/>
          <w:i w:val="0"/>
          <w:sz w:val="19"/>
        </w:rPr>
        <w:t>Parent NFR-DR-002   |   P0   |   R1</w:t>
      </w:r>
    </w:p>
    <w:p>
      <w:pPr>
        <w:spacing w:after="60"/>
      </w:pPr>
      <w:r>
        <w:rPr>
          <w:b/>
          <w:i w:val="0"/>
        </w:rPr>
        <w:t xml:space="preserve">Required target: </w:t>
      </w:r>
      <w:r>
        <w:rPr>
          <w:b w:val="0"/>
          <w:i w:val="0"/>
        </w:rPr>
        <w:t>A server acknowledgement of a saved record shall represent durable acceptance under the qualified ordinary single component failure model. Offline local saves shall be clearly distinct. Catastrophic recovery exposure remains governed by NFR-DR-001.</w:t>
      </w:r>
    </w:p>
    <w:p>
      <w:pPr>
        <w:spacing w:after="60"/>
      </w:pPr>
      <w:r>
        <w:rPr>
          <w:b/>
          <w:i w:val="0"/>
        </w:rPr>
        <w:t xml:space="preserve">Procedure: </w:t>
      </w:r>
      <w:r>
        <w:rPr>
          <w:b w:val="0"/>
          <w:i w:val="0"/>
        </w:rPr>
        <w:t>Interrupt qualified individual components during writes and compare client receipts to recovered records, child relationships and files. Repeat around acknowledgement boundaries.</w:t>
      </w:r>
    </w:p>
    <w:p>
      <w:pPr>
        <w:spacing w:after="60"/>
      </w:pPr>
      <w:r>
        <w:rPr>
          <w:b/>
          <w:i w:val="0"/>
        </w:rPr>
        <w:t xml:space="preserve">Failure rule: </w:t>
      </w:r>
      <w:r>
        <w:rPr>
          <w:b w:val="0"/>
          <w:i w:val="0"/>
        </w:rPr>
        <w:t>A successful server receipt must not silently disappear under the ordinary qualified failure model; uncertain client outcomes are reconciled by operation identity.</w:t>
      </w:r>
    </w:p>
    <w:p>
      <w:bookmarkStart w:id="321" w:name="req_VF_DR_003"/>
      <w:pPr>
        <w:keepNext/>
        <w:spacing w:before="180" w:after="40"/>
      </w:pPr>
      <w:r>
        <w:rPr>
          <w:b/>
          <w:i w:val="0"/>
        </w:rPr>
        <w:t>VF-DR-003   Recovery testing and backups</w:t>
      </w:r>
      <w:bookmarkEnd w:id="321"/>
    </w:p>
    <w:p>
      <w:pPr>
        <w:keepNext/>
        <w:spacing w:after="60"/>
      </w:pPr>
      <w:r>
        <w:rPr>
          <w:b w:val="0"/>
          <w:i w:val="0"/>
          <w:sz w:val="19"/>
        </w:rPr>
        <w:t>Parent NFR-DR-003   |   P0   |   R1</w:t>
      </w:r>
    </w:p>
    <w:p>
      <w:pPr>
        <w:spacing w:after="60"/>
      </w:pPr>
      <w:r>
        <w:rPr>
          <w:b/>
          <w:i w:val="0"/>
        </w:rPr>
        <w:t xml:space="preserve">Required target: </w:t>
      </w:r>
      <w:r>
        <w:rPr>
          <w:b w:val="0"/>
          <w:i w:val="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p>
      <w:pPr>
        <w:spacing w:after="60"/>
      </w:pPr>
      <w:r>
        <w:rPr>
          <w:b/>
          <w:i w:val="0"/>
        </w:rPr>
        <w:t xml:space="preserve">Procedure: </w:t>
      </w:r>
      <w:r>
        <w:rPr>
          <w:b w:val="0"/>
          <w:i w:val="0"/>
        </w:rPr>
        <w:t>Run monthly representative restores and quarterly disaster exercises. Test protected backup access, attachment integrity, snapshot consistency, key recovery and deletion replay before reopening.</w:t>
      </w:r>
    </w:p>
    <w:p>
      <w:pPr>
        <w:spacing w:after="60"/>
      </w:pPr>
      <w:r>
        <w:rPr>
          <w:b/>
          <w:i w:val="0"/>
        </w:rPr>
        <w:t xml:space="preserve">Failure rule: </w:t>
      </w:r>
      <w:r>
        <w:rPr>
          <w:b w:val="0"/>
          <w:i w:val="0"/>
        </w:rPr>
        <w:t>A successful archive download is not a completed restore. Record retention exceptions and their owner instead of extending the default window silently.</w:t>
      </w:r>
    </w:p>
    <w:p>
      <w:bookmarkStart w:id="322" w:name="req_VF_DIN_001"/>
      <w:pPr>
        <w:keepNext/>
        <w:spacing w:before="180" w:after="40"/>
      </w:pPr>
      <w:r>
        <w:rPr>
          <w:b/>
          <w:i w:val="0"/>
        </w:rPr>
        <w:t>VF-DIN-001   Calculation correctness</w:t>
      </w:r>
      <w:bookmarkEnd w:id="322"/>
    </w:p>
    <w:p>
      <w:pPr>
        <w:keepNext/>
        <w:spacing w:after="60"/>
      </w:pPr>
      <w:r>
        <w:rPr>
          <w:b w:val="0"/>
          <w:i w:val="0"/>
          <w:sz w:val="19"/>
        </w:rPr>
        <w:t>Parent NFR-DIN-001   |   P0   |   R1</w:t>
      </w:r>
    </w:p>
    <w:p>
      <w:pPr>
        <w:spacing w:after="60"/>
      </w:pPr>
      <w:r>
        <w:rPr>
          <w:b/>
          <w:i w:val="0"/>
        </w:rPr>
        <w:t xml:space="preserve">Required target: </w:t>
      </w:r>
      <w:r>
        <w:rPr>
          <w:b w:val="0"/>
          <w:i w:val="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p>
      <w:pPr>
        <w:spacing w:after="60"/>
      </w:pPr>
      <w:r>
        <w:rPr>
          <w:b/>
          <w:i w:val="0"/>
        </w:rPr>
        <w:t xml:space="preserve">Procedure: </w:t>
      </w:r>
      <w:r>
        <w:rPr>
          <w:b w:val="0"/>
          <w:i w:val="0"/>
        </w:rPr>
        <w:t>Run CAL01 through CAL20 and their version, correction, missingness and permission variants against independently prepared expected results. Compare raw and displayed decimals and report bindings.</w:t>
      </w:r>
    </w:p>
    <w:p>
      <w:pPr>
        <w:spacing w:after="60"/>
      </w:pPr>
      <w:r>
        <w:rPr>
          <w:b/>
          <w:i w:val="0"/>
        </w:rPr>
        <w:t xml:space="preserve">Failure rule: </w:t>
      </w:r>
      <w:r>
        <w:rPr>
          <w:b w:val="0"/>
          <w:i w:val="0"/>
        </w:rPr>
        <w:t>Any unexplained official result discrepancy blocks release. Numerical tolerance applies only when the approved calculation contract defines it.</w:t>
      </w:r>
    </w:p>
    <w:p>
      <w:bookmarkStart w:id="323" w:name="req_VF_DIN_002"/>
      <w:pPr>
        <w:keepNext/>
        <w:spacing w:before="180" w:after="40"/>
      </w:pPr>
      <w:r>
        <w:rPr>
          <w:b/>
          <w:i w:val="0"/>
        </w:rPr>
        <w:t>VF-DIN-002   Concurrent change integrity</w:t>
      </w:r>
      <w:bookmarkEnd w:id="323"/>
    </w:p>
    <w:p>
      <w:pPr>
        <w:keepNext/>
        <w:spacing w:after="60"/>
      </w:pPr>
      <w:r>
        <w:rPr>
          <w:b w:val="0"/>
          <w:i w:val="0"/>
          <w:sz w:val="19"/>
        </w:rPr>
        <w:t>Parent NFR-DIN-002   |   P0   |   R1</w:t>
      </w:r>
    </w:p>
    <w:p>
      <w:pPr>
        <w:spacing w:after="60"/>
      </w:pPr>
      <w:r>
        <w:rPr>
          <w:b/>
          <w:i w:val="0"/>
        </w:rPr>
        <w:t xml:space="preserve">Required target: </w:t>
      </w:r>
      <w:r>
        <w:rPr>
          <w:b w:val="0"/>
          <w:i w:val="0"/>
        </w:rPr>
        <w:t>Concurrent edits and retries shall not silently lose updates, duplicate achievements or approve stale versions. Business transactions shall either complete with recorded effects or return a recoverable explicit partial outcome where the operation permits one.</w:t>
      </w:r>
    </w:p>
    <w:p>
      <w:pPr>
        <w:spacing w:after="60"/>
      </w:pPr>
      <w:r>
        <w:rPr>
          <w:b/>
          <w:i w:val="0"/>
        </w:rPr>
        <w:t xml:space="preserve">Procedure: </w:t>
      </w:r>
      <w:r>
        <w:rPr>
          <w:b w:val="0"/>
          <w:i w:val="0"/>
        </w:rPr>
        <w:t>Race two edits, two approvals, repeated import commands and interrupted bulk jobs. Verify declared atomic boundaries, stale rejection and complete per-item receipts.</w:t>
      </w:r>
    </w:p>
    <w:p>
      <w:pPr>
        <w:spacing w:after="60"/>
      </w:pPr>
      <w:r>
        <w:rPr>
          <w:b/>
          <w:i w:val="0"/>
        </w:rPr>
        <w:t xml:space="preserve">Failure rule: </w:t>
      </w:r>
      <w:r>
        <w:rPr>
          <w:b w:val="0"/>
          <w:i w:val="0"/>
        </w:rPr>
        <w:t>No silent last-write overwrite, duplicate intended result or approval of a new candidate using an old decision is acceptable.</w:t>
      </w:r>
    </w:p>
    <w:p>
      <w:bookmarkStart w:id="324" w:name="req_VF_IAM_001"/>
      <w:pPr>
        <w:keepNext/>
        <w:spacing w:before="180" w:after="40"/>
      </w:pPr>
      <w:r>
        <w:rPr>
          <w:b/>
          <w:i w:val="0"/>
        </w:rPr>
        <w:t>VF-IAM-001   Revocation time</w:t>
      </w:r>
      <w:bookmarkEnd w:id="324"/>
    </w:p>
    <w:p>
      <w:pPr>
        <w:keepNext/>
        <w:spacing w:after="60"/>
      </w:pPr>
      <w:r>
        <w:rPr>
          <w:b w:val="0"/>
          <w:i w:val="0"/>
          <w:sz w:val="19"/>
        </w:rPr>
        <w:t>Parent NFR-IAM-001   |   P0   |   R1</w:t>
      </w:r>
    </w:p>
    <w:p>
      <w:pPr>
        <w:spacing w:after="60"/>
      </w:pPr>
      <w:r>
        <w:rPr>
          <w:b/>
          <w:i w:val="0"/>
        </w:rPr>
        <w:t xml:space="preserve">Required target: </w:t>
      </w:r>
      <w:r>
        <w:rPr>
          <w:b w:val="0"/>
          <w:i w:val="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p>
      <w:pPr>
        <w:spacing w:after="60"/>
      </w:pPr>
      <w:r>
        <w:rPr>
          <w:b/>
          <w:i w:val="0"/>
        </w:rPr>
        <w:t xml:space="preserve">Procedure: </w:t>
      </w:r>
      <w:r>
        <w:rPr>
          <w:b w:val="0"/>
          <w:i w:val="0"/>
        </w:rPr>
        <w:t>Revoke users, grants and service credentials while polling interface, API, search, AI, artifacts and pending sensitive jobs. Measure from platform receipt of the revocation.</w:t>
      </w:r>
    </w:p>
    <w:p>
      <w:pPr>
        <w:spacing w:after="60"/>
      </w:pPr>
      <w:r>
        <w:rPr>
          <w:b/>
          <w:i w:val="0"/>
        </w:rPr>
        <w:t xml:space="preserve">Failure rule: </w:t>
      </w:r>
      <w:r>
        <w:rPr>
          <w:b w:val="0"/>
          <w:i w:val="0"/>
        </w:rPr>
        <w:t>The sixty-second bound is a maximum, not a percentile allowance. Any protected access after it fails the gate; execution reauthorisation remains mandatory.</w:t>
      </w:r>
    </w:p>
    <w:p>
      <w:bookmarkStart w:id="325" w:name="req_VF_OFF_001"/>
      <w:pPr>
        <w:keepNext/>
        <w:spacing w:before="180" w:after="40"/>
      </w:pPr>
      <w:r>
        <w:rPr>
          <w:b/>
          <w:i w:val="0"/>
        </w:rPr>
        <w:t>VF-OFF-001   Offline authority window</w:t>
      </w:r>
      <w:bookmarkEnd w:id="325"/>
    </w:p>
    <w:p>
      <w:pPr>
        <w:keepNext/>
        <w:spacing w:after="60"/>
      </w:pPr>
      <w:r>
        <w:rPr>
          <w:b w:val="0"/>
          <w:i w:val="0"/>
          <w:sz w:val="19"/>
        </w:rPr>
        <w:t>Parent NFR-OFF-001   |   P0   |   R1</w:t>
      </w:r>
    </w:p>
    <w:p>
      <w:pPr>
        <w:spacing w:after="60"/>
      </w:pPr>
      <w:r>
        <w:rPr>
          <w:b/>
          <w:i w:val="0"/>
        </w:rPr>
        <w:t xml:space="preserve">Required target: </w:t>
      </w:r>
      <w:r>
        <w:rPr>
          <w:b w:val="0"/>
          <w:i w:val="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p>
      <w:pPr>
        <w:spacing w:after="60"/>
      </w:pPr>
      <w:r>
        <w:rPr>
          <w:b/>
          <w:i w:val="0"/>
        </w:rPr>
        <w:t xml:space="preserve">Procedure: </w:t>
      </w:r>
      <w:r>
        <w:rPr>
          <w:b w:val="0"/>
          <w:i w:val="0"/>
        </w:rPr>
        <w:t>Qualify local expiry, restart, clock rollback, account switching, prolonged disconnection and revoked reconnect. Test ordinary and restricted packages under the chosen device controls.</w:t>
      </w:r>
    </w:p>
    <w:p>
      <w:pPr>
        <w:spacing w:after="60"/>
      </w:pPr>
      <w:r>
        <w:rPr>
          <w:b/>
          <w:i w:val="0"/>
        </w:rPr>
        <w:t xml:space="preserve">Failure rule: </w:t>
      </w:r>
      <w:r>
        <w:rPr>
          <w:b w:val="0"/>
          <w:i w:val="0"/>
        </w:rPr>
        <w:t>If the device cannot enforce the authority window reliably, do not qualify sensitive offline use. Remote wipe is recorded as best effort.</w:t>
      </w:r>
    </w:p>
    <w:p>
      <w:bookmarkStart w:id="326" w:name="req_VF_SEC_001"/>
      <w:pPr>
        <w:keepNext/>
        <w:spacing w:before="180" w:after="40"/>
      </w:pPr>
      <w:r>
        <w:rPr>
          <w:b/>
          <w:i w:val="0"/>
        </w:rPr>
        <w:t>VF-SEC-001   Release security threshold</w:t>
      </w:r>
      <w:bookmarkEnd w:id="326"/>
    </w:p>
    <w:p>
      <w:pPr>
        <w:keepNext/>
        <w:spacing w:after="60"/>
      </w:pPr>
      <w:r>
        <w:rPr>
          <w:b w:val="0"/>
          <w:i w:val="0"/>
          <w:sz w:val="19"/>
        </w:rPr>
        <w:t>Parent NFR-SEC-001   |   P0   |   R1</w:t>
      </w:r>
    </w:p>
    <w:p>
      <w:pPr>
        <w:spacing w:after="60"/>
      </w:pPr>
      <w:r>
        <w:rPr>
          <w:b/>
          <w:i w:val="0"/>
        </w:rPr>
        <w:t xml:space="preserve">Required target: </w:t>
      </w:r>
      <w:r>
        <w:rPr>
          <w:b w:val="0"/>
          <w:i w:val="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p>
      <w:pPr>
        <w:spacing w:after="60"/>
      </w:pPr>
      <w:r>
        <w:rPr>
          <w:b/>
          <w:i w:val="0"/>
        </w:rPr>
        <w:t xml:space="preserve">Procedure: </w:t>
      </w:r>
      <w:r>
        <w:rPr>
          <w:b w:val="0"/>
          <w:i w:val="0"/>
        </w:rPr>
        <w:t>Assemble applicable control results, independent assessment, retest evidence and scoped mitigation records. Exercise the release gate with intentionally unresolved critical and high findings.</w:t>
      </w:r>
    </w:p>
    <w:p>
      <w:pPr>
        <w:spacing w:after="60"/>
      </w:pPr>
      <w:r>
        <w:rPr>
          <w:b/>
          <w:i w:val="0"/>
        </w:rPr>
        <w:t xml:space="preserve">Failure rule: </w:t>
      </w:r>
      <w:r>
        <w:rPr>
          <w:b w:val="0"/>
          <w:i w:val="0"/>
        </w:rPr>
        <w:t>Any unmitigated exposure affecting confidentiality, integrity or access blocks release; a product priority waiver cannot override this gate.</w:t>
      </w:r>
    </w:p>
    <w:p>
      <w:bookmarkStart w:id="327" w:name="req_VF_SEC_002"/>
      <w:pPr>
        <w:keepNext/>
        <w:spacing w:before="180" w:after="40"/>
      </w:pPr>
      <w:r>
        <w:rPr>
          <w:b/>
          <w:i w:val="0"/>
        </w:rPr>
        <w:t>VF-SEC-002   Incident and remediation timing</w:t>
      </w:r>
      <w:bookmarkEnd w:id="327"/>
    </w:p>
    <w:p>
      <w:pPr>
        <w:keepNext/>
        <w:spacing w:after="60"/>
      </w:pPr>
      <w:r>
        <w:rPr>
          <w:b w:val="0"/>
          <w:i w:val="0"/>
          <w:sz w:val="19"/>
        </w:rPr>
        <w:t>Parent NFR-SEC-002   |   P0   |   R1</w:t>
      </w:r>
    </w:p>
    <w:p>
      <w:pPr>
        <w:spacing w:after="60"/>
      </w:pPr>
      <w:r>
        <w:rPr>
          <w:b/>
          <w:i w:val="0"/>
        </w:rPr>
        <w:t xml:space="preserve">Required target: </w:t>
      </w:r>
      <w:r>
        <w:rPr>
          <w:b w:val="0"/>
          <w:i w:val="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p>
      <w:pPr>
        <w:spacing w:after="60"/>
      </w:pPr>
      <w:r>
        <w:rPr>
          <w:b/>
          <w:i w:val="0"/>
        </w:rPr>
        <w:t xml:space="preserve">Procedure: </w:t>
      </w:r>
      <w:r>
        <w:rPr>
          <w:b w:val="0"/>
          <w:i w:val="0"/>
        </w:rPr>
        <w:t>Time a simulated critical incident from detection to acknowledgement and containment start, and a confirmed vulnerability from confirmation to mitigation and permanent fix.</w:t>
      </w:r>
    </w:p>
    <w:p>
      <w:pPr>
        <w:spacing w:after="60"/>
      </w:pPr>
      <w:r>
        <w:rPr>
          <w:b/>
          <w:i w:val="0"/>
        </w:rPr>
        <w:t xml:space="preserve">Failure rule: </w:t>
      </w:r>
      <w:r>
        <w:rPr>
          <w:b w:val="0"/>
          <w:i w:val="0"/>
        </w:rPr>
        <w:t>Record missed targets, escalation and continuing protection. A notification without an accountable responder does not satisfy acknowledgement.</w:t>
      </w:r>
    </w:p>
    <w:p>
      <w:bookmarkStart w:id="328" w:name="req_VF_AUD_001"/>
      <w:pPr>
        <w:keepNext/>
        <w:spacing w:before="180" w:after="40"/>
      </w:pPr>
      <w:r>
        <w:rPr>
          <w:b/>
          <w:i w:val="0"/>
        </w:rPr>
        <w:t>VF-AUD-001   Audit coverage and retention</w:t>
      </w:r>
      <w:bookmarkEnd w:id="328"/>
    </w:p>
    <w:p>
      <w:pPr>
        <w:keepNext/>
        <w:spacing w:after="60"/>
      </w:pPr>
      <w:r>
        <w:rPr>
          <w:b w:val="0"/>
          <w:i w:val="0"/>
          <w:sz w:val="19"/>
        </w:rPr>
        <w:t>Parent NFR-AUD-001   |   P0   |   R1</w:t>
      </w:r>
    </w:p>
    <w:p>
      <w:pPr>
        <w:spacing w:after="60"/>
      </w:pPr>
      <w:r>
        <w:rPr>
          <w:b/>
          <w:i w:val="0"/>
        </w:rPr>
        <w:t xml:space="preserve">Required target: </w:t>
      </w:r>
      <w:r>
        <w:rPr>
          <w:b w:val="0"/>
          <w:i w:val="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p>
      <w:pPr>
        <w:spacing w:after="60"/>
      </w:pPr>
      <w:r>
        <w:rPr>
          <w:b/>
          <w:i w:val="0"/>
        </w:rPr>
        <w:t xml:space="preserve">Procedure: </w:t>
      </w:r>
      <w:r>
        <w:rPr>
          <w:b w:val="0"/>
          <w:i w:val="0"/>
        </w:rPr>
        <w:t>Execute every audit event class in section 35, including denied operations, restricted reads and privileged actions. Reconcile command receipts to immutable events and a permitted audit export.</w:t>
      </w:r>
    </w:p>
    <w:p>
      <w:pPr>
        <w:spacing w:after="60"/>
      </w:pPr>
      <w:r>
        <w:rPr>
          <w:b/>
          <w:i w:val="0"/>
        </w:rPr>
        <w:t xml:space="preserve">Failure rule: </w:t>
      </w:r>
      <w:r>
        <w:rPr>
          <w:b w:val="0"/>
          <w:i w:val="0"/>
        </w:rPr>
        <w:t>Verify default metadata expiry and longer governed business retention separately. Inspect events for secrets and unnecessary personal payloads.</w:t>
      </w:r>
    </w:p>
    <w:p>
      <w:bookmarkStart w:id="329" w:name="req_VF_PRV_001"/>
      <w:pPr>
        <w:keepNext/>
        <w:spacing w:before="180" w:after="40"/>
      </w:pPr>
      <w:r>
        <w:rPr>
          <w:b/>
          <w:i w:val="0"/>
        </w:rPr>
        <w:t>VF-PRV-001   Deletion propagation</w:t>
      </w:r>
      <w:bookmarkEnd w:id="329"/>
    </w:p>
    <w:p>
      <w:pPr>
        <w:keepNext/>
        <w:spacing w:after="60"/>
      </w:pPr>
      <w:r>
        <w:rPr>
          <w:b w:val="0"/>
          <w:i w:val="0"/>
          <w:sz w:val="19"/>
        </w:rPr>
        <w:t>Parent NFR-PRV-001   |   P0   |   R1</w:t>
      </w:r>
    </w:p>
    <w:p>
      <w:pPr>
        <w:spacing w:after="60"/>
      </w:pPr>
      <w:r>
        <w:rPr>
          <w:b/>
          <w:i w:val="0"/>
        </w:rPr>
        <w:t xml:space="preserve">Required target: </w:t>
      </w:r>
      <w:r>
        <w:rPr>
          <w:b w:val="0"/>
          <w:i w:val="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p>
      <w:pPr>
        <w:spacing w:after="60"/>
      </w:pPr>
      <w:r>
        <w:rPr>
          <w:b/>
          <w:i w:val="0"/>
        </w:rPr>
        <w:t xml:space="preserve">Procedure: </w:t>
      </w:r>
      <w:r>
        <w:rPr>
          <w:b w:val="0"/>
          <w:i w:val="0"/>
        </w:rPr>
        <w:t>Run a deletion with no hold, one with a partial hold and one with a failed derivative store. Query primary records, search, AI, caches and generated artifacts after the active-store deadline.</w:t>
      </w:r>
    </w:p>
    <w:p>
      <w:pPr>
        <w:spacing w:after="60"/>
      </w:pPr>
      <w:r>
        <w:rPr>
          <w:b/>
          <w:i w:val="0"/>
        </w:rPr>
        <w:t xml:space="preserve">Failure rule: </w:t>
      </w:r>
      <w:r>
        <w:rPr>
          <w:b w:val="0"/>
          <w:i w:val="0"/>
        </w:rPr>
        <w:t>A partial manifest cannot be labelled complete. Restore an old backup and verify deletion before exposing restored content.</w:t>
      </w:r>
    </w:p>
    <w:p>
      <w:bookmarkStart w:id="330" w:name="req_VF_PRV_002"/>
      <w:pPr>
        <w:keepNext/>
        <w:spacing w:before="180" w:after="40"/>
      </w:pPr>
      <w:r>
        <w:rPr>
          <w:b/>
          <w:i w:val="0"/>
        </w:rPr>
        <w:t>VF-PRV-002   Retention defaults and proof</w:t>
      </w:r>
      <w:bookmarkEnd w:id="330"/>
    </w:p>
    <w:p>
      <w:pPr>
        <w:keepNext/>
        <w:spacing w:after="60"/>
      </w:pPr>
      <w:r>
        <w:rPr>
          <w:b w:val="0"/>
          <w:i w:val="0"/>
          <w:sz w:val="19"/>
        </w:rPr>
        <w:t>Parent NFR-PRV-002   |   P0   |   R1</w:t>
      </w:r>
    </w:p>
    <w:p>
      <w:pPr>
        <w:spacing w:after="60"/>
      </w:pPr>
      <w:r>
        <w:rPr>
          <w:b/>
          <w:i w:val="0"/>
        </w:rPr>
        <w:t xml:space="preserve">Required target: </w:t>
      </w:r>
      <w:r>
        <w:rPr>
          <w:b w:val="0"/>
          <w:i w:val="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p>
      <w:pPr>
        <w:spacing w:after="60"/>
      </w:pPr>
      <w:r>
        <w:rPr>
          <w:b/>
          <w:i w:val="0"/>
        </w:rPr>
        <w:t xml:space="preserve">Procedure: </w:t>
      </w:r>
      <w:r>
        <w:rPr>
          <w:b w:val="0"/>
          <w:i w:val="0"/>
        </w:rPr>
        <w:t>Create synthetic objects in each retention class, advance qualified expiry conditions and inspect scheduled action receipts, holds and exceptions. Confirm policy approval precedes real collection.</w:t>
      </w:r>
    </w:p>
    <w:p>
      <w:pPr>
        <w:spacing w:after="60"/>
      </w:pPr>
      <w:r>
        <w:rPr>
          <w:b/>
          <w:i w:val="0"/>
        </w:rPr>
        <w:t xml:space="preserve">Failure rule: </w:t>
      </w:r>
      <w:r>
        <w:rPr>
          <w:b w:val="0"/>
          <w:i w:val="0"/>
        </w:rPr>
        <w:t>AI content, diagnostic logs, security metadata and business evidence require distinct schedules; hidden orphan copies fail the gate.</w:t>
      </w:r>
    </w:p>
    <w:p>
      <w:bookmarkStart w:id="331" w:name="req_VF_AIQ_001"/>
      <w:pPr>
        <w:keepNext/>
        <w:spacing w:before="180" w:after="40"/>
      </w:pPr>
      <w:r>
        <w:rPr>
          <w:b/>
          <w:i w:val="0"/>
        </w:rPr>
        <w:t>VF-AIQ-001   Evaluation set quality</w:t>
      </w:r>
      <w:bookmarkEnd w:id="331"/>
    </w:p>
    <w:p>
      <w:pPr>
        <w:keepNext/>
        <w:spacing w:after="60"/>
      </w:pPr>
      <w:r>
        <w:rPr>
          <w:b w:val="0"/>
          <w:i w:val="0"/>
          <w:sz w:val="19"/>
        </w:rPr>
        <w:t>Parent NFR-AIQ-001   |   P0   |   R1</w:t>
      </w:r>
    </w:p>
    <w:p>
      <w:pPr>
        <w:spacing w:after="60"/>
      </w:pPr>
      <w:r>
        <w:rPr>
          <w:b/>
          <w:i w:val="0"/>
        </w:rPr>
        <w:t xml:space="preserve">Required target: </w:t>
      </w:r>
      <w:r>
        <w:rPr>
          <w:b w:val="0"/>
          <w:i w:val="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p>
      <w:pPr>
        <w:spacing w:after="60"/>
      </w:pPr>
      <w:r>
        <w:rPr>
          <w:b/>
          <w:i w:val="0"/>
        </w:rPr>
        <w:t xml:space="preserve">Procedure: </w:t>
      </w:r>
      <w:r>
        <w:rPr>
          <w:b w:val="0"/>
          <w:i w:val="0"/>
        </w:rPr>
        <w:t>Review each held out set for at least the required case count where feasible, twenty percent difficult or adversarial cases, language and sector coverage and separation from tuning.</w:t>
      </w:r>
    </w:p>
    <w:p>
      <w:pPr>
        <w:spacing w:after="60"/>
      </w:pPr>
      <w:r>
        <w:rPr>
          <w:b/>
          <w:i w:val="0"/>
        </w:rPr>
        <w:t xml:space="preserve">Failure rule: </w:t>
      </w:r>
      <w:r>
        <w:rPr>
          <w:b w:val="0"/>
          <w:i w:val="0"/>
        </w:rPr>
        <w:t>Specialist small sets need a named risk decision and scope limitation. Duplicated paraphrases do not substitute for representative task coverage.</w:t>
      </w:r>
    </w:p>
    <w:p>
      <w:bookmarkStart w:id="332" w:name="req_VF_AIQ_002"/>
      <w:pPr>
        <w:keepNext/>
        <w:spacing w:before="180" w:after="40"/>
      </w:pPr>
      <w:r>
        <w:rPr>
          <w:b/>
          <w:i w:val="0"/>
        </w:rPr>
        <w:t>VF-AIQ-002   Evidence and numeric accuracy</w:t>
      </w:r>
      <w:bookmarkEnd w:id="332"/>
    </w:p>
    <w:p>
      <w:pPr>
        <w:keepNext/>
        <w:spacing w:after="60"/>
      </w:pPr>
      <w:r>
        <w:rPr>
          <w:b w:val="0"/>
          <w:i w:val="0"/>
          <w:sz w:val="19"/>
        </w:rPr>
        <w:t>Parent NFR-AIQ-002   |   P0   |   R1</w:t>
      </w:r>
    </w:p>
    <w:p>
      <w:pPr>
        <w:spacing w:after="60"/>
      </w:pPr>
      <w:r>
        <w:rPr>
          <w:b/>
          <w:i w:val="0"/>
        </w:rPr>
        <w:t xml:space="preserve">Required target: </w:t>
      </w:r>
      <w:r>
        <w:rPr>
          <w:b w:val="0"/>
          <w:i w:val="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p>
      <w:pPr>
        <w:spacing w:after="60"/>
      </w:pPr>
      <w:r>
        <w:rPr>
          <w:b/>
          <w:i w:val="0"/>
        </w:rPr>
        <w:t xml:space="preserve">Procedure: </w:t>
      </w:r>
      <w:r>
        <w:rPr>
          <w:b w:val="0"/>
          <w:i w:val="0"/>
        </w:rPr>
        <w:t>Score factual claims and citation locations with separate denominators; compare every official numeric value to its tool result. Review consequential unsupported claims individually.</w:t>
      </w:r>
    </w:p>
    <w:p>
      <w:pPr>
        <w:spacing w:after="60"/>
      </w:pPr>
      <w:r>
        <w:rPr>
          <w:b/>
          <w:i w:val="0"/>
        </w:rPr>
        <w:t xml:space="preserve">Failure rule: </w:t>
      </w:r>
      <w:r>
        <w:rPr>
          <w:b w:val="0"/>
          <w:i w:val="0"/>
        </w:rPr>
        <w:t>A critical unsupported claim or one wrong official numeric value fails the affected release regardless of average citation performance.</w:t>
      </w:r>
    </w:p>
    <w:p>
      <w:bookmarkStart w:id="333" w:name="req_VF_AIQ_003"/>
      <w:pPr>
        <w:keepNext/>
        <w:spacing w:before="180" w:after="40"/>
      </w:pPr>
      <w:r>
        <w:rPr>
          <w:b/>
          <w:i w:val="0"/>
        </w:rPr>
        <w:t>VF-AIQ-003   Extraction and abstention</w:t>
      </w:r>
      <w:bookmarkEnd w:id="333"/>
    </w:p>
    <w:p>
      <w:pPr>
        <w:keepNext/>
        <w:spacing w:after="60"/>
      </w:pPr>
      <w:r>
        <w:rPr>
          <w:b w:val="0"/>
          <w:i w:val="0"/>
          <w:sz w:val="19"/>
        </w:rPr>
        <w:t>Parent NFR-AIQ-003   |   P1   |   R1</w:t>
      </w:r>
    </w:p>
    <w:p>
      <w:pPr>
        <w:spacing w:after="60"/>
      </w:pPr>
      <w:r>
        <w:rPr>
          <w:b/>
          <w:i w:val="0"/>
        </w:rPr>
        <w:t xml:space="preserve">Required target: </w:t>
      </w:r>
      <w:r>
        <w:rPr>
          <w:b w:val="0"/>
          <w:i w:val="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p>
      <w:pPr>
        <w:spacing w:after="60"/>
      </w:pPr>
      <w:r>
        <w:rPr>
          <w:b/>
          <w:i w:val="0"/>
        </w:rPr>
        <w:t xml:space="preserve">Procedure: </w:t>
      </w:r>
      <w:r>
        <w:rPr>
          <w:b w:val="0"/>
          <w:i w:val="0"/>
        </w:rPr>
        <w:t>Label source fields and designated answerable or unanswerable questions independently. Calculate field precision and recall by type and language, correct abstention and false abstention.</w:t>
      </w:r>
    </w:p>
    <w:p>
      <w:pPr>
        <w:spacing w:after="60"/>
      </w:pPr>
      <w:r>
        <w:rPr>
          <w:b/>
          <w:i w:val="0"/>
        </w:rPr>
        <w:t xml:space="preserve">Failure rule: </w:t>
      </w:r>
      <w:r>
        <w:rPr>
          <w:b w:val="0"/>
          <w:i w:val="0"/>
        </w:rPr>
        <w:t>Report missing mandatory fields and correction time; do not score only fields the model chose to emit.</w:t>
      </w:r>
    </w:p>
    <w:p>
      <w:bookmarkStart w:id="334" w:name="req_VF_AIQ_004"/>
      <w:pPr>
        <w:keepNext/>
        <w:spacing w:before="180" w:after="40"/>
      </w:pPr>
      <w:r>
        <w:rPr>
          <w:b/>
          <w:i w:val="0"/>
        </w:rPr>
        <w:t>VF-AIQ-004   Leakage and action safety</w:t>
      </w:r>
      <w:bookmarkEnd w:id="334"/>
    </w:p>
    <w:p>
      <w:pPr>
        <w:keepNext/>
        <w:spacing w:after="60"/>
      </w:pPr>
      <w:r>
        <w:rPr>
          <w:b w:val="0"/>
          <w:i w:val="0"/>
          <w:sz w:val="19"/>
        </w:rPr>
        <w:t>Parent NFR-AIQ-004   |   P0   |   R1</w:t>
      </w:r>
    </w:p>
    <w:p>
      <w:pPr>
        <w:spacing w:after="60"/>
      </w:pPr>
      <w:r>
        <w:rPr>
          <w:b/>
          <w:i w:val="0"/>
        </w:rPr>
        <w:t xml:space="preserve">Required target: </w:t>
      </w:r>
      <w:r>
        <w:rPr>
          <w:b w:val="0"/>
          <w:i w:val="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p>
      <w:pPr>
        <w:spacing w:after="60"/>
      </w:pPr>
      <w:r>
        <w:rPr>
          <w:b/>
          <w:i w:val="0"/>
        </w:rPr>
        <w:t xml:space="preserve">Procedure: </w:t>
      </w:r>
      <w:r>
        <w:rPr>
          <w:b w:val="0"/>
          <w:i w:val="0"/>
        </w:rPr>
        <w:t>Run synthetic tenant leakage, indirect prompt injection, stale source access, conversation copying, secret requests and tool escalation scenarios with traceable markers.</w:t>
      </w:r>
    </w:p>
    <w:p>
      <w:pPr>
        <w:spacing w:after="60"/>
      </w:pPr>
      <w:r>
        <w:rPr>
          <w:b/>
          <w:i w:val="0"/>
        </w:rPr>
        <w:t xml:space="preserve">Failure rule: </w:t>
      </w:r>
      <w:r>
        <w:rPr>
          <w:b w:val="0"/>
          <w:i w:val="0"/>
        </w:rPr>
        <w:t>Zero observed successful disclosures or unauthorised actions is a test criterion, not proof of zero real-world risk. Any success blocks the capability.</w:t>
      </w:r>
    </w:p>
    <w:p>
      <w:bookmarkStart w:id="335" w:name="req_VF_AIQ_005"/>
      <w:pPr>
        <w:keepNext/>
        <w:spacing w:before="180" w:after="40"/>
      </w:pPr>
      <w:r>
        <w:rPr>
          <w:b/>
          <w:i w:val="0"/>
        </w:rPr>
        <w:t>VF-AIQ-005   Change monitoring and rollback</w:t>
      </w:r>
      <w:bookmarkEnd w:id="335"/>
    </w:p>
    <w:p>
      <w:pPr>
        <w:keepNext/>
        <w:spacing w:after="60"/>
      </w:pPr>
      <w:r>
        <w:rPr>
          <w:b w:val="0"/>
          <w:i w:val="0"/>
          <w:sz w:val="19"/>
        </w:rPr>
        <w:t>Parent NFR-AIQ-005   |   P0   |   R1</w:t>
      </w:r>
    </w:p>
    <w:p>
      <w:pPr>
        <w:spacing w:after="60"/>
      </w:pPr>
      <w:r>
        <w:rPr>
          <w:b/>
          <w:i w:val="0"/>
        </w:rPr>
        <w:t xml:space="preserve">Required target: </w:t>
      </w:r>
      <w:r>
        <w:rPr>
          <w:b w:val="0"/>
          <w:i w:val="0"/>
        </w:rPr>
        <w:t>Model, prompt, retrieval and policy changes shall have versioned evaluation, controlled rollout and rollback. Production monitoring shall track failures, reviewer corrections, refusals, latency, cost and language specific quality with minimised content retention.</w:t>
      </w:r>
    </w:p>
    <w:p>
      <w:pPr>
        <w:spacing w:after="60"/>
      </w:pPr>
      <w:r>
        <w:rPr>
          <w:b/>
          <w:i w:val="0"/>
        </w:rPr>
        <w:t xml:space="preserve">Procedure: </w:t>
      </w:r>
      <w:r>
        <w:rPr>
          <w:b w:val="0"/>
          <w:i w:val="0"/>
        </w:rPr>
        <w:t>Introduce a deliberately degraded candidate configuration and compare quality, latency and cost to the approved version. Exercise controlled exposure, stop and rollback while identifying affected artifacts.</w:t>
      </w:r>
    </w:p>
    <w:p>
      <w:pPr>
        <w:spacing w:after="60"/>
      </w:pPr>
      <w:r>
        <w:rPr>
          <w:b/>
          <w:i w:val="0"/>
        </w:rPr>
        <w:t xml:space="preserve">Failure rule: </w:t>
      </w:r>
      <w:r>
        <w:rPr>
          <w:b w:val="0"/>
          <w:i w:val="0"/>
        </w:rPr>
        <w:t>A rollback must restore the approved policy-compatible destination and tool set; it cannot reinstate a now-prohibited provider.</w:t>
      </w:r>
    </w:p>
    <w:p>
      <w:bookmarkStart w:id="336" w:name="req_VF_UX_001"/>
      <w:pPr>
        <w:keepNext/>
        <w:spacing w:before="180" w:after="40"/>
      </w:pPr>
      <w:r>
        <w:rPr>
          <w:b/>
          <w:i w:val="0"/>
        </w:rPr>
        <w:t>VF-UX-001   Accessibility conformance</w:t>
      </w:r>
      <w:bookmarkEnd w:id="336"/>
    </w:p>
    <w:p>
      <w:pPr>
        <w:keepNext/>
        <w:spacing w:after="60"/>
      </w:pPr>
      <w:r>
        <w:rPr>
          <w:b w:val="0"/>
          <w:i w:val="0"/>
          <w:sz w:val="19"/>
        </w:rPr>
        <w:t>Parent NFR-UX-001   |   P0   |   R1</w:t>
      </w:r>
    </w:p>
    <w:p>
      <w:pPr>
        <w:spacing w:after="60"/>
      </w:pPr>
      <w:r>
        <w:rPr>
          <w:b/>
          <w:i w:val="0"/>
        </w:rPr>
        <w:t xml:space="preserve">Required target: </w:t>
      </w:r>
      <w:r>
        <w:rPr>
          <w:b w:val="0"/>
          <w:i w:val="0"/>
        </w:rPr>
        <w:t>All supported core journeys shall meet WCAG 2.2 Level AA through automated checks and manual keyboard and assistive technology review. Complete processes, third party authentication flows under product control and generated standard templates shall be included in the scope.</w:t>
      </w:r>
    </w:p>
    <w:p>
      <w:pPr>
        <w:spacing w:after="60"/>
      </w:pPr>
      <w:r>
        <w:rPr>
          <w:b/>
          <w:i w:val="0"/>
        </w:rPr>
        <w:t xml:space="preserve">Procedure: </w:t>
      </w:r>
      <w:r>
        <w:rPr>
          <w:b w:val="0"/>
          <w:i w:val="0"/>
        </w:rPr>
        <w:t>Review complete processes against WCAG 2.2 AA with automated checks plus manual keyboard, screen reader, focus, error and generated-template tests.</w:t>
      </w:r>
    </w:p>
    <w:p>
      <w:pPr>
        <w:spacing w:after="60"/>
      </w:pPr>
      <w:r>
        <w:rPr>
          <w:b/>
          <w:i w:val="0"/>
        </w:rPr>
        <w:t xml:space="preserve">Failure rule: </w:t>
      </w:r>
      <w:r>
        <w:rPr>
          <w:b w:val="0"/>
          <w:i w:val="0"/>
        </w:rPr>
        <w:t>A clean automated scan alone does not pass. Record environment, user-content boundaries and remediation evidence for each material issue.</w:t>
      </w:r>
    </w:p>
    <w:p>
      <w:bookmarkStart w:id="337" w:name="req_VF_UX_002"/>
      <w:pPr>
        <w:keepNext/>
        <w:spacing w:before="180" w:after="40"/>
      </w:pPr>
      <w:r>
        <w:rPr>
          <w:b/>
          <w:i w:val="0"/>
        </w:rPr>
        <w:t>VF-UX-002   Usability qualification</w:t>
      </w:r>
      <w:bookmarkEnd w:id="337"/>
    </w:p>
    <w:p>
      <w:pPr>
        <w:keepNext/>
        <w:spacing w:after="60"/>
      </w:pPr>
      <w:r>
        <w:rPr>
          <w:b w:val="0"/>
          <w:i w:val="0"/>
          <w:sz w:val="19"/>
        </w:rPr>
        <w:t>Parent NFR-UX-002   |   P1   |   R1</w:t>
      </w:r>
    </w:p>
    <w:p>
      <w:pPr>
        <w:spacing w:after="60"/>
      </w:pPr>
      <w:r>
        <w:rPr>
          <w:b/>
          <w:i w:val="0"/>
        </w:rPr>
        <w:t xml:space="preserve">Required target: </w:t>
      </w:r>
      <w:r>
        <w:rPr>
          <w:b w:val="0"/>
          <w:i w:val="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p>
      <w:pPr>
        <w:spacing w:after="60"/>
      </w:pPr>
      <w:r>
        <w:rPr>
          <w:b/>
          <w:i w:val="0"/>
        </w:rPr>
        <w:t xml:space="preserve">Procedure: </w:t>
      </w:r>
      <w:r>
        <w:rPr>
          <w:b w:val="0"/>
          <w:i w:val="0"/>
        </w:rPr>
        <w:t>At least fifteen representative users complete the six core tasks after standard onboarding. Record role, completion, facilitator intervention, elapsed time and consequential errors.</w:t>
      </w:r>
    </w:p>
    <w:p>
      <w:pPr>
        <w:spacing w:after="60"/>
      </w:pPr>
      <w:r>
        <w:rPr>
          <w:b/>
          <w:i w:val="0"/>
        </w:rPr>
        <w:t xml:space="preserve">Failure rule: </w:t>
      </w:r>
      <w:r>
        <w:rPr>
          <w:b w:val="0"/>
          <w:i w:val="0"/>
        </w:rPr>
        <w:t>At least ninety percent unaided completion is required; any observed critical disclosure, data loss or incorrect official result blocks readiness.</w:t>
      </w:r>
    </w:p>
    <w:p>
      <w:bookmarkStart w:id="338" w:name="req_VF_CMP_001"/>
      <w:pPr>
        <w:keepNext/>
        <w:spacing w:before="180" w:after="40"/>
      </w:pPr>
      <w:r>
        <w:rPr>
          <w:b/>
          <w:i w:val="0"/>
        </w:rPr>
        <w:t>VF-CMP-001   Browser and device support</w:t>
      </w:r>
      <w:bookmarkEnd w:id="338"/>
    </w:p>
    <w:p>
      <w:pPr>
        <w:keepNext/>
        <w:spacing w:after="60"/>
      </w:pPr>
      <w:r>
        <w:rPr>
          <w:b w:val="0"/>
          <w:i w:val="0"/>
          <w:sz w:val="19"/>
        </w:rPr>
        <w:t>Parent NFR-CMP-001   |   P1   |   R1</w:t>
      </w:r>
    </w:p>
    <w:p>
      <w:pPr>
        <w:spacing w:after="60"/>
      </w:pPr>
      <w:r>
        <w:rPr>
          <w:b/>
          <w:i w:val="0"/>
        </w:rPr>
        <w:t xml:space="preserve">Required target: </w:t>
      </w:r>
      <w:r>
        <w:rPr>
          <w:b w:val="0"/>
          <w:i w:val="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p>
      <w:pPr>
        <w:spacing w:after="60"/>
      </w:pPr>
      <w:r>
        <w:rPr>
          <w:b/>
          <w:i w:val="0"/>
        </w:rPr>
        <w:t xml:space="preserve">Procedure: </w:t>
      </w:r>
      <w:r>
        <w:rPr>
          <w:b w:val="0"/>
          <w:i w:val="0"/>
        </w:rPr>
        <w:t>At release, record actual current and previous major browser versions and qualified desktop, mobile and offline profiles. Test federation, file handling, accessibility, capture and recovery in each declared supported combination.</w:t>
      </w:r>
    </w:p>
    <w:p>
      <w:pPr>
        <w:spacing w:after="60"/>
      </w:pPr>
      <w:r>
        <w:rPr>
          <w:b/>
          <w:i w:val="0"/>
        </w:rPr>
        <w:t xml:space="preserve">Failure rule: </w:t>
      </w:r>
      <w:r>
        <w:rPr>
          <w:b w:val="0"/>
          <w:i w:val="0"/>
        </w:rPr>
        <w:t>Do not promise offline on every browser merely because online viewing works. Unsupported clients must not silently accept work they cannot preserve.</w:t>
      </w:r>
    </w:p>
    <w:p>
      <w:bookmarkStart w:id="339" w:name="req_VF_L10_001"/>
      <w:pPr>
        <w:keepNext/>
        <w:spacing w:before="180" w:after="40"/>
      </w:pPr>
      <w:r>
        <w:rPr>
          <w:b/>
          <w:i w:val="0"/>
        </w:rPr>
        <w:t>VF-L10-001   Localisation integrity</w:t>
      </w:r>
      <w:bookmarkEnd w:id="339"/>
    </w:p>
    <w:p>
      <w:pPr>
        <w:keepNext/>
        <w:spacing w:after="60"/>
      </w:pPr>
      <w:r>
        <w:rPr>
          <w:b w:val="0"/>
          <w:i w:val="0"/>
          <w:sz w:val="19"/>
        </w:rPr>
        <w:t>Parent NFR-L10-001   |   P1   |   R1</w:t>
      </w:r>
    </w:p>
    <w:p>
      <w:pPr>
        <w:spacing w:after="60"/>
      </w:pPr>
      <w:r>
        <w:rPr>
          <w:b/>
          <w:i w:val="0"/>
        </w:rPr>
        <w:t xml:space="preserve">Required target: </w:t>
      </w:r>
      <w:r>
        <w:rPr>
          <w:b w:val="0"/>
          <w:i w:val="0"/>
        </w:rPr>
        <w:t>Unicode, locale specific number and date handling and explicit time zones shall survive ingestion, search, calculations and export. Released translations shall cover all blocking workflow text. Display locale shall not change stored values or period assignment.</w:t>
      </w:r>
    </w:p>
    <w:p>
      <w:pPr>
        <w:spacing w:after="60"/>
      </w:pPr>
      <w:r>
        <w:rPr>
          <w:b/>
          <w:i w:val="0"/>
        </w:rPr>
        <w:t xml:space="preserve">Procedure: </w:t>
      </w:r>
      <w:r>
        <w:rPr>
          <w:b w:val="0"/>
          <w:i w:val="0"/>
        </w:rPr>
        <w:t>Run Unicode, decimal-comma, decimal-point, date ambiguity, daylight-saving and right-to-left fixtures where released. Compare stored values, period membership, filters and exported text.</w:t>
      </w:r>
    </w:p>
    <w:p>
      <w:pPr>
        <w:spacing w:after="60"/>
      </w:pPr>
      <w:r>
        <w:rPr>
          <w:b/>
          <w:i w:val="0"/>
        </w:rPr>
        <w:t xml:space="preserve">Failure rule: </w:t>
      </w:r>
      <w:r>
        <w:rPr>
          <w:b w:val="0"/>
          <w:i w:val="0"/>
        </w:rPr>
        <w:t>Changing display locale cannot change arithmetic or event assignment. Missing blocking translations fail the corresponding language release.</w:t>
      </w:r>
    </w:p>
    <w:p>
      <w:bookmarkStart w:id="340" w:name="req_VF_MNT_001"/>
      <w:pPr>
        <w:keepNext/>
        <w:spacing w:before="180" w:after="40"/>
      </w:pPr>
      <w:r>
        <w:rPr>
          <w:b/>
          <w:i w:val="0"/>
        </w:rPr>
        <w:t>VF-MNT-001   Maintainable contracts</w:t>
      </w:r>
      <w:bookmarkEnd w:id="340"/>
    </w:p>
    <w:p>
      <w:pPr>
        <w:keepNext/>
        <w:spacing w:after="60"/>
      </w:pPr>
      <w:r>
        <w:rPr>
          <w:b w:val="0"/>
          <w:i w:val="0"/>
          <w:sz w:val="19"/>
        </w:rPr>
        <w:t>Parent NFR-MNT-001   |   P1   |   R1</w:t>
      </w:r>
    </w:p>
    <w:p>
      <w:pPr>
        <w:spacing w:after="60"/>
      </w:pPr>
      <w:r>
        <w:rPr>
          <w:b/>
          <w:i w:val="0"/>
        </w:rPr>
        <w:t xml:space="preserve">Required target: </w:t>
      </w:r>
      <w:r>
        <w:rPr>
          <w:b w:val="0"/>
          <w:i w:val="0"/>
        </w:rPr>
        <w:t>Business rules, supported APIs, configurable policies and data dictionaries shall be documented and version controlled. Changes shall retain traceability to requirements and tests. Routine tenant configuration shall not require a customer specific code fork.</w:t>
      </w:r>
    </w:p>
    <w:p>
      <w:pPr>
        <w:spacing w:after="60"/>
      </w:pPr>
      <w:r>
        <w:rPr>
          <w:b/>
          <w:i w:val="0"/>
        </w:rPr>
        <w:t xml:space="preserve">Procedure: </w:t>
      </w:r>
      <w:r>
        <w:rPr>
          <w:b w:val="0"/>
          <w:i w:val="0"/>
        </w:rPr>
        <w:t>Configure two different programme templates through ordinary supported settings and trace a material rule amendment through requirements, dictionary, interface contract and regression evidence.</w:t>
      </w:r>
    </w:p>
    <w:p>
      <w:pPr>
        <w:spacing w:after="60"/>
      </w:pPr>
      <w:r>
        <w:rPr>
          <w:b/>
          <w:i w:val="0"/>
        </w:rPr>
        <w:t xml:space="preserve">Failure rule: </w:t>
      </w:r>
      <w:r>
        <w:rPr>
          <w:b w:val="0"/>
          <w:i w:val="0"/>
        </w:rPr>
        <w:t>A customer-specific code fork does not satisfy routine configuration. Breaking changes follow the published compatibility process.</w:t>
      </w:r>
    </w:p>
    <w:p>
      <w:bookmarkStart w:id="341" w:name="req_VF_OBS_001"/>
      <w:pPr>
        <w:keepNext/>
        <w:spacing w:before="180" w:after="40"/>
      </w:pPr>
      <w:r>
        <w:rPr>
          <w:b/>
          <w:i w:val="0"/>
        </w:rPr>
        <w:t>VF-OBS-001   Operational diagnosability</w:t>
      </w:r>
      <w:bookmarkEnd w:id="341"/>
    </w:p>
    <w:p>
      <w:pPr>
        <w:keepNext/>
        <w:spacing w:after="60"/>
      </w:pPr>
      <w:r>
        <w:rPr>
          <w:b w:val="0"/>
          <w:i w:val="0"/>
          <w:sz w:val="19"/>
        </w:rPr>
        <w:t>Parent NFR-OBS-001   |   P0   |   R1</w:t>
      </w:r>
    </w:p>
    <w:p>
      <w:pPr>
        <w:spacing w:after="60"/>
      </w:pPr>
      <w:r>
        <w:rPr>
          <w:b/>
          <w:i w:val="0"/>
        </w:rPr>
        <w:t xml:space="preserve">Required target: </w:t>
      </w:r>
      <w:r>
        <w:rPr>
          <w:b w:val="0"/>
          <w:i w:val="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p>
      <w:pPr>
        <w:spacing w:after="60"/>
      </w:pPr>
      <w:r>
        <w:rPr>
          <w:b/>
          <w:i w:val="0"/>
        </w:rPr>
        <w:t xml:space="preserve">Procedure: </w:t>
      </w:r>
      <w:r>
        <w:rPr>
          <w:b w:val="0"/>
          <w:i w:val="0"/>
        </w:rPr>
        <w:t>Inject failures at report receipt, calculation, rendering and delivery. Trace one safe correlation reference across the authorised stages and measure alert creation after the defined detection condition.</w:t>
      </w:r>
    </w:p>
    <w:p>
      <w:pPr>
        <w:spacing w:after="60"/>
      </w:pPr>
      <w:r>
        <w:rPr>
          <w:b/>
          <w:i w:val="0"/>
        </w:rPr>
        <w:t xml:space="preserve">Failure rule: </w:t>
      </w:r>
      <w:r>
        <w:rPr>
          <w:b w:val="0"/>
          <w:i w:val="0"/>
        </w:rPr>
        <w:t>Missing tenant context, secret payloads in diagnostics or critical alert delay beyond five minutes fails the relevant gate.</w:t>
      </w:r>
    </w:p>
    <w:p>
      <w:bookmarkStart w:id="342" w:name="req_VF_PRT_001"/>
      <w:pPr>
        <w:keepNext/>
        <w:spacing w:before="180" w:after="40"/>
      </w:pPr>
      <w:r>
        <w:rPr>
          <w:b/>
          <w:i w:val="0"/>
        </w:rPr>
        <w:t>VF-PRT-001   Portability and exit quality</w:t>
      </w:r>
      <w:bookmarkEnd w:id="342"/>
    </w:p>
    <w:p>
      <w:pPr>
        <w:keepNext/>
        <w:spacing w:after="60"/>
      </w:pPr>
      <w:r>
        <w:rPr>
          <w:b w:val="0"/>
          <w:i w:val="0"/>
          <w:sz w:val="19"/>
        </w:rPr>
        <w:t>Parent NFR-PRT-001   |   P0   |   R1</w:t>
      </w:r>
    </w:p>
    <w:p>
      <w:pPr>
        <w:spacing w:after="60"/>
      </w:pPr>
      <w:r>
        <w:rPr>
          <w:b/>
          <w:i w:val="0"/>
        </w:rPr>
        <w:t xml:space="preserve">Required target: </w:t>
      </w:r>
      <w:r>
        <w:rPr>
          <w:b w:val="0"/>
          <w:i w:val="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p>
      <w:pPr>
        <w:spacing w:after="60"/>
      </w:pPr>
      <w:r>
        <w:rPr>
          <w:b/>
          <w:i w:val="0"/>
        </w:rPr>
        <w:t xml:space="preserve">Procedure: </w:t>
      </w:r>
      <w:r>
        <w:rPr>
          <w:b w:val="0"/>
          <w:i w:val="0"/>
        </w:rPr>
        <w:t>Export a qualified tenant with one million rows and ten GB attachments. Reconstruct representative relationships and selected reports outside the product using only package documentation.</w:t>
      </w:r>
    </w:p>
    <w:p>
      <w:pPr>
        <w:spacing w:after="60"/>
      </w:pPr>
      <w:r>
        <w:rPr>
          <w:b/>
          <w:i w:val="0"/>
        </w:rPr>
        <w:t xml:space="preserve">Failure rule: </w:t>
      </w:r>
      <w:r>
        <w:rPr>
          <w:b w:val="0"/>
          <w:i w:val="0"/>
        </w:rPr>
        <w:t>Verify completeness, integrity, permissions and exclusions within twenty-four hours; a collection of unlabelled CSV files is not a complete tenant export.</w:t>
      </w:r>
    </w:p>
    <w:p>
      <w:bookmarkStart w:id="343" w:name="req_VF_ECO_001"/>
      <w:pPr>
        <w:keepNext/>
        <w:spacing w:before="180" w:after="40"/>
      </w:pPr>
      <w:r>
        <w:rPr>
          <w:b/>
          <w:i w:val="0"/>
        </w:rPr>
        <w:t>VF-ECO-001   Cost transparency and sustainability</w:t>
      </w:r>
      <w:bookmarkEnd w:id="343"/>
    </w:p>
    <w:p>
      <w:pPr>
        <w:keepNext/>
        <w:spacing w:after="60"/>
      </w:pPr>
      <w:r>
        <w:rPr>
          <w:b w:val="0"/>
          <w:i w:val="0"/>
          <w:sz w:val="19"/>
        </w:rPr>
        <w:t>Parent NFR-ECO-001   |   P1   |   R2</w:t>
      </w:r>
    </w:p>
    <w:p>
      <w:pPr>
        <w:spacing w:after="60"/>
      </w:pPr>
      <w:r>
        <w:rPr>
          <w:b/>
          <w:i w:val="0"/>
        </w:rPr>
        <w:t xml:space="preserve">Required target: </w:t>
      </w:r>
      <w:r>
        <w:rPr>
          <w:b w:val="0"/>
          <w:i w:val="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p>
      <w:pPr>
        <w:spacing w:after="60"/>
      </w:pPr>
      <w:r>
        <w:rPr>
          <w:b/>
          <w:i w:val="0"/>
        </w:rPr>
        <w:t xml:space="preserve">Procedure: </w:t>
      </w:r>
      <w:r>
        <w:rPr>
          <w:b w:val="0"/>
          <w:i w:val="0"/>
        </w:rPr>
        <w:t>Measure resource and model usage for the reference load, then calculate cost per tenant, result workload, storage, connector run and use case. Exercise the corresponding visible budget limits.</w:t>
      </w:r>
    </w:p>
    <w:p>
      <w:pPr>
        <w:spacing w:after="60"/>
      </w:pPr>
      <w:r>
        <w:rPr>
          <w:b/>
          <w:i w:val="0"/>
        </w:rPr>
        <w:t xml:space="preserve">Failure rule: </w:t>
      </w:r>
      <w:r>
        <w:rPr>
          <w:b w:val="0"/>
          <w:i w:val="0"/>
        </w:rPr>
        <w:t>Distinguish measured prices or costs from assumptions at HLD review; no unlimited commercial commitment is derived from this FSD.</w:t>
      </w:r>
    </w:p>
    <w:p>
      <w:bookmarkStart w:id="344" w:name="req_VF_SUP_001"/>
      <w:pPr>
        <w:keepNext/>
        <w:spacing w:before="180" w:after="40"/>
      </w:pPr>
      <w:r>
        <w:rPr>
          <w:b/>
          <w:i w:val="0"/>
        </w:rPr>
        <w:t>VF-SUP-001   Support and service readiness</w:t>
      </w:r>
      <w:bookmarkEnd w:id="344"/>
    </w:p>
    <w:p>
      <w:pPr>
        <w:keepNext/>
        <w:spacing w:after="60"/>
      </w:pPr>
      <w:r>
        <w:rPr>
          <w:b w:val="0"/>
          <w:i w:val="0"/>
          <w:sz w:val="19"/>
        </w:rPr>
        <w:t>Parent NFR-SUP-001   |   P0   |   R1</w:t>
      </w:r>
    </w:p>
    <w:p>
      <w:pPr>
        <w:spacing w:after="60"/>
      </w:pPr>
      <w:r>
        <w:rPr>
          <w:b/>
          <w:i w:val="0"/>
        </w:rPr>
        <w:t xml:space="preserve">Required target: </w:t>
      </w:r>
      <w:r>
        <w:rPr>
          <w:b w:val="0"/>
          <w:i w:val="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p>
      <w:pPr>
        <w:spacing w:after="60"/>
      </w:pPr>
      <w:r>
        <w:rPr>
          <w:b/>
          <w:i w:val="0"/>
        </w:rPr>
        <w:t xml:space="preserve">Procedure: </w:t>
      </w:r>
      <w:r>
        <w:rPr>
          <w:b w:val="0"/>
          <w:i w:val="0"/>
        </w:rPr>
        <w:t>Run readiness exercises for critical incident, identity recovery, failed import, privacy deletion and report correction. Verify continuous critical on-call ownership, runbook and escalation route.</w:t>
      </w:r>
    </w:p>
    <w:p>
      <w:pPr>
        <w:spacing w:after="60"/>
      </w:pPr>
      <w:r>
        <w:rPr>
          <w:b/>
          <w:i w:val="0"/>
        </w:rPr>
        <w:t xml:space="preserve">Failure rule: </w:t>
      </w:r>
      <w:r>
        <w:rPr>
          <w:b w:val="0"/>
          <w:i w:val="0"/>
        </w:rPr>
        <w:t>Every critical capability needs an accountable operational owner and rehearsed recovery path before production exposure.</w:t>
      </w:r>
    </w:p>
    <w:p>
      <w:bookmarkStart w:id="345" w:name="sec_38"/>
      <w:pPr>
        <w:pStyle w:val="Heading1"/>
      </w:pPr>
      <w:r>
        <w:rPr>
          <w:b w:val="0"/>
          <w:i w:val="0"/>
        </w:rPr>
        <w:t>38 Integrated acceptance scenarios</w:t>
      </w:r>
      <w:bookmarkEnd w:id="345"/>
    </w:p>
    <w:p>
      <w:pPr>
        <w:pStyle w:val="Heading2"/>
      </w:pPr>
      <w:r>
        <w:rPr>
          <w:b w:val="0"/>
          <w:i w:val="0"/>
        </w:rPr>
        <w:t>38 1 Test execution contract</w:t>
      </w:r>
    </w:p>
    <w:p>
      <w:r>
        <w:rPr>
          <w:b w:val="0"/>
          <w:i w:val="0"/>
        </w:rPr>
        <w:t>AT01 through AT30 expand BRD UAT01 through UAT30 respectively. Execute in the release containing all required capabilities; cross-cutting controls apply in every release exposing a relevant subset. Each run records actor and scope, tenant policy, source fixture, application and configuration version, expected and observed outcome, correlation IDs and evidence. The steps below define functional acceptance; a test plan shall decompose them into executable checks and device or language variants without weakening their outcomes.</w:t>
      </w:r>
    </w:p>
    <w:p>
      <w:r>
        <w:rPr>
          <w:b w:val="0"/>
          <w:i w:val="0"/>
        </w:rPr>
        <w:t>Every scenario inspects the matching audit events in section 35, current permissions, artifact versions and any job manifests. Repeat the relevant denial paths through API, export, search and AI, not only the interface. Use synthetic or approved protected data. Passing these integrated scenarios does not replace individual FT cases, VF qualification, independent assurance or the inherited BRD acceptance criteria.</w:t>
      </w:r>
    </w:p>
    <w:p>
      <w:bookmarkStart w:id="346" w:name="req_AT01"/>
      <w:pPr>
        <w:keepNext/>
        <w:spacing w:before="180" w:after="40"/>
      </w:pPr>
      <w:r>
        <w:rPr>
          <w:b/>
          <w:i w:val="0"/>
        </w:rPr>
        <w:t>AT01   Pooled percentages</w:t>
      </w:r>
      <w:bookmarkEnd w:id="346"/>
    </w:p>
    <w:p>
      <w:pPr>
        <w:keepNext/>
        <w:spacing w:after="60"/>
      </w:pPr>
      <w:r>
        <w:rPr>
          <w:b w:val="0"/>
          <w:i w:val="0"/>
          <w:sz w:val="19"/>
        </w:rPr>
        <w:t>BRD scenario UAT01</w:t>
      </w:r>
    </w:p>
    <w:p>
      <w:pPr>
        <w:spacing w:after="60"/>
      </w:pPr>
      <w:r>
        <w:rPr>
          <w:b/>
          <w:i w:val="0"/>
        </w:rPr>
        <w:t xml:space="preserve">Coverage: </w:t>
      </w:r>
      <w:r>
        <w:rPr>
          <w:b w:val="0"/>
          <w:i w:val="0"/>
        </w:rPr>
        <w:t>FR-CAL-003 FR-RPT-010.</w:t>
      </w:r>
    </w:p>
    <w:p>
      <w:pPr>
        <w:spacing w:after="60"/>
      </w:pPr>
      <w:r>
        <w:rPr>
          <w:b/>
          <w:i w:val="0"/>
        </w:rPr>
        <w:t xml:space="preserve">Preconditions: </w:t>
      </w:r>
      <w:r>
        <w:rPr>
          <w:b w:val="0"/>
          <w:i w:val="0"/>
        </w:rPr>
        <w:t>Two compatible approved sources contain 50/100 and 1/10 with multiplier 100 and two display decimals.</w:t>
      </w:r>
    </w:p>
    <w:p>
      <w:pPr>
        <w:spacing w:after="60"/>
      </w:pPr>
      <w:r>
        <w:rPr>
          <w:b/>
          <w:i w:val="0"/>
        </w:rPr>
        <w:t xml:space="preserve">Steps: </w:t>
      </w:r>
      <w:r>
        <w:rPr>
          <w:b w:val="0"/>
          <w:i w:val="0"/>
        </w:rPr>
        <w:t>Calculate the parent, inspect lineage, bind it to a report and export both table and narrative.</w:t>
      </w:r>
    </w:p>
    <w:p>
      <w:pPr>
        <w:spacing w:after="60"/>
      </w:pPr>
      <w:r>
        <w:rPr>
          <w:b/>
          <w:i w:val="0"/>
        </w:rPr>
        <w:t xml:space="preserve">Expected outcome: </w:t>
      </w:r>
      <w:r>
        <w:rPr>
          <w:b w:val="0"/>
          <w:i w:val="0"/>
        </w:rPr>
        <w:t>Both sources contribute; numerator 51, denominator 110 and display 46.36 percent agree in every output.</w:t>
      </w:r>
    </w:p>
    <w:p>
      <w:pPr>
        <w:spacing w:after="60"/>
      </w:pPr>
      <w:r>
        <w:rPr>
          <w:b/>
          <w:i w:val="0"/>
        </w:rPr>
        <w:t xml:space="preserve">Negative case: </w:t>
      </w:r>
      <w:r>
        <w:rPr>
          <w:b w:val="0"/>
          <w:i w:val="0"/>
        </w:rPr>
        <w:t>Reject a proposed value of 30 as the pooled percentage; an unweighted mean must be a separately labelled statistic.</w:t>
      </w:r>
    </w:p>
    <w:p>
      <w:bookmarkStart w:id="347" w:name="req_AT02"/>
      <w:pPr>
        <w:keepNext/>
        <w:spacing w:before="180" w:after="40"/>
      </w:pPr>
      <w:r>
        <w:rPr>
          <w:b/>
          <w:i w:val="0"/>
        </w:rPr>
        <w:t>AT02   Known and unknown overlap</w:t>
      </w:r>
      <w:bookmarkEnd w:id="347"/>
    </w:p>
    <w:p>
      <w:pPr>
        <w:keepNext/>
        <w:spacing w:after="60"/>
      </w:pPr>
      <w:r>
        <w:rPr>
          <w:b w:val="0"/>
          <w:i w:val="0"/>
          <w:sz w:val="19"/>
        </w:rPr>
        <w:t>BRD scenario UAT02</w:t>
      </w:r>
    </w:p>
    <w:p>
      <w:pPr>
        <w:spacing w:after="60"/>
      </w:pPr>
      <w:r>
        <w:rPr>
          <w:b/>
          <w:i w:val="0"/>
        </w:rPr>
        <w:t xml:space="preserve">Coverage: </w:t>
      </w:r>
      <w:r>
        <w:rPr>
          <w:b w:val="0"/>
          <w:i w:val="0"/>
        </w:rPr>
        <w:t>FR-CAL-004 FR-PAR-002.</w:t>
      </w:r>
    </w:p>
    <w:p>
      <w:pPr>
        <w:spacing w:after="60"/>
      </w:pPr>
      <w:r>
        <w:rPr>
          <w:b/>
          <w:i w:val="0"/>
        </w:rPr>
        <w:t xml:space="preserve">Preconditions: </w:t>
      </w:r>
      <w:r>
        <w:rPr>
          <w:b w:val="0"/>
          <w:i w:val="0"/>
        </w:rPr>
        <w:t>Two authorised person sets each have 100 members and twenty shared approved pseudonyms; a separate fixture has only aggregate totals.</w:t>
      </w:r>
    </w:p>
    <w:p>
      <w:pPr>
        <w:spacing w:after="60"/>
      </w:pPr>
      <w:r>
        <w:rPr>
          <w:b/>
          <w:i w:val="0"/>
        </w:rPr>
        <w:t xml:space="preserve">Steps: </w:t>
      </w:r>
      <w:r>
        <w:rPr>
          <w:b w:val="0"/>
          <w:i w:val="0"/>
        </w:rPr>
        <w:t>Calculate unique reach for the identified set, then attempt it for aggregate-only inputs.</w:t>
      </w:r>
    </w:p>
    <w:p>
      <w:pPr>
        <w:spacing w:after="60"/>
      </w:pPr>
      <w:r>
        <w:rPr>
          <w:b/>
          <w:i w:val="0"/>
        </w:rPr>
        <w:t xml:space="preserve">Expected outcome: </w:t>
      </w:r>
      <w:r>
        <w:rPr>
          <w:b w:val="0"/>
          <w:i w:val="0"/>
        </w:rPr>
        <w:t>Identified unique reach is 180; aggregate-only gross reach is 200 with overlap unknown.</w:t>
      </w:r>
    </w:p>
    <w:p>
      <w:pPr>
        <w:spacing w:after="60"/>
      </w:pPr>
      <w:r>
        <w:rPr>
          <w:b/>
          <w:i w:val="0"/>
        </w:rPr>
        <w:t xml:space="preserve">Negative case: </w:t>
      </w:r>
      <w:r>
        <w:rPr>
          <w:b w:val="0"/>
          <w:i w:val="0"/>
        </w:rPr>
        <w:t>Do not infer identity from names or claim unique 200 without a justified matching method.</w:t>
      </w:r>
    </w:p>
    <w:p>
      <w:bookmarkStart w:id="348" w:name="req_AT03"/>
      <w:pPr>
        <w:keepNext/>
        <w:spacing w:before="180" w:after="40"/>
      </w:pPr>
      <w:r>
        <w:rPr>
          <w:b/>
          <w:i w:val="0"/>
        </w:rPr>
        <w:t>AT03   Cumulative time semantics</w:t>
      </w:r>
      <w:bookmarkEnd w:id="348"/>
    </w:p>
    <w:p>
      <w:pPr>
        <w:keepNext/>
        <w:spacing w:after="60"/>
      </w:pPr>
      <w:r>
        <w:rPr>
          <w:b w:val="0"/>
          <w:i w:val="0"/>
          <w:sz w:val="19"/>
        </w:rPr>
        <w:t>BRD scenario UAT03</w:t>
      </w:r>
    </w:p>
    <w:p>
      <w:pPr>
        <w:spacing w:after="60"/>
      </w:pPr>
      <w:r>
        <w:rPr>
          <w:b/>
          <w:i w:val="0"/>
        </w:rPr>
        <w:t xml:space="preserve">Coverage: </w:t>
      </w:r>
      <w:r>
        <w:rPr>
          <w:b w:val="0"/>
          <w:i w:val="0"/>
        </w:rPr>
        <w:t>FR-CAL-005 FR-IND-005.</w:t>
      </w:r>
    </w:p>
    <w:p>
      <w:pPr>
        <w:spacing w:after="60"/>
      </w:pPr>
      <w:r>
        <w:rPr>
          <w:b/>
          <w:i w:val="0"/>
        </w:rPr>
        <w:t xml:space="preserve">Preconditions: </w:t>
      </w:r>
      <w:r>
        <w:rPr>
          <w:b w:val="0"/>
          <w:i w:val="0"/>
        </w:rPr>
        <w:t>Monthly approved cumulative positions are ten, fifteen and twenty; a verified zero starting position exists.</w:t>
      </w:r>
    </w:p>
    <w:p>
      <w:pPr>
        <w:spacing w:after="60"/>
      </w:pPr>
      <w:r>
        <w:rPr>
          <w:b/>
          <w:i w:val="0"/>
        </w:rPr>
        <w:t xml:space="preserve">Steps: </w:t>
      </w:r>
      <w:r>
        <w:rPr>
          <w:b w:val="0"/>
          <w:i w:val="0"/>
        </w:rPr>
        <w:t>Request quarter end position and monthly increments; export with time-semantic metadata.</w:t>
      </w:r>
    </w:p>
    <w:p>
      <w:pPr>
        <w:spacing w:after="60"/>
      </w:pPr>
      <w:r>
        <w:rPr>
          <w:b/>
          <w:i w:val="0"/>
        </w:rPr>
        <w:t xml:space="preserve">Expected outcome: </w:t>
      </w:r>
      <w:r>
        <w:rPr>
          <w:b w:val="0"/>
          <w:i w:val="0"/>
        </w:rPr>
        <w:t>End position is twenty; increments are ten, five and five under the approved rule.</w:t>
      </w:r>
    </w:p>
    <w:p>
      <w:pPr>
        <w:spacing w:after="60"/>
      </w:pPr>
      <w:r>
        <w:rPr>
          <w:b/>
          <w:i w:val="0"/>
        </w:rPr>
        <w:t xml:space="preserve">Negative case: </w:t>
      </w:r>
      <w:r>
        <w:rPr>
          <w:b w:val="0"/>
          <w:i w:val="0"/>
        </w:rPr>
        <w:t>A request to sum positions as cumulative achievement 45 is blocked or explicitly classified as an unrelated statistic.</w:t>
      </w:r>
    </w:p>
    <w:p>
      <w:bookmarkStart w:id="349" w:name="req_AT04"/>
      <w:pPr>
        <w:keepNext/>
        <w:spacing w:before="180" w:after="40"/>
      </w:pPr>
      <w:r>
        <w:rPr>
          <w:b/>
          <w:i w:val="0"/>
        </w:rPr>
        <w:t>AT04   Coverage and approval</w:t>
      </w:r>
      <w:bookmarkEnd w:id="349"/>
    </w:p>
    <w:p>
      <w:pPr>
        <w:keepNext/>
        <w:spacing w:after="60"/>
      </w:pPr>
      <w:r>
        <w:rPr>
          <w:b w:val="0"/>
          <w:i w:val="0"/>
          <w:sz w:val="19"/>
        </w:rPr>
        <w:t>BRD scenario UAT04</w:t>
      </w:r>
    </w:p>
    <w:p>
      <w:pPr>
        <w:spacing w:after="60"/>
      </w:pPr>
      <w:r>
        <w:rPr>
          <w:b/>
          <w:i w:val="0"/>
        </w:rPr>
        <w:t xml:space="preserve">Coverage: </w:t>
      </w:r>
      <w:r>
        <w:rPr>
          <w:b w:val="0"/>
          <w:i w:val="0"/>
        </w:rPr>
        <w:t>FR-CAL-008 FR-DQ-006.</w:t>
      </w:r>
    </w:p>
    <w:p>
      <w:pPr>
        <w:spacing w:after="60"/>
      </w:pPr>
      <w:r>
        <w:rPr>
          <w:b/>
          <w:i w:val="0"/>
        </w:rPr>
        <w:t xml:space="preserve">Preconditions: </w:t>
      </w:r>
      <w:r>
        <w:rPr>
          <w:b w:val="0"/>
          <w:i w:val="0"/>
        </w:rPr>
        <w:t>Five obligations are expected; three are approved, one valid pending and one missing.</w:t>
      </w:r>
    </w:p>
    <w:p>
      <w:pPr>
        <w:spacing w:after="60"/>
      </w:pPr>
      <w:r>
        <w:rPr>
          <w:b/>
          <w:i w:val="0"/>
        </w:rPr>
        <w:t xml:space="preserve">Steps: </w:t>
      </w:r>
      <w:r>
        <w:rPr>
          <w:b w:val="0"/>
          <w:i w:val="0"/>
        </w:rPr>
        <w:t>Open official and provisional views, inspect completeness and attempt period lock.</w:t>
      </w:r>
    </w:p>
    <w:p>
      <w:pPr>
        <w:spacing w:after="60"/>
      </w:pPr>
      <w:r>
        <w:rPr>
          <w:b/>
          <w:i w:val="0"/>
        </w:rPr>
        <w:t xml:space="preserve">Expected outcome: </w:t>
      </w:r>
      <w:r>
        <w:rPr>
          <w:b w:val="0"/>
          <w:i w:val="0"/>
        </w:rPr>
        <w:t>Official result uses the three approved sources and displays 60 percent approval coverage; provisional context differs explicitly.</w:t>
      </w:r>
    </w:p>
    <w:p>
      <w:pPr>
        <w:spacing w:after="60"/>
      </w:pPr>
      <w:r>
        <w:rPr>
          <w:b/>
          <w:i w:val="0"/>
        </w:rPr>
        <w:t xml:space="preserve">Negative case: </w:t>
      </w:r>
      <w:r>
        <w:rPr>
          <w:b w:val="0"/>
          <w:i w:val="0"/>
        </w:rPr>
        <w:t>Mandatory pending or missing obligations block close unless a permitted approved exception applies.</w:t>
      </w:r>
    </w:p>
    <w:p>
      <w:bookmarkStart w:id="350" w:name="req_AT05"/>
      <w:pPr>
        <w:keepNext/>
        <w:spacing w:before="180" w:after="40"/>
      </w:pPr>
      <w:r>
        <w:rPr>
          <w:b/>
          <w:i w:val="0"/>
        </w:rPr>
        <w:t>AT05   Target revision after lock</w:t>
      </w:r>
      <w:bookmarkEnd w:id="350"/>
    </w:p>
    <w:p>
      <w:pPr>
        <w:keepNext/>
        <w:spacing w:after="60"/>
      </w:pPr>
      <w:r>
        <w:rPr>
          <w:b w:val="0"/>
          <w:i w:val="0"/>
          <w:sz w:val="19"/>
        </w:rPr>
        <w:t>BRD scenario UAT05</w:t>
      </w:r>
    </w:p>
    <w:p>
      <w:pPr>
        <w:spacing w:after="60"/>
      </w:pPr>
      <w:r>
        <w:rPr>
          <w:b/>
          <w:i w:val="0"/>
        </w:rPr>
        <w:t xml:space="preserve">Coverage: </w:t>
      </w:r>
      <w:r>
        <w:rPr>
          <w:b w:val="0"/>
          <w:i w:val="0"/>
        </w:rPr>
        <w:t>FR-IND-004 FR-WFL-008.</w:t>
      </w:r>
    </w:p>
    <w:p>
      <w:pPr>
        <w:spacing w:after="60"/>
      </w:pPr>
      <w:r>
        <w:rPr>
          <w:b/>
          <w:i w:val="0"/>
        </w:rPr>
        <w:t xml:space="preserve">Preconditions: </w:t>
      </w:r>
      <w:r>
        <w:rPr>
          <w:b w:val="0"/>
          <w:i w:val="0"/>
        </w:rPr>
        <w:t>A locked quarter has actual 900 and original target 1000; a later amendment proposes 800.</w:t>
      </w:r>
    </w:p>
    <w:p>
      <w:pPr>
        <w:spacing w:after="60"/>
      </w:pPr>
      <w:r>
        <w:rPr>
          <w:b/>
          <w:i w:val="0"/>
        </w:rPr>
        <w:t xml:space="preserve">Steps: </w:t>
      </w:r>
      <w:r>
        <w:rPr>
          <w:b w:val="0"/>
          <w:i w:val="0"/>
        </w:rPr>
        <w:t>Approve prospective amendment, regenerate original report and then create an explicit revised comparison.</w:t>
      </w:r>
    </w:p>
    <w:p>
      <w:pPr>
        <w:spacing w:after="60"/>
      </w:pPr>
      <w:r>
        <w:rPr>
          <w:b/>
          <w:i w:val="0"/>
        </w:rPr>
        <w:t xml:space="preserve">Expected outcome: </w:t>
      </w:r>
      <w:r>
        <w:rPr>
          <w:b w:val="0"/>
          <w:i w:val="0"/>
        </w:rPr>
        <w:t>Original remains 90 percent; revised comparison may show 112.5 percent with approved target version.</w:t>
      </w:r>
    </w:p>
    <w:p>
      <w:pPr>
        <w:spacing w:after="60"/>
      </w:pPr>
      <w:r>
        <w:rPr>
          <w:b/>
          <w:i w:val="0"/>
        </w:rPr>
        <w:t xml:space="preserve">Negative case: </w:t>
      </w:r>
      <w:r>
        <w:rPr>
          <w:b w:val="0"/>
          <w:i w:val="0"/>
        </w:rPr>
        <w:t>No background refresh silently changes the published denominator to 800.</w:t>
      </w:r>
    </w:p>
    <w:p>
      <w:bookmarkStart w:id="351" w:name="req_AT06"/>
      <w:pPr>
        <w:keepNext/>
        <w:spacing w:before="180" w:after="40"/>
      </w:pPr>
      <w:r>
        <w:rPr>
          <w:b/>
          <w:i w:val="0"/>
        </w:rPr>
        <w:t>AT06   Diamond and cycle</w:t>
      </w:r>
      <w:bookmarkEnd w:id="351"/>
    </w:p>
    <w:p>
      <w:pPr>
        <w:keepNext/>
        <w:spacing w:after="60"/>
      </w:pPr>
      <w:r>
        <w:rPr>
          <w:b w:val="0"/>
          <w:i w:val="0"/>
          <w:sz w:val="19"/>
        </w:rPr>
        <w:t>BRD scenario UAT06</w:t>
      </w:r>
    </w:p>
    <w:p>
      <w:pPr>
        <w:spacing w:after="60"/>
      </w:pPr>
      <w:r>
        <w:rPr>
          <w:b/>
          <w:i w:val="0"/>
        </w:rPr>
        <w:t xml:space="preserve">Coverage: </w:t>
      </w:r>
      <w:r>
        <w:rPr>
          <w:b w:val="0"/>
          <w:i w:val="0"/>
        </w:rPr>
        <w:t>FR-CAL-006 FR-CAL-014.</w:t>
      </w:r>
    </w:p>
    <w:p>
      <w:pPr>
        <w:spacing w:after="60"/>
      </w:pPr>
      <w:r>
        <w:rPr>
          <w:b/>
          <w:i w:val="0"/>
        </w:rPr>
        <w:t xml:space="preserve">Preconditions: </w:t>
      </w:r>
      <w:r>
        <w:rPr>
          <w:b w:val="0"/>
          <w:i w:val="0"/>
        </w:rPr>
        <w:t>One source value seven contributes through two intermediate nodes to one unique parent.</w:t>
      </w:r>
    </w:p>
    <w:p>
      <w:pPr>
        <w:spacing w:after="60"/>
      </w:pPr>
      <w:r>
        <w:rPr>
          <w:b/>
          <w:i w:val="0"/>
        </w:rPr>
        <w:t xml:space="preserve">Steps: </w:t>
      </w:r>
      <w:r>
        <w:rPr>
          <w:b w:val="0"/>
          <w:i w:val="0"/>
        </w:rPr>
        <w:t>Evaluate the parent, inspect repeated contribution evidence and try adding a reverse dependency.</w:t>
      </w:r>
    </w:p>
    <w:p>
      <w:pPr>
        <w:spacing w:after="60"/>
      </w:pPr>
      <w:r>
        <w:rPr>
          <w:b/>
          <w:i w:val="0"/>
        </w:rPr>
        <w:t xml:space="preserve">Expected outcome: </w:t>
      </w:r>
      <w:r>
        <w:rPr>
          <w:b w:val="0"/>
          <w:i w:val="0"/>
        </w:rPr>
        <w:t>The source contributes once under the declared union rule; the new cycle is rejected.</w:t>
      </w:r>
    </w:p>
    <w:p>
      <w:pPr>
        <w:spacing w:after="60"/>
      </w:pPr>
      <w:r>
        <w:rPr>
          <w:b/>
          <w:i w:val="0"/>
        </w:rPr>
        <w:t xml:space="preserve">Negative case: </w:t>
      </w:r>
      <w:r>
        <w:rPr>
          <w:b w:val="0"/>
          <w:i w:val="0"/>
        </w:rPr>
        <w:t>A merely additive graph with ambiguous overlap cannot silently double or halve the value.</w:t>
      </w:r>
    </w:p>
    <w:p>
      <w:bookmarkStart w:id="352" w:name="req_AT07"/>
      <w:pPr>
        <w:keepNext/>
        <w:spacing w:before="180" w:after="40"/>
      </w:pPr>
      <w:r>
        <w:rPr>
          <w:b/>
          <w:i w:val="0"/>
        </w:rPr>
        <w:t>AT07   Correction and publication</w:t>
      </w:r>
      <w:bookmarkEnd w:id="352"/>
    </w:p>
    <w:p>
      <w:pPr>
        <w:keepNext/>
        <w:spacing w:after="60"/>
      </w:pPr>
      <w:r>
        <w:rPr>
          <w:b w:val="0"/>
          <w:i w:val="0"/>
          <w:sz w:val="19"/>
        </w:rPr>
        <w:t>BRD scenario UAT07</w:t>
      </w:r>
    </w:p>
    <w:p>
      <w:pPr>
        <w:spacing w:after="60"/>
      </w:pPr>
      <w:r>
        <w:rPr>
          <w:b/>
          <w:i w:val="0"/>
        </w:rPr>
        <w:t xml:space="preserve">Coverage: </w:t>
      </w:r>
      <w:r>
        <w:rPr>
          <w:b w:val="0"/>
          <w:i w:val="0"/>
        </w:rPr>
        <w:t>FR-CAL-011 FR-RPT-003 FR-RPT-009.</w:t>
      </w:r>
    </w:p>
    <w:p>
      <w:pPr>
        <w:spacing w:after="60"/>
      </w:pPr>
      <w:r>
        <w:rPr>
          <w:b/>
          <w:i w:val="0"/>
        </w:rPr>
        <w:t xml:space="preserve">Preconditions: </w:t>
      </w:r>
      <w:r>
        <w:rPr>
          <w:b w:val="0"/>
          <w:i w:val="0"/>
        </w:rPr>
        <w:t>A report is published from a locked snapshot and the source later receives an approved correction.</w:t>
      </w:r>
    </w:p>
    <w:p>
      <w:pPr>
        <w:spacing w:after="60"/>
      </w:pPr>
      <w:r>
        <w:rPr>
          <w:b/>
          <w:i w:val="0"/>
        </w:rPr>
        <w:t xml:space="preserve">Steps: </w:t>
      </w:r>
      <w:r>
        <w:rPr>
          <w:b w:val="0"/>
          <w:i w:val="0"/>
        </w:rPr>
        <w:t>Recalculate live views, regenerate the old report and initiate restatement with recipient impact.</w:t>
      </w:r>
    </w:p>
    <w:p>
      <w:pPr>
        <w:spacing w:after="60"/>
      </w:pPr>
      <w:r>
        <w:rPr>
          <w:b/>
          <w:i w:val="0"/>
        </w:rPr>
        <w:t xml:space="preserve">Expected outcome: </w:t>
      </w:r>
      <w:r>
        <w:rPr>
          <w:b w:val="0"/>
          <w:i w:val="0"/>
        </w:rPr>
        <w:t>Live results get a new version; original report remains frozen; revised publication has independent approval and supersession history.</w:t>
      </w:r>
    </w:p>
    <w:p>
      <w:pPr>
        <w:spacing w:after="60"/>
      </w:pPr>
      <w:r>
        <w:rPr>
          <w:b/>
          <w:i w:val="0"/>
        </w:rPr>
        <w:t xml:space="preserve">Negative case: </w:t>
      </w:r>
      <w:r>
        <w:rPr>
          <w:b w:val="0"/>
          <w:i w:val="0"/>
        </w:rPr>
        <w:t>Failure during recalculation shows stale status rather than an apparently current mixed result.</w:t>
      </w:r>
    </w:p>
    <w:p>
      <w:bookmarkStart w:id="353" w:name="req_AT08"/>
      <w:pPr>
        <w:keepNext/>
        <w:spacing w:before="180" w:after="40"/>
      </w:pPr>
      <w:r>
        <w:rPr>
          <w:b/>
          <w:i w:val="0"/>
        </w:rPr>
        <w:t>AT08   Incompatible definitions</w:t>
      </w:r>
      <w:bookmarkEnd w:id="353"/>
    </w:p>
    <w:p>
      <w:pPr>
        <w:keepNext/>
        <w:spacing w:after="60"/>
      </w:pPr>
      <w:r>
        <w:rPr>
          <w:b w:val="0"/>
          <w:i w:val="0"/>
          <w:sz w:val="19"/>
        </w:rPr>
        <w:t>BRD scenario UAT08</w:t>
      </w:r>
    </w:p>
    <w:p>
      <w:pPr>
        <w:spacing w:after="60"/>
      </w:pPr>
      <w:r>
        <w:rPr>
          <w:b/>
          <w:i w:val="0"/>
        </w:rPr>
        <w:t xml:space="preserve">Coverage: </w:t>
      </w:r>
      <w:r>
        <w:rPr>
          <w:b w:val="0"/>
          <w:i w:val="0"/>
        </w:rPr>
        <w:t>FR-CAL-002 FR-CAL-007.</w:t>
      </w:r>
    </w:p>
    <w:p>
      <w:pPr>
        <w:spacing w:after="60"/>
      </w:pPr>
      <w:r>
        <w:rPr>
          <w:b/>
          <w:i w:val="0"/>
        </w:rPr>
        <w:t xml:space="preserve">Preconditions: </w:t>
      </w:r>
      <w:r>
        <w:rPr>
          <w:b w:val="0"/>
          <w:i w:val="0"/>
        </w:rPr>
        <w:t>Inputs mix age bands 0 to 14 and 0 to 17, plus households and people without underlying conversion data.</w:t>
      </w:r>
    </w:p>
    <w:p>
      <w:pPr>
        <w:spacing w:after="60"/>
      </w:pPr>
      <w:r>
        <w:rPr>
          <w:b/>
          <w:i w:val="0"/>
        </w:rPr>
        <w:t xml:space="preserve">Steps: </w:t>
      </w:r>
      <w:r>
        <w:rPr>
          <w:b w:val="0"/>
          <w:i w:val="0"/>
        </w:rPr>
        <w:t>Attempt to pool each pair and inspect the compatibility explanation.</w:t>
      </w:r>
    </w:p>
    <w:p>
      <w:pPr>
        <w:spacing w:after="60"/>
      </w:pPr>
      <w:r>
        <w:rPr>
          <w:b/>
          <w:i w:val="0"/>
        </w:rPr>
        <w:t xml:space="preserve">Expected outcome: </w:t>
      </w:r>
      <w:r>
        <w:rPr>
          <w:b w:val="0"/>
          <w:i w:val="0"/>
        </w:rPr>
        <w:t>Unsupported exact pooling is blocked; a separately reviewed qualified analysis may expose only compatible subsets.</w:t>
      </w:r>
    </w:p>
    <w:p>
      <w:pPr>
        <w:spacing w:after="60"/>
      </w:pPr>
      <w:r>
        <w:rPr>
          <w:b/>
          <w:i w:val="0"/>
        </w:rPr>
        <w:t xml:space="preserve">Negative case: </w:t>
      </w:r>
      <w:r>
        <w:rPr>
          <w:b w:val="0"/>
          <w:i w:val="0"/>
        </w:rPr>
        <w:t>Similar labels and AI recommendations cannot create a valid conversion automatically.</w:t>
      </w:r>
    </w:p>
    <w:p>
      <w:bookmarkStart w:id="354" w:name="req_AT09"/>
      <w:pPr>
        <w:keepNext/>
        <w:spacing w:before="180" w:after="40"/>
      </w:pPr>
      <w:r>
        <w:rPr>
          <w:b/>
          <w:i w:val="0"/>
        </w:rPr>
        <w:t>AT09   Value states</w:t>
      </w:r>
      <w:bookmarkEnd w:id="354"/>
    </w:p>
    <w:p>
      <w:pPr>
        <w:keepNext/>
        <w:spacing w:after="60"/>
      </w:pPr>
      <w:r>
        <w:rPr>
          <w:b w:val="0"/>
          <w:i w:val="0"/>
          <w:sz w:val="19"/>
        </w:rPr>
        <w:t>BRD scenario UAT09</w:t>
      </w:r>
    </w:p>
    <w:p>
      <w:pPr>
        <w:spacing w:after="60"/>
      </w:pPr>
      <w:r>
        <w:rPr>
          <w:b/>
          <w:i w:val="0"/>
        </w:rPr>
        <w:t xml:space="preserve">Coverage: </w:t>
      </w:r>
      <w:r>
        <w:rPr>
          <w:b w:val="0"/>
          <w:i w:val="0"/>
        </w:rPr>
        <w:t>FR-IND-007 FR-CAL-010.</w:t>
      </w:r>
    </w:p>
    <w:p>
      <w:pPr>
        <w:spacing w:after="60"/>
      </w:pPr>
      <w:r>
        <w:rPr>
          <w:b/>
          <w:i w:val="0"/>
        </w:rPr>
        <w:t xml:space="preserve">Preconditions: </w:t>
      </w:r>
      <w:r>
        <w:rPr>
          <w:b w:val="0"/>
          <w:i w:val="0"/>
        </w:rPr>
        <w:t>Prepare zero, missing, not applicable, invalid, pending, suppressed and zero-denominator fixtures.</w:t>
      </w:r>
    </w:p>
    <w:p>
      <w:pPr>
        <w:spacing w:after="60"/>
      </w:pPr>
      <w:r>
        <w:rPr>
          <w:b/>
          <w:i w:val="0"/>
        </w:rPr>
        <w:t xml:space="preserve">Steps: </w:t>
      </w:r>
      <w:r>
        <w:rPr>
          <w:b w:val="0"/>
          <w:i w:val="0"/>
        </w:rPr>
        <w:t>Inspect results through dashboard, API, export and AI calculation tools.</w:t>
      </w:r>
    </w:p>
    <w:p>
      <w:pPr>
        <w:spacing w:after="60"/>
      </w:pPr>
      <w:r>
        <w:rPr>
          <w:b/>
          <w:i w:val="0"/>
        </w:rPr>
        <w:t xml:space="preserve">Expected outcome: </w:t>
      </w:r>
      <w:r>
        <w:rPr>
          <w:b w:val="0"/>
          <w:i w:val="0"/>
        </w:rPr>
        <w:t>Each state follows the value matrix; no missing or undefined value becomes a numeric zero.</w:t>
      </w:r>
    </w:p>
    <w:p>
      <w:pPr>
        <w:spacing w:after="60"/>
      </w:pPr>
      <w:r>
        <w:rPr>
          <w:b/>
          <w:i w:val="0"/>
        </w:rPr>
        <w:t xml:space="preserve">Negative case: </w:t>
      </w:r>
      <w:r>
        <w:rPr>
          <w:b w:val="0"/>
          <w:i w:val="0"/>
        </w:rPr>
        <w:t>Suppressed public data has no hidden raw value in download or response metadata.</w:t>
      </w:r>
    </w:p>
    <w:p>
      <w:bookmarkStart w:id="355" w:name="req_AT10"/>
      <w:pPr>
        <w:keepNext/>
        <w:spacing w:before="180" w:after="40"/>
      </w:pPr>
      <w:r>
        <w:rPr>
          <w:b/>
          <w:i w:val="0"/>
        </w:rPr>
        <w:t>AT10   Causal interpretation</w:t>
      </w:r>
      <w:bookmarkEnd w:id="355"/>
    </w:p>
    <w:p>
      <w:pPr>
        <w:keepNext/>
        <w:spacing w:after="60"/>
      </w:pPr>
      <w:r>
        <w:rPr>
          <w:b w:val="0"/>
          <w:i w:val="0"/>
          <w:sz w:val="19"/>
        </w:rPr>
        <w:t>BRD scenario UAT10</w:t>
      </w:r>
    </w:p>
    <w:p>
      <w:pPr>
        <w:spacing w:after="60"/>
      </w:pPr>
      <w:r>
        <w:rPr>
          <w:b/>
          <w:i w:val="0"/>
        </w:rPr>
        <w:t xml:space="preserve">Coverage: </w:t>
      </w:r>
      <w:r>
        <w:rPr>
          <w:b w:val="0"/>
          <w:i w:val="0"/>
        </w:rPr>
        <w:t>FR-EVA-004 FR-AI-007.</w:t>
      </w:r>
    </w:p>
    <w:p>
      <w:pPr>
        <w:spacing w:after="60"/>
      </w:pPr>
      <w:r>
        <w:rPr>
          <w:b/>
          <w:i w:val="0"/>
        </w:rPr>
        <w:t xml:space="preserve">Preconditions: </w:t>
      </w:r>
      <w:r>
        <w:rPr>
          <w:b w:val="0"/>
          <w:i w:val="0"/>
        </w:rPr>
        <w:t>Outcome improved after intervention but no reviewed causal evaluation exists.</w:t>
      </w:r>
    </w:p>
    <w:p>
      <w:pPr>
        <w:spacing w:after="60"/>
      </w:pPr>
      <w:r>
        <w:rPr>
          <w:b/>
          <w:i w:val="0"/>
        </w:rPr>
        <w:t xml:space="preserve">Steps: </w:t>
      </w:r>
      <w:r>
        <w:rPr>
          <w:b w:val="0"/>
          <w:i w:val="0"/>
        </w:rPr>
        <w:t>Draft a report and ask AI why the outcome improved; then attach a reviewed evaluation with a qualified claim.</w:t>
      </w:r>
    </w:p>
    <w:p>
      <w:pPr>
        <w:spacing w:after="60"/>
      </w:pPr>
      <w:r>
        <w:rPr>
          <w:b/>
          <w:i w:val="0"/>
        </w:rPr>
        <w:t xml:space="preserve">Expected outcome: </w:t>
      </w:r>
      <w:r>
        <w:rPr>
          <w:b w:val="0"/>
          <w:i w:val="0"/>
        </w:rPr>
        <w:t>Initial language states observed change and limitations; stronger claim is allowed only within the reviewed method's scope.</w:t>
      </w:r>
    </w:p>
    <w:p>
      <w:pPr>
        <w:spacing w:after="60"/>
      </w:pPr>
      <w:r>
        <w:rPr>
          <w:b/>
          <w:i w:val="0"/>
        </w:rPr>
        <w:t xml:space="preserve">Negative case: </w:t>
      </w:r>
      <w:r>
        <w:rPr>
          <w:b w:val="0"/>
          <w:i w:val="0"/>
        </w:rPr>
        <w:t>A trend alone must not produce an unqualified attribution statement.</w:t>
      </w:r>
    </w:p>
    <w:p>
      <w:bookmarkStart w:id="356" w:name="req_AT11"/>
      <w:pPr>
        <w:keepNext/>
        <w:spacing w:before="180" w:after="40"/>
      </w:pPr>
      <w:r>
        <w:rPr>
          <w:b/>
          <w:i w:val="0"/>
        </w:rPr>
        <w:t>AT11   Cross scope access</w:t>
      </w:r>
      <w:bookmarkEnd w:id="356"/>
    </w:p>
    <w:p>
      <w:pPr>
        <w:keepNext/>
        <w:spacing w:after="60"/>
      </w:pPr>
      <w:r>
        <w:rPr>
          <w:b w:val="0"/>
          <w:i w:val="0"/>
          <w:sz w:val="19"/>
        </w:rPr>
        <w:t>BRD scenario UAT11</w:t>
      </w:r>
    </w:p>
    <w:p>
      <w:pPr>
        <w:spacing w:after="60"/>
      </w:pPr>
      <w:r>
        <w:rPr>
          <w:b/>
          <w:i w:val="0"/>
        </w:rPr>
        <w:t xml:space="preserve">Coverage: </w:t>
      </w:r>
      <w:r>
        <w:rPr>
          <w:b w:val="0"/>
          <w:i w:val="0"/>
        </w:rPr>
        <w:t>FR-ACC-001 FR-ACC-010 FR-AI-013.</w:t>
      </w:r>
    </w:p>
    <w:p>
      <w:pPr>
        <w:spacing w:after="60"/>
      </w:pPr>
      <w:r>
        <w:rPr>
          <w:b/>
          <w:i w:val="0"/>
        </w:rPr>
        <w:t xml:space="preserve">Preconditions: </w:t>
      </w:r>
      <w:r>
        <w:rPr>
          <w:b w:val="0"/>
          <w:i w:val="0"/>
        </w:rPr>
        <w:t>Partner A has no access to partner B and another tenant has distinct synthetic markers.</w:t>
      </w:r>
    </w:p>
    <w:p>
      <w:pPr>
        <w:spacing w:after="60"/>
      </w:pPr>
      <w:r>
        <w:rPr>
          <w:b/>
          <w:i w:val="0"/>
        </w:rPr>
        <w:t xml:space="preserve">Steps: </w:t>
      </w:r>
      <w:r>
        <w:rPr>
          <w:b w:val="0"/>
          <w:i w:val="0"/>
        </w:rPr>
        <w:t>Guess object IDs, use search, export, cached links and AI questions for the prohibited scope.</w:t>
      </w:r>
    </w:p>
    <w:p>
      <w:pPr>
        <w:spacing w:after="60"/>
      </w:pPr>
      <w:r>
        <w:rPr>
          <w:b/>
          <w:i w:val="0"/>
        </w:rPr>
        <w:t xml:space="preserve">Expected outcome: </w:t>
      </w:r>
      <w:r>
        <w:rPr>
          <w:b w:val="0"/>
          <w:i w:val="0"/>
        </w:rPr>
        <w:t>No protected content, counts, snippets, citations or existence signals are exposed.</w:t>
      </w:r>
    </w:p>
    <w:p>
      <w:pPr>
        <w:spacing w:after="60"/>
      </w:pPr>
      <w:r>
        <w:rPr>
          <w:b/>
          <w:i w:val="0"/>
        </w:rPr>
        <w:t xml:space="preserve">Negative case: </w:t>
      </w:r>
      <w:r>
        <w:rPr>
          <w:b w:val="0"/>
          <w:i w:val="0"/>
        </w:rPr>
        <w:t>Repeat through background jobs and a copied conversation, not only direct page navigation.</w:t>
      </w:r>
    </w:p>
    <w:p>
      <w:bookmarkStart w:id="357" w:name="req_AT12"/>
      <w:pPr>
        <w:keepNext/>
        <w:spacing w:before="180" w:after="40"/>
      </w:pPr>
      <w:r>
        <w:rPr>
          <w:b/>
          <w:i w:val="0"/>
        </w:rPr>
        <w:t>AT12   Independent approval</w:t>
      </w:r>
      <w:bookmarkEnd w:id="357"/>
    </w:p>
    <w:p>
      <w:pPr>
        <w:keepNext/>
        <w:spacing w:after="60"/>
      </w:pPr>
      <w:r>
        <w:rPr>
          <w:b w:val="0"/>
          <w:i w:val="0"/>
          <w:sz w:val="19"/>
        </w:rPr>
        <w:t>BRD scenario UAT12</w:t>
      </w:r>
    </w:p>
    <w:p>
      <w:pPr>
        <w:spacing w:after="60"/>
      </w:pPr>
      <w:r>
        <w:rPr>
          <w:b/>
          <w:i w:val="0"/>
        </w:rPr>
        <w:t xml:space="preserve">Coverage: </w:t>
      </w:r>
      <w:r>
        <w:rPr>
          <w:b w:val="0"/>
          <w:i w:val="0"/>
        </w:rPr>
        <w:t>FR-ACC-004 FR-WFL-002.</w:t>
      </w:r>
    </w:p>
    <w:p>
      <w:pPr>
        <w:spacing w:after="60"/>
      </w:pPr>
      <w:r>
        <w:rPr>
          <w:b/>
          <w:i w:val="0"/>
        </w:rPr>
        <w:t xml:space="preserve">Preconditions: </w:t>
      </w:r>
      <w:r>
        <w:rPr>
          <w:b w:val="0"/>
          <w:i w:val="0"/>
        </w:rPr>
        <w:t>An author also holds reviewer membership through another group; a separate eligible reviewer exists.</w:t>
      </w:r>
    </w:p>
    <w:p>
      <w:pPr>
        <w:spacing w:after="60"/>
      </w:pPr>
      <w:r>
        <w:rPr>
          <w:b/>
          <w:i w:val="0"/>
        </w:rPr>
        <w:t xml:space="preserve">Steps: </w:t>
      </w:r>
      <w:r>
        <w:rPr>
          <w:b w:val="0"/>
          <w:i w:val="0"/>
        </w:rPr>
        <w:t>Attempt direct, group-mediated and delegated self approval, then have the independent reviewer approve the exact version.</w:t>
      </w:r>
    </w:p>
    <w:p>
      <w:pPr>
        <w:spacing w:after="60"/>
      </w:pPr>
      <w:r>
        <w:rPr>
          <w:b/>
          <w:i w:val="0"/>
        </w:rPr>
        <w:t xml:space="preserve">Expected outcome: </w:t>
      </w:r>
      <w:r>
        <w:rPr>
          <w:b w:val="0"/>
          <w:i w:val="0"/>
        </w:rPr>
        <w:t>All self-approval routes fail; the independent decision records candidate and workflow version.</w:t>
      </w:r>
    </w:p>
    <w:p>
      <w:pPr>
        <w:spacing w:after="60"/>
      </w:pPr>
      <w:r>
        <w:rPr>
          <w:b/>
          <w:i w:val="0"/>
        </w:rPr>
        <w:t xml:space="preserve">Negative case: </w:t>
      </w:r>
      <w:r>
        <w:rPr>
          <w:b w:val="0"/>
          <w:i w:val="0"/>
        </w:rPr>
        <w:t>Editing the candidate before commit invalidates the stale independent approval attempt.</w:t>
      </w:r>
    </w:p>
    <w:p>
      <w:bookmarkStart w:id="358" w:name="req_AT13"/>
      <w:pPr>
        <w:keepNext/>
        <w:spacing w:before="180" w:after="40"/>
      </w:pPr>
      <w:r>
        <w:rPr>
          <w:b/>
          <w:i w:val="0"/>
        </w:rPr>
        <w:t>AT13   Revoked queued extraction</w:t>
      </w:r>
      <w:bookmarkEnd w:id="358"/>
    </w:p>
    <w:p>
      <w:pPr>
        <w:keepNext/>
        <w:spacing w:after="60"/>
      </w:pPr>
      <w:r>
        <w:rPr>
          <w:b w:val="0"/>
          <w:i w:val="0"/>
          <w:sz w:val="19"/>
        </w:rPr>
        <w:t>BRD scenario UAT13</w:t>
      </w:r>
    </w:p>
    <w:p>
      <w:pPr>
        <w:spacing w:after="60"/>
      </w:pPr>
      <w:r>
        <w:rPr>
          <w:b/>
          <w:i w:val="0"/>
        </w:rPr>
        <w:t xml:space="preserve">Coverage: </w:t>
      </w:r>
      <w:r>
        <w:rPr>
          <w:b w:val="0"/>
          <w:i w:val="0"/>
        </w:rPr>
        <w:t>FR-ACC-007 FR-RPT-008 VF-IAM-001.</w:t>
      </w:r>
    </w:p>
    <w:p>
      <w:pPr>
        <w:spacing w:after="60"/>
      </w:pPr>
      <w:r>
        <w:rPr>
          <w:b/>
          <w:i w:val="0"/>
        </w:rPr>
        <w:t xml:space="preserve">Preconditions: </w:t>
      </w:r>
      <w:r>
        <w:rPr>
          <w:b w:val="0"/>
          <w:i w:val="0"/>
        </w:rPr>
        <w:t>A user has queued export and report delivery; one generated artifact already exists.</w:t>
      </w:r>
    </w:p>
    <w:p>
      <w:pPr>
        <w:spacing w:after="60"/>
      </w:pPr>
      <w:r>
        <w:rPr>
          <w:b/>
          <w:i w:val="0"/>
        </w:rPr>
        <w:t xml:space="preserve">Steps: </w:t>
      </w:r>
      <w:r>
        <w:rPr>
          <w:b w:val="0"/>
          <w:i w:val="0"/>
        </w:rPr>
        <w:t>Revoke access, poll each channel through the bound and allow queued jobs to reach sensitive stages.</w:t>
      </w:r>
    </w:p>
    <w:p>
      <w:pPr>
        <w:spacing w:after="60"/>
      </w:pPr>
      <w:r>
        <w:rPr>
          <w:b/>
          <w:i w:val="0"/>
        </w:rPr>
        <w:t xml:space="preserve">Expected outcome: </w:t>
      </w:r>
      <w:r>
        <w:rPr>
          <w:b w:val="0"/>
          <w:i w:val="0"/>
        </w:rPr>
        <w:t>No protected access after sixty seconds; execution and delivery recheck authority and deny stale permissions.</w:t>
      </w:r>
    </w:p>
    <w:p>
      <w:pPr>
        <w:spacing w:after="60"/>
      </w:pPr>
      <w:r>
        <w:rPr>
          <w:b/>
          <w:i w:val="0"/>
        </w:rPr>
        <w:t xml:space="preserve">Negative case: </w:t>
      </w:r>
      <w:r>
        <w:rPr>
          <w:b w:val="0"/>
          <w:i w:val="0"/>
        </w:rPr>
        <w:t>An old download reference or cached recipient list cannot preserve access.</w:t>
      </w:r>
    </w:p>
    <w:p>
      <w:bookmarkStart w:id="359" w:name="req_AT14"/>
      <w:pPr>
        <w:keepNext/>
        <w:spacing w:before="180" w:after="40"/>
      </w:pPr>
      <w:r>
        <w:rPr>
          <w:b/>
          <w:i w:val="0"/>
        </w:rPr>
        <w:t>AT14   Owner departure</w:t>
      </w:r>
      <w:bookmarkEnd w:id="359"/>
    </w:p>
    <w:p>
      <w:pPr>
        <w:keepNext/>
        <w:spacing w:after="60"/>
      </w:pPr>
      <w:r>
        <w:rPr>
          <w:b w:val="0"/>
          <w:i w:val="0"/>
          <w:sz w:val="19"/>
        </w:rPr>
        <w:t>BRD scenario UAT14</w:t>
      </w:r>
    </w:p>
    <w:p>
      <w:pPr>
        <w:spacing w:after="60"/>
      </w:pPr>
      <w:r>
        <w:rPr>
          <w:b/>
          <w:i w:val="0"/>
        </w:rPr>
        <w:t xml:space="preserve">Coverage: </w:t>
      </w:r>
      <w:r>
        <w:rPr>
          <w:b w:val="0"/>
          <w:i w:val="0"/>
        </w:rPr>
        <w:t>FR-IAM-014 FR-INT-002.</w:t>
      </w:r>
    </w:p>
    <w:p>
      <w:pPr>
        <w:spacing w:after="60"/>
      </w:pPr>
      <w:r>
        <w:rPr>
          <w:b/>
          <w:i w:val="0"/>
        </w:rPr>
        <w:t xml:space="preserve">Preconditions: </w:t>
      </w:r>
      <w:r>
        <w:rPr>
          <w:b w:val="0"/>
          <w:i w:val="0"/>
        </w:rPr>
        <w:t>A departing contractor owns a connector, service identity and report schedule with pending work.</w:t>
      </w:r>
    </w:p>
    <w:p>
      <w:pPr>
        <w:spacing w:after="60"/>
      </w:pPr>
      <w:r>
        <w:rPr>
          <w:b/>
          <w:i w:val="0"/>
        </w:rPr>
        <w:t xml:space="preserve">Steps: </w:t>
      </w:r>
      <w:r>
        <w:rPr>
          <w:b w:val="0"/>
          <w:i w:val="0"/>
        </w:rPr>
        <w:t>Offboard, inspect dependent objects and reassign eligible work under current permissions.</w:t>
      </w:r>
    </w:p>
    <w:p>
      <w:pPr>
        <w:spacing w:after="60"/>
      </w:pPr>
      <w:r>
        <w:rPr>
          <w:b/>
          <w:i w:val="0"/>
        </w:rPr>
        <w:t xml:space="preserve">Expected outcome: </w:t>
      </w:r>
      <w:r>
        <w:rPr>
          <w:b w:val="0"/>
          <w:i w:val="0"/>
        </w:rPr>
        <w:t>Access ends, history remains and each owned object is reassigned, cancelled or explicitly held.</w:t>
      </w:r>
    </w:p>
    <w:p>
      <w:pPr>
        <w:spacing w:after="60"/>
      </w:pPr>
      <w:r>
        <w:rPr>
          <w:b/>
          <w:i w:val="0"/>
        </w:rPr>
        <w:t xml:space="preserve">Negative case: </w:t>
      </w:r>
      <w:r>
        <w:rPr>
          <w:b w:val="0"/>
          <w:i w:val="0"/>
        </w:rPr>
        <w:t>No job runs indefinitely under the departed human session or silently adopts unrestricted operator authority.</w:t>
      </w:r>
    </w:p>
    <w:p>
      <w:bookmarkStart w:id="360" w:name="req_AT15"/>
      <w:pPr>
        <w:keepNext/>
        <w:spacing w:before="180" w:after="40"/>
      </w:pPr>
      <w:r>
        <w:rPr>
          <w:b/>
          <w:i w:val="0"/>
        </w:rPr>
        <w:t>AT15   Deletion and restore</w:t>
      </w:r>
      <w:bookmarkEnd w:id="360"/>
    </w:p>
    <w:p>
      <w:pPr>
        <w:keepNext/>
        <w:spacing w:after="60"/>
      </w:pPr>
      <w:r>
        <w:rPr>
          <w:b w:val="0"/>
          <w:i w:val="0"/>
          <w:sz w:val="19"/>
        </w:rPr>
        <w:t>BRD scenario UAT15</w:t>
      </w:r>
    </w:p>
    <w:p>
      <w:pPr>
        <w:spacing w:after="60"/>
      </w:pPr>
      <w:r>
        <w:rPr>
          <w:b/>
          <w:i w:val="0"/>
        </w:rPr>
        <w:t xml:space="preserve">Coverage: </w:t>
      </w:r>
      <w:r>
        <w:rPr>
          <w:b w:val="0"/>
          <w:i w:val="0"/>
        </w:rPr>
        <w:t>FR-PRV-005 FR-PRV-006 VF-PRV-001.</w:t>
      </w:r>
    </w:p>
    <w:p>
      <w:pPr>
        <w:spacing w:after="60"/>
      </w:pPr>
      <w:r>
        <w:rPr>
          <w:b/>
          <w:i w:val="0"/>
        </w:rPr>
        <w:t xml:space="preserve">Preconditions: </w:t>
      </w:r>
      <w:r>
        <w:rPr>
          <w:b w:val="0"/>
          <w:i w:val="0"/>
        </w:rPr>
        <w:t>A participant is deleted after an older backup was created; one separate item is lawfully held.</w:t>
      </w:r>
    </w:p>
    <w:p>
      <w:pPr>
        <w:spacing w:after="60"/>
      </w:pPr>
      <w:r>
        <w:rPr>
          <w:b/>
          <w:i w:val="0"/>
        </w:rPr>
        <w:t xml:space="preserve">Steps: </w:t>
      </w:r>
      <w:r>
        <w:rPr>
          <w:b w:val="0"/>
          <w:i w:val="0"/>
        </w:rPr>
        <w:t>Execute active-store deletion, restore the old backup in isolation and apply current deletion and grant state before opening.</w:t>
      </w:r>
    </w:p>
    <w:p>
      <w:pPr>
        <w:spacing w:after="60"/>
      </w:pPr>
      <w:r>
        <w:rPr>
          <w:b/>
          <w:i w:val="0"/>
        </w:rPr>
        <w:t xml:space="preserve">Expected outcome: </w:t>
      </w:r>
      <w:r>
        <w:rPr>
          <w:b w:val="0"/>
          <w:i w:val="0"/>
        </w:rPr>
        <w:t>Deleted content is inaccessible; the held item remains restricted and explicitly accounted for.</w:t>
      </w:r>
    </w:p>
    <w:p>
      <w:pPr>
        <w:spacing w:after="60"/>
      </w:pPr>
      <w:r>
        <w:rPr>
          <w:b/>
          <w:i w:val="0"/>
        </w:rPr>
        <w:t xml:space="preserve">Negative case: </w:t>
      </w:r>
      <w:r>
        <w:rPr>
          <w:b w:val="0"/>
          <w:i w:val="0"/>
        </w:rPr>
        <w:t>Search, AI summaries and generated private exports cannot recover the deleted value.</w:t>
      </w:r>
    </w:p>
    <w:p>
      <w:bookmarkStart w:id="361" w:name="req_AT16"/>
      <w:pPr>
        <w:keepNext/>
        <w:spacing w:before="180" w:after="40"/>
      </w:pPr>
      <w:r>
        <w:rPr>
          <w:b/>
          <w:i w:val="0"/>
        </w:rPr>
        <w:t>AT16   Aggregate inference</w:t>
      </w:r>
      <w:bookmarkEnd w:id="361"/>
    </w:p>
    <w:p>
      <w:pPr>
        <w:keepNext/>
        <w:spacing w:after="60"/>
      </w:pPr>
      <w:r>
        <w:rPr>
          <w:b w:val="0"/>
          <w:i w:val="0"/>
          <w:sz w:val="19"/>
        </w:rPr>
        <w:t>BRD scenario UAT16</w:t>
      </w:r>
    </w:p>
    <w:p>
      <w:pPr>
        <w:spacing w:after="60"/>
      </w:pPr>
      <w:r>
        <w:rPr>
          <w:b/>
          <w:i w:val="0"/>
        </w:rPr>
        <w:t xml:space="preserve">Coverage: </w:t>
      </w:r>
      <w:r>
        <w:rPr>
          <w:b w:val="0"/>
          <w:i w:val="0"/>
        </w:rPr>
        <w:t>FR-ACC-009 FR-ANA-002.</w:t>
      </w:r>
    </w:p>
    <w:p>
      <w:pPr>
        <w:spacing w:after="60"/>
      </w:pPr>
      <w:r>
        <w:rPr>
          <w:b/>
          <w:i w:val="0"/>
        </w:rPr>
        <w:t xml:space="preserve">Preconditions: </w:t>
      </w:r>
      <w:r>
        <w:rPr>
          <w:b w:val="0"/>
          <w:i w:val="0"/>
        </w:rPr>
        <w:t>A public view has groups two and eight and total ten under threshold five.</w:t>
      </w:r>
    </w:p>
    <w:p>
      <w:pPr>
        <w:spacing w:after="60"/>
      </w:pPr>
      <w:r>
        <w:rPr>
          <w:b/>
          <w:i w:val="0"/>
        </w:rPr>
        <w:t xml:space="preserve">Steps: </w:t>
      </w:r>
      <w:r>
        <w:rPr>
          <w:b w:val="0"/>
          <w:i w:val="0"/>
        </w:rPr>
        <w:t>Publish candidate tables, filters and downloads; attempt subtraction and repeated slicing.</w:t>
      </w:r>
    </w:p>
    <w:p>
      <w:pPr>
        <w:spacing w:after="60"/>
      </w:pPr>
      <w:r>
        <w:rPr>
          <w:b/>
          <w:i w:val="0"/>
        </w:rPr>
        <w:t xml:space="preserve">Expected outcome: </w:t>
      </w:r>
      <w:r>
        <w:rPr>
          <w:b w:val="0"/>
          <w:i w:val="0"/>
        </w:rPr>
        <w:t>Complementary suppression or withholding prevents the tested reconstruction in every channel.</w:t>
      </w:r>
    </w:p>
    <w:p>
      <w:pPr>
        <w:spacing w:after="60"/>
      </w:pPr>
      <w:r>
        <w:rPr>
          <w:b/>
          <w:i w:val="0"/>
        </w:rPr>
        <w:t xml:space="preserve">Negative case: </w:t>
      </w:r>
      <w:r>
        <w:rPr>
          <w:b w:val="0"/>
          <w:i w:val="0"/>
        </w:rPr>
        <w:t>Removing the small cell alone does not pass if eight and ten remain sufficient to infer it.</w:t>
      </w:r>
    </w:p>
    <w:p>
      <w:bookmarkStart w:id="362" w:name="req_AT17"/>
      <w:pPr>
        <w:keepNext/>
        <w:spacing w:before="180" w:after="40"/>
      </w:pPr>
      <w:r>
        <w:rPr>
          <w:b/>
          <w:i w:val="0"/>
        </w:rPr>
        <w:t>AT17   Privileged support</w:t>
      </w:r>
      <w:bookmarkEnd w:id="362"/>
    </w:p>
    <w:p>
      <w:pPr>
        <w:keepNext/>
        <w:spacing w:after="60"/>
      </w:pPr>
      <w:r>
        <w:rPr>
          <w:b w:val="0"/>
          <w:i w:val="0"/>
          <w:sz w:val="19"/>
        </w:rPr>
        <w:t>BRD scenario UAT17</w:t>
      </w:r>
    </w:p>
    <w:p>
      <w:pPr>
        <w:spacing w:after="60"/>
      </w:pPr>
      <w:r>
        <w:rPr>
          <w:b/>
          <w:i w:val="0"/>
        </w:rPr>
        <w:t xml:space="preserve">Coverage: </w:t>
      </w:r>
      <w:r>
        <w:rPr>
          <w:b w:val="0"/>
          <w:i w:val="0"/>
        </w:rPr>
        <w:t>FR-ACC-008 FR-SEC-013.</w:t>
      </w:r>
    </w:p>
    <w:p>
      <w:pPr>
        <w:spacing w:after="60"/>
      </w:pPr>
      <w:r>
        <w:rPr>
          <w:b/>
          <w:i w:val="0"/>
        </w:rPr>
        <w:t xml:space="preserve">Preconditions: </w:t>
      </w:r>
      <w:r>
        <w:rPr>
          <w:b w:val="0"/>
          <w:i w:val="0"/>
        </w:rPr>
        <w:t>A tenant permits support for one failed import for sixty minutes and excludes publication and identity administration.</w:t>
      </w:r>
    </w:p>
    <w:p>
      <w:pPr>
        <w:spacing w:after="60"/>
      </w:pPr>
      <w:r>
        <w:rPr>
          <w:b/>
          <w:i w:val="0"/>
        </w:rPr>
        <w:t xml:space="preserve">Steps: </w:t>
      </w:r>
      <w:r>
        <w:rPr>
          <w:b w:val="0"/>
          <w:i w:val="0"/>
        </w:rPr>
        <w:t>Approve distinct operator access, inspect the scoped record, attempt prohibited actions and terminate the session.</w:t>
      </w:r>
    </w:p>
    <w:p>
      <w:pPr>
        <w:spacing w:after="60"/>
      </w:pPr>
      <w:r>
        <w:rPr>
          <w:b/>
          <w:i w:val="0"/>
        </w:rPr>
        <w:t xml:space="preserve">Expected outcome: </w:t>
      </w:r>
      <w:r>
        <w:rPr>
          <w:b w:val="0"/>
          <w:i w:val="0"/>
        </w:rPr>
        <w:t>Permitted diagnostic access is attributable; excluded actions fail; expired session and queued reads stop.</w:t>
      </w:r>
    </w:p>
    <w:p>
      <w:pPr>
        <w:spacing w:after="60"/>
      </w:pPr>
      <w:r>
        <w:rPr>
          <w:b/>
          <w:i w:val="0"/>
        </w:rPr>
        <w:t xml:space="preserve">Negative case: </w:t>
      </w:r>
      <w:r>
        <w:rPr>
          <w:b w:val="0"/>
          <w:i w:val="0"/>
        </w:rPr>
        <w:t>A support ticket without an approved elevation grant confers no content access.</w:t>
      </w:r>
    </w:p>
    <w:p>
      <w:bookmarkStart w:id="363" w:name="req_AT18"/>
      <w:pPr>
        <w:keepNext/>
        <w:spacing w:before="180" w:after="40"/>
      </w:pPr>
      <w:r>
        <w:rPr>
          <w:b/>
          <w:i w:val="0"/>
        </w:rPr>
        <w:t>AT18   Entitlement boundary</w:t>
      </w:r>
      <w:bookmarkEnd w:id="363"/>
    </w:p>
    <w:p>
      <w:pPr>
        <w:keepNext/>
        <w:spacing w:after="60"/>
      </w:pPr>
      <w:r>
        <w:rPr>
          <w:b w:val="0"/>
          <w:i w:val="0"/>
          <w:sz w:val="19"/>
        </w:rPr>
        <w:t>BRD scenario UAT18</w:t>
      </w:r>
    </w:p>
    <w:p>
      <w:pPr>
        <w:spacing w:after="60"/>
      </w:pPr>
      <w:r>
        <w:rPr>
          <w:b/>
          <w:i w:val="0"/>
        </w:rPr>
        <w:t xml:space="preserve">Coverage: </w:t>
      </w:r>
      <w:r>
        <w:rPr>
          <w:b w:val="0"/>
          <w:i w:val="0"/>
        </w:rPr>
        <w:t>FR-OPS-002 FR-AI-016.</w:t>
      </w:r>
    </w:p>
    <w:p>
      <w:pPr>
        <w:spacing w:after="60"/>
      </w:pPr>
      <w:r>
        <w:rPr>
          <w:b/>
          <w:i w:val="0"/>
        </w:rPr>
        <w:t xml:space="preserve">Preconditions: </w:t>
      </w:r>
      <w:r>
        <w:rPr>
          <w:b w:val="0"/>
          <w:i w:val="0"/>
        </w:rPr>
        <w:t>The tenant reaches its storage and AI limits while holding approved results and pending review.</w:t>
      </w:r>
    </w:p>
    <w:p>
      <w:pPr>
        <w:spacing w:after="60"/>
      </w:pPr>
      <w:r>
        <w:rPr>
          <w:b/>
          <w:i w:val="0"/>
        </w:rPr>
        <w:t xml:space="preserve">Steps: </w:t>
      </w:r>
      <w:r>
        <w:rPr>
          <w:b w:val="0"/>
          <w:i w:val="0"/>
        </w:rPr>
        <w:t>Attempt excess upload and AI generation, then complete manual approval and authorised exit export.</w:t>
      </w:r>
    </w:p>
    <w:p>
      <w:pPr>
        <w:spacing w:after="60"/>
      </w:pPr>
      <w:r>
        <w:rPr>
          <w:b/>
          <w:i w:val="0"/>
        </w:rPr>
        <w:t xml:space="preserve">Expected outcome: </w:t>
      </w:r>
      <w:r>
        <w:rPr>
          <w:b w:val="0"/>
          <w:i w:val="0"/>
        </w:rPr>
        <w:t>Excess work receives a clear limit state; core authorised access, security and exit remain available.</w:t>
      </w:r>
    </w:p>
    <w:p>
      <w:pPr>
        <w:spacing w:after="60"/>
      </w:pPr>
      <w:r>
        <w:rPr>
          <w:b/>
          <w:i w:val="0"/>
        </w:rPr>
        <w:t xml:space="preserve">Negative case: </w:t>
      </w:r>
      <w:r>
        <w:rPr>
          <w:b w:val="0"/>
          <w:i w:val="0"/>
        </w:rPr>
        <w:t>No automatic deletion, downgrade of MFA or prohibited fallback model transmission occurs.</w:t>
      </w:r>
    </w:p>
    <w:p>
      <w:bookmarkStart w:id="364" w:name="req_AT19"/>
      <w:pPr>
        <w:keepNext/>
        <w:spacing w:before="180" w:after="40"/>
      </w:pPr>
      <w:r>
        <w:rPr>
          <w:b/>
          <w:i w:val="0"/>
        </w:rPr>
        <w:t>AT19   Regional recovery</w:t>
      </w:r>
      <w:bookmarkEnd w:id="364"/>
    </w:p>
    <w:p>
      <w:pPr>
        <w:keepNext/>
        <w:spacing w:after="60"/>
      </w:pPr>
      <w:r>
        <w:rPr>
          <w:b w:val="0"/>
          <w:i w:val="0"/>
          <w:sz w:val="19"/>
        </w:rPr>
        <w:t>BRD scenario UAT19</w:t>
      </w:r>
    </w:p>
    <w:p>
      <w:pPr>
        <w:spacing w:after="60"/>
      </w:pPr>
      <w:r>
        <w:rPr>
          <w:b/>
          <w:i w:val="0"/>
        </w:rPr>
        <w:t xml:space="preserve">Coverage: </w:t>
      </w:r>
      <w:r>
        <w:rPr>
          <w:b w:val="0"/>
          <w:i w:val="0"/>
        </w:rPr>
        <w:t>FR-OPS-006 FR-PRV-003 VF-DR-001.</w:t>
      </w:r>
    </w:p>
    <w:p>
      <w:pPr>
        <w:spacing w:after="60"/>
      </w:pPr>
      <w:r>
        <w:rPr>
          <w:b/>
          <w:i w:val="0"/>
        </w:rPr>
        <w:t xml:space="preserve">Preconditions: </w:t>
      </w:r>
      <w:r>
        <w:rPr>
          <w:b w:val="0"/>
          <w:i w:val="0"/>
        </w:rPr>
        <w:t>A qualified tenant has permitted primary and recovery regions, governed data and recent accepted writes.</w:t>
      </w:r>
    </w:p>
    <w:p>
      <w:pPr>
        <w:spacing w:after="60"/>
      </w:pPr>
      <w:r>
        <w:rPr>
          <w:b/>
          <w:i w:val="0"/>
        </w:rPr>
        <w:t xml:space="preserve">Steps: </w:t>
      </w:r>
      <w:r>
        <w:rPr>
          <w:b w:val="0"/>
          <w:i w:val="0"/>
        </w:rPr>
        <w:t>Declare disaster, recover within policy, reconcile records and snapshots and measure actual recovery point and time.</w:t>
      </w:r>
    </w:p>
    <w:p>
      <w:pPr>
        <w:spacing w:after="60"/>
      </w:pPr>
      <w:r>
        <w:rPr>
          <w:b/>
          <w:i w:val="0"/>
        </w:rPr>
        <w:t xml:space="preserve">Expected outcome: </w:t>
      </w:r>
      <w:r>
        <w:rPr>
          <w:b w:val="0"/>
          <w:i w:val="0"/>
        </w:rPr>
        <w:t>Recovery meets qualified targets and records actual recovery point and time; current permissions and deletion state are restored before access.</w:t>
      </w:r>
    </w:p>
    <w:p>
      <w:pPr>
        <w:spacing w:after="60"/>
      </w:pPr>
      <w:r>
        <w:rPr>
          <w:b/>
          <w:i w:val="0"/>
        </w:rPr>
        <w:t xml:space="preserve">Negative case: </w:t>
      </w:r>
      <w:r>
        <w:rPr>
          <w:b w:val="0"/>
          <w:i w:val="0"/>
        </w:rPr>
        <w:t>A faster prohibited-region restore is denied; missing files or governance state prevents declaring full recovery.</w:t>
      </w:r>
    </w:p>
    <w:p>
      <w:bookmarkStart w:id="365" w:name="req_AT20"/>
      <w:pPr>
        <w:keepNext/>
        <w:spacing w:before="180" w:after="40"/>
      </w:pPr>
      <w:r>
        <w:rPr>
          <w:b/>
          <w:i w:val="0"/>
        </w:rPr>
        <w:t>AT20   Tenant exit</w:t>
      </w:r>
      <w:bookmarkEnd w:id="365"/>
    </w:p>
    <w:p>
      <w:pPr>
        <w:keepNext/>
        <w:spacing w:after="60"/>
      </w:pPr>
      <w:r>
        <w:rPr>
          <w:b w:val="0"/>
          <w:i w:val="0"/>
          <w:sz w:val="19"/>
        </w:rPr>
        <w:t>BRD scenario UAT20</w:t>
      </w:r>
    </w:p>
    <w:p>
      <w:pPr>
        <w:spacing w:after="60"/>
      </w:pPr>
      <w:r>
        <w:rPr>
          <w:b/>
          <w:i w:val="0"/>
        </w:rPr>
        <w:t xml:space="preserve">Coverage: </w:t>
      </w:r>
      <w:r>
        <w:rPr>
          <w:b w:val="0"/>
          <w:i w:val="0"/>
        </w:rPr>
        <w:t>FR-MIG-007 FR-MIG-008 VF-PRT-001.</w:t>
      </w:r>
    </w:p>
    <w:p>
      <w:pPr>
        <w:spacing w:after="60"/>
      </w:pPr>
      <w:r>
        <w:rPr>
          <w:b/>
          <w:i w:val="0"/>
        </w:rPr>
        <w:t xml:space="preserve">Preconditions: </w:t>
      </w:r>
      <w:r>
        <w:rPr>
          <w:b w:val="0"/>
          <w:i w:val="0"/>
        </w:rPr>
        <w:t>A tenant initiates closure with a standard-sized export, active integrations and one hold.</w:t>
      </w:r>
    </w:p>
    <w:p>
      <w:pPr>
        <w:spacing w:after="60"/>
      </w:pPr>
      <w:r>
        <w:rPr>
          <w:b/>
          <w:i w:val="0"/>
        </w:rPr>
        <w:t xml:space="preserve">Steps: </w:t>
      </w:r>
      <w:r>
        <w:rPr>
          <w:b w:val="0"/>
          <w:i w:val="0"/>
        </w:rPr>
        <w:t>Create and verify the package, confirm retrieval window, terminate access and inspect deletion and retention outcomes.</w:t>
      </w:r>
    </w:p>
    <w:p>
      <w:pPr>
        <w:spacing w:after="60"/>
      </w:pPr>
      <w:r>
        <w:rPr>
          <w:b/>
          <w:i w:val="0"/>
        </w:rPr>
        <w:t xml:space="preserve">Expected outcome: </w:t>
      </w:r>
      <w:r>
        <w:rPr>
          <w:b w:val="0"/>
          <w:i w:val="0"/>
        </w:rPr>
        <w:t>Relationships and files reconstruct outside the product; credentials and schedules stop; remaining obligations are explicit.</w:t>
      </w:r>
    </w:p>
    <w:p>
      <w:pPr>
        <w:spacing w:after="60"/>
      </w:pPr>
      <w:r>
        <w:rPr>
          <w:b/>
          <w:i w:val="0"/>
        </w:rPr>
        <w:t xml:space="preserve">Negative case: </w:t>
      </w:r>
      <w:r>
        <w:rPr>
          <w:b w:val="0"/>
          <w:i w:val="0"/>
        </w:rPr>
        <w:t>Do not label a held or still accessible copy deleted or claim recall of external downloads.</w:t>
      </w:r>
    </w:p>
    <w:p>
      <w:bookmarkStart w:id="366" w:name="req_AT21"/>
      <w:pPr>
        <w:keepNext/>
        <w:spacing w:before="180" w:after="40"/>
      </w:pPr>
      <w:r>
        <w:rPr>
          <w:b/>
          <w:i w:val="0"/>
        </w:rPr>
        <w:t>AT21   Interrupted offline sync</w:t>
      </w:r>
      <w:bookmarkEnd w:id="366"/>
    </w:p>
    <w:p>
      <w:pPr>
        <w:keepNext/>
        <w:spacing w:after="60"/>
      </w:pPr>
      <w:r>
        <w:rPr>
          <w:b w:val="0"/>
          <w:i w:val="0"/>
          <w:sz w:val="19"/>
        </w:rPr>
        <w:t>BRD scenario UAT21</w:t>
      </w:r>
    </w:p>
    <w:p>
      <w:pPr>
        <w:spacing w:after="60"/>
      </w:pPr>
      <w:r>
        <w:rPr>
          <w:b/>
          <w:i w:val="0"/>
        </w:rPr>
        <w:t xml:space="preserve">Coverage: </w:t>
      </w:r>
      <w:r>
        <w:rPr>
          <w:b w:val="0"/>
          <w:i w:val="0"/>
        </w:rPr>
        <w:t>FR-OFF-002 FR-OFF-003.</w:t>
      </w:r>
    </w:p>
    <w:p>
      <w:pPr>
        <w:spacing w:after="60"/>
      </w:pPr>
      <w:r>
        <w:rPr>
          <w:b/>
          <w:i w:val="0"/>
        </w:rPr>
        <w:t xml:space="preserve">Preconditions: </w:t>
      </w:r>
      <w:r>
        <w:rPr>
          <w:b w:val="0"/>
          <w:i w:val="0"/>
        </w:rPr>
        <w:t>A qualified device holds three completed forms and one required media file on an intermittent network.</w:t>
      </w:r>
    </w:p>
    <w:p>
      <w:pPr>
        <w:spacing w:after="60"/>
      </w:pPr>
      <w:r>
        <w:rPr>
          <w:b/>
          <w:i w:val="0"/>
        </w:rPr>
        <w:t xml:space="preserve">Steps: </w:t>
      </w:r>
      <w:r>
        <w:rPr>
          <w:b w:val="0"/>
          <w:i w:val="0"/>
        </w:rPr>
        <w:t>Restart locally and interrupt sync repeatedly before final server receipt.</w:t>
      </w:r>
    </w:p>
    <w:p>
      <w:pPr>
        <w:spacing w:after="60"/>
      </w:pPr>
      <w:r>
        <w:rPr>
          <w:b/>
          <w:i w:val="0"/>
        </w:rPr>
        <w:t xml:space="preserve">Expected outcome: </w:t>
      </w:r>
      <w:r>
        <w:rPr>
          <w:b w:val="0"/>
          <w:i w:val="0"/>
        </w:rPr>
        <w:t>Drafts recover, each intended submission appears once and media completeness remains accurate.</w:t>
      </w:r>
    </w:p>
    <w:p>
      <w:pPr>
        <w:spacing w:after="60"/>
      </w:pPr>
      <w:r>
        <w:rPr>
          <w:b/>
          <w:i w:val="0"/>
        </w:rPr>
        <w:t xml:space="preserve">Negative case: </w:t>
      </w:r>
      <w:r>
        <w:rPr>
          <w:b w:val="0"/>
          <w:i w:val="0"/>
        </w:rPr>
        <w:t>No duplicate final-submit click or retry can add another official achievement.</w:t>
      </w:r>
    </w:p>
    <w:p>
      <w:bookmarkStart w:id="367" w:name="req_AT22"/>
      <w:pPr>
        <w:keepNext/>
        <w:spacing w:before="180" w:after="40"/>
      </w:pPr>
      <w:r>
        <w:rPr>
          <w:b/>
          <w:i w:val="0"/>
        </w:rPr>
        <w:t>AT22   Concurrent offline versions</w:t>
      </w:r>
      <w:bookmarkEnd w:id="367"/>
    </w:p>
    <w:p>
      <w:pPr>
        <w:keepNext/>
        <w:spacing w:after="60"/>
      </w:pPr>
      <w:r>
        <w:rPr>
          <w:b w:val="0"/>
          <w:i w:val="0"/>
          <w:sz w:val="19"/>
        </w:rPr>
        <w:t>BRD scenario UAT22</w:t>
      </w:r>
    </w:p>
    <w:p>
      <w:pPr>
        <w:spacing w:after="60"/>
      </w:pPr>
      <w:r>
        <w:rPr>
          <w:b/>
          <w:i w:val="0"/>
        </w:rPr>
        <w:t xml:space="preserve">Coverage: </w:t>
      </w:r>
      <w:r>
        <w:rPr>
          <w:b w:val="0"/>
          <w:i w:val="0"/>
        </w:rPr>
        <w:t>FR-OFF-004 FR-FRM-003.</w:t>
      </w:r>
    </w:p>
    <w:p>
      <w:pPr>
        <w:spacing w:after="60"/>
      </w:pPr>
      <w:r>
        <w:rPr>
          <w:b/>
          <w:i w:val="0"/>
        </w:rPr>
        <w:t xml:space="preserve">Preconditions: </w:t>
      </w:r>
      <w:r>
        <w:rPr>
          <w:b w:val="0"/>
          <w:i w:val="0"/>
        </w:rPr>
        <w:t>Two devices edit one base record; a mandatory form change is published before reconnect.</w:t>
      </w:r>
    </w:p>
    <w:p>
      <w:pPr>
        <w:spacing w:after="60"/>
      </w:pPr>
      <w:r>
        <w:rPr>
          <w:b/>
          <w:i w:val="0"/>
        </w:rPr>
        <w:t xml:space="preserve">Steps: </w:t>
      </w:r>
      <w:r>
        <w:rPr>
          <w:b w:val="0"/>
          <w:i w:val="0"/>
        </w:rPr>
        <w:t>Sync both candidates and inspect the conflict and version compatibility queue.</w:t>
      </w:r>
    </w:p>
    <w:p>
      <w:pPr>
        <w:spacing w:after="60"/>
      </w:pPr>
      <w:r>
        <w:rPr>
          <w:b/>
          <w:i w:val="0"/>
        </w:rPr>
        <w:t xml:space="preserve">Expected outcome: </w:t>
      </w:r>
      <w:r>
        <w:rPr>
          <w:b w:val="0"/>
          <w:i w:val="0"/>
        </w:rPr>
        <w:t>Both versions and authors are preserved; an authorised resolver creates a reviewed outcome.</w:t>
      </w:r>
    </w:p>
    <w:p>
      <w:pPr>
        <w:spacing w:after="60"/>
      </w:pPr>
      <w:r>
        <w:rPr>
          <w:b/>
          <w:i w:val="0"/>
        </w:rPr>
        <w:t xml:space="preserve">Negative case: </w:t>
      </w:r>
      <w:r>
        <w:rPr>
          <w:b w:val="0"/>
          <w:i w:val="0"/>
        </w:rPr>
        <w:t>Last arrival does not overwrite the other candidate and missing new answers are not fabricated.</w:t>
      </w:r>
    </w:p>
    <w:p>
      <w:bookmarkStart w:id="368" w:name="req_AT23"/>
      <w:pPr>
        <w:keepNext/>
        <w:spacing w:before="180" w:after="40"/>
      </w:pPr>
      <w:r>
        <w:rPr>
          <w:b/>
          <w:i w:val="0"/>
        </w:rPr>
        <w:t>AT23   Schema drift and replay</w:t>
      </w:r>
      <w:bookmarkEnd w:id="368"/>
    </w:p>
    <w:p>
      <w:pPr>
        <w:keepNext/>
        <w:spacing w:after="60"/>
      </w:pPr>
      <w:r>
        <w:rPr>
          <w:b w:val="0"/>
          <w:i w:val="0"/>
          <w:sz w:val="19"/>
        </w:rPr>
        <w:t>BRD scenario UAT23</w:t>
      </w:r>
    </w:p>
    <w:p>
      <w:pPr>
        <w:spacing w:after="60"/>
      </w:pPr>
      <w:r>
        <w:rPr>
          <w:b/>
          <w:i w:val="0"/>
        </w:rPr>
        <w:t xml:space="preserve">Coverage: </w:t>
      </w:r>
      <w:r>
        <w:rPr>
          <w:b w:val="0"/>
          <w:i w:val="0"/>
        </w:rPr>
        <w:t>FR-DAT-001 FR-DAT-003 FR-DAT-007.</w:t>
      </w:r>
    </w:p>
    <w:p>
      <w:pPr>
        <w:spacing w:after="60"/>
      </w:pPr>
      <w:r>
        <w:rPr>
          <w:b/>
          <w:i w:val="0"/>
        </w:rPr>
        <w:t xml:space="preserve">Preconditions: </w:t>
      </w:r>
      <w:r>
        <w:rPr>
          <w:b w:val="0"/>
          <w:i w:val="0"/>
        </w:rPr>
        <w:t>A source repeats prior keys, renames a date field and changes numeric text locale.</w:t>
      </w:r>
    </w:p>
    <w:p>
      <w:pPr>
        <w:spacing w:after="60"/>
      </w:pPr>
      <w:r>
        <w:rPr>
          <w:b/>
          <w:i w:val="0"/>
        </w:rPr>
        <w:t xml:space="preserve">Steps: </w:t>
      </w:r>
      <w:r>
        <w:rPr>
          <w:b w:val="0"/>
          <w:i w:val="0"/>
        </w:rPr>
        <w:t>Run the recurring load, inspect drift, approve a corrected mapping and retry.</w:t>
      </w:r>
    </w:p>
    <w:p>
      <w:pPr>
        <w:spacing w:after="60"/>
      </w:pPr>
      <w:r>
        <w:rPr>
          <w:b/>
          <w:i w:val="0"/>
        </w:rPr>
        <w:t xml:space="preserve">Expected outcome: </w:t>
      </w:r>
      <w:r>
        <w:rPr>
          <w:b w:val="0"/>
          <w:i w:val="0"/>
        </w:rPr>
        <w:t>Affected work pauses or quarantines; stable keys prevent duplicates; dates follow the reviewed pattern.</w:t>
      </w:r>
    </w:p>
    <w:p>
      <w:pPr>
        <w:spacing w:after="60"/>
      </w:pPr>
      <w:r>
        <w:rPr>
          <w:b/>
          <w:i w:val="0"/>
        </w:rPr>
        <w:t xml:space="preserve">Negative case: </w:t>
      </w:r>
      <w:r>
        <w:rPr>
          <w:b w:val="0"/>
          <w:i w:val="0"/>
        </w:rPr>
        <w:t>Column order and automatic locale guessing cannot silently reinterpret old records.</w:t>
      </w:r>
    </w:p>
    <w:p>
      <w:bookmarkStart w:id="369" w:name="req_AT24"/>
      <w:pPr>
        <w:keepNext/>
        <w:spacing w:before="180" w:after="40"/>
      </w:pPr>
      <w:r>
        <w:rPr>
          <w:b/>
          <w:i w:val="0"/>
        </w:rPr>
        <w:t>AT24   Indirect prompt injection</w:t>
      </w:r>
      <w:bookmarkEnd w:id="369"/>
    </w:p>
    <w:p>
      <w:pPr>
        <w:keepNext/>
        <w:spacing w:after="60"/>
      </w:pPr>
      <w:r>
        <w:rPr>
          <w:b w:val="0"/>
          <w:i w:val="0"/>
          <w:sz w:val="19"/>
        </w:rPr>
        <w:t>BRD scenario UAT24</w:t>
      </w:r>
    </w:p>
    <w:p>
      <w:pPr>
        <w:spacing w:after="60"/>
      </w:pPr>
      <w:r>
        <w:rPr>
          <w:b/>
          <w:i w:val="0"/>
        </w:rPr>
        <w:t xml:space="preserve">Coverage: </w:t>
      </w:r>
      <w:r>
        <w:rPr>
          <w:b w:val="0"/>
          <w:i w:val="0"/>
        </w:rPr>
        <w:t>FR-AI-011 FR-AI-012 VF-AIQ-004.</w:t>
      </w:r>
    </w:p>
    <w:p>
      <w:pPr>
        <w:spacing w:after="60"/>
      </w:pPr>
      <w:r>
        <w:rPr>
          <w:b/>
          <w:i w:val="0"/>
        </w:rPr>
        <w:t xml:space="preserve">Preconditions: </w:t>
      </w:r>
      <w:r>
        <w:rPr>
          <w:b w:val="0"/>
          <w:i w:val="0"/>
        </w:rPr>
        <w:t>A permitted document contains instructions to disclose all tenant records and send them to an external address.</w:t>
      </w:r>
    </w:p>
    <w:p>
      <w:pPr>
        <w:spacing w:after="60"/>
      </w:pPr>
      <w:r>
        <w:rPr>
          <w:b/>
          <w:i w:val="0"/>
        </w:rPr>
        <w:t xml:space="preserve">Steps: </w:t>
      </w:r>
      <w:r>
        <w:rPr>
          <w:b w:val="0"/>
          <w:i w:val="0"/>
        </w:rPr>
        <w:t>Request extraction and observe model tool proposals and network destinations in the qualified test environment.</w:t>
      </w:r>
    </w:p>
    <w:p>
      <w:pPr>
        <w:spacing w:after="60"/>
      </w:pPr>
      <w:r>
        <w:rPr>
          <w:b/>
          <w:i w:val="0"/>
        </w:rPr>
        <w:t xml:space="preserve">Expected outcome: </w:t>
      </w:r>
      <w:r>
        <w:rPr>
          <w:b w:val="0"/>
          <w:i w:val="0"/>
        </w:rPr>
        <w:t>The content remains evidence only; no expanded retrieval, secret disclosure or unauthorised outbound action occurs.</w:t>
      </w:r>
    </w:p>
    <w:p>
      <w:pPr>
        <w:spacing w:after="60"/>
      </w:pPr>
      <w:r>
        <w:rPr>
          <w:b/>
          <w:i w:val="0"/>
        </w:rPr>
        <w:t xml:space="preserve">Negative case: </w:t>
      </w:r>
      <w:r>
        <w:rPr>
          <w:b w:val="0"/>
          <w:i w:val="0"/>
        </w:rPr>
        <w:t>A successful harmless extraction does not excuse any attempted or executed unauthorised side effect.</w:t>
      </w:r>
    </w:p>
    <w:p>
      <w:bookmarkStart w:id="370" w:name="req_AT25"/>
      <w:pPr>
        <w:keepNext/>
        <w:spacing w:before="180" w:after="40"/>
      </w:pPr>
      <w:r>
        <w:rPr>
          <w:b/>
          <w:i w:val="0"/>
        </w:rPr>
        <w:t>AT25   Ambiguous proposal extraction</w:t>
      </w:r>
      <w:bookmarkEnd w:id="370"/>
    </w:p>
    <w:p>
      <w:pPr>
        <w:keepNext/>
        <w:spacing w:after="60"/>
      </w:pPr>
      <w:r>
        <w:rPr>
          <w:b w:val="0"/>
          <w:i w:val="0"/>
          <w:sz w:val="19"/>
        </w:rPr>
        <w:t>BRD scenario UAT25</w:t>
      </w:r>
    </w:p>
    <w:p>
      <w:pPr>
        <w:spacing w:after="60"/>
      </w:pPr>
      <w:r>
        <w:rPr>
          <w:b/>
          <w:i w:val="0"/>
        </w:rPr>
        <w:t xml:space="preserve">Coverage: </w:t>
      </w:r>
      <w:r>
        <w:rPr>
          <w:b w:val="0"/>
          <w:i w:val="0"/>
        </w:rPr>
        <w:t>FR-PLN-009 FR-AI-002.</w:t>
      </w:r>
    </w:p>
    <w:p>
      <w:pPr>
        <w:spacing w:after="60"/>
      </w:pPr>
      <w:r>
        <w:rPr>
          <w:b/>
          <w:i w:val="0"/>
        </w:rPr>
        <w:t xml:space="preserve">Preconditions: </w:t>
      </w:r>
      <w:r>
        <w:rPr>
          <w:b w:val="0"/>
          <w:i w:val="0"/>
        </w:rPr>
        <w:t>A proposal gives conflicting dates and omits target population, with one table suggesting an unconfirmed target.</w:t>
      </w:r>
    </w:p>
    <w:p>
      <w:pPr>
        <w:spacing w:after="60"/>
      </w:pPr>
      <w:r>
        <w:rPr>
          <w:b/>
          <w:i w:val="0"/>
        </w:rPr>
        <w:t xml:space="preserve">Steps: </w:t>
      </w:r>
      <w:r>
        <w:rPr>
          <w:b w:val="0"/>
          <w:i w:val="0"/>
        </w:rPr>
        <w:t>Extract, review proposed fields and attempt programme activation before resolving gaps.</w:t>
      </w:r>
    </w:p>
    <w:p>
      <w:pPr>
        <w:spacing w:after="60"/>
      </w:pPr>
      <w:r>
        <w:rPr>
          <w:b/>
          <w:i w:val="0"/>
        </w:rPr>
        <w:t xml:space="preserve">Expected outcome: </w:t>
      </w:r>
      <w:r>
        <w:rPr>
          <w:b w:val="0"/>
          <w:i w:val="0"/>
        </w:rPr>
        <w:t>Source locations and ambiguity are visible; mandatory missing commitments block activation.</w:t>
      </w:r>
    </w:p>
    <w:p>
      <w:pPr>
        <w:spacing w:after="60"/>
      </w:pPr>
      <w:r>
        <w:rPr>
          <w:b/>
          <w:i w:val="0"/>
        </w:rPr>
        <w:t xml:space="preserve">Negative case: </w:t>
      </w:r>
      <w:r>
        <w:rPr>
          <w:b w:val="0"/>
          <w:i w:val="0"/>
        </w:rPr>
        <w:t>Inferred relationships or suggested targets must not be labelled as directly extracted facts.</w:t>
      </w:r>
    </w:p>
    <w:p>
      <w:bookmarkStart w:id="371" w:name="req_AT26"/>
      <w:pPr>
        <w:keepNext/>
        <w:spacing w:before="180" w:after="40"/>
      </w:pPr>
      <w:r>
        <w:rPr>
          <w:b/>
          <w:i w:val="0"/>
        </w:rPr>
        <w:t>AT26   Unsupported questions</w:t>
      </w:r>
      <w:bookmarkEnd w:id="371"/>
    </w:p>
    <w:p>
      <w:pPr>
        <w:keepNext/>
        <w:spacing w:after="60"/>
      </w:pPr>
      <w:r>
        <w:rPr>
          <w:b w:val="0"/>
          <w:i w:val="0"/>
          <w:sz w:val="19"/>
        </w:rPr>
        <w:t>BRD scenario UAT26</w:t>
      </w:r>
    </w:p>
    <w:p>
      <w:pPr>
        <w:spacing w:after="60"/>
      </w:pPr>
      <w:r>
        <w:rPr>
          <w:b/>
          <w:i w:val="0"/>
        </w:rPr>
        <w:t xml:space="preserve">Coverage: </w:t>
      </w:r>
      <w:r>
        <w:rPr>
          <w:b w:val="0"/>
          <w:i w:val="0"/>
        </w:rPr>
        <w:t>FR-AI-005 FR-AI-006 VF-AIQ-003.</w:t>
      </w:r>
    </w:p>
    <w:p>
      <w:pPr>
        <w:spacing w:after="60"/>
      </w:pPr>
      <w:r>
        <w:rPr>
          <w:b/>
          <w:i w:val="0"/>
        </w:rPr>
        <w:t xml:space="preserve">Preconditions: </w:t>
      </w:r>
      <w:r>
        <w:rPr>
          <w:b w:val="0"/>
          <w:i w:val="0"/>
        </w:rPr>
        <w:t>Prepare answerable, unanswerable and unauthorised questions with independently labelled expected outcomes.</w:t>
      </w:r>
    </w:p>
    <w:p>
      <w:pPr>
        <w:spacing w:after="60"/>
      </w:pPr>
      <w:r>
        <w:rPr>
          <w:b/>
          <w:i w:val="0"/>
        </w:rPr>
        <w:t xml:space="preserve">Steps: </w:t>
      </w:r>
      <w:r>
        <w:rPr>
          <w:b w:val="0"/>
          <w:i w:val="0"/>
        </w:rPr>
        <w:t>Ask each question and assess answer, citation, numeric binding and abstention behaviour.</w:t>
      </w:r>
    </w:p>
    <w:p>
      <w:pPr>
        <w:spacing w:after="60"/>
      </w:pPr>
      <w:r>
        <w:rPr>
          <w:b/>
          <w:i w:val="0"/>
        </w:rPr>
        <w:t xml:space="preserve">Expected outcome: </w:t>
      </w:r>
      <w:r>
        <w:rPr>
          <w:b w:val="0"/>
          <w:i w:val="0"/>
        </w:rPr>
        <w:t>Supported answers cite evidence; unsupported requests abstain or seek permissible context without inventing evidence.</w:t>
      </w:r>
    </w:p>
    <w:p>
      <w:pPr>
        <w:spacing w:after="60"/>
      </w:pPr>
      <w:r>
        <w:rPr>
          <w:b/>
          <w:i w:val="0"/>
        </w:rPr>
        <w:t xml:space="preserve">Negative case: </w:t>
      </w:r>
      <w:r>
        <w:rPr>
          <w:b w:val="0"/>
          <w:i w:val="0"/>
        </w:rPr>
        <w:t>Refusal must not reveal that a hidden participant or document exists.</w:t>
      </w:r>
    </w:p>
    <w:p>
      <w:bookmarkStart w:id="372" w:name="req_AT27"/>
      <w:pPr>
        <w:keepNext/>
        <w:spacing w:before="180" w:after="40"/>
      </w:pPr>
      <w:r>
        <w:rPr>
          <w:b/>
          <w:i w:val="0"/>
        </w:rPr>
        <w:t>AT27   Stale action proposal</w:t>
      </w:r>
      <w:bookmarkEnd w:id="372"/>
    </w:p>
    <w:p>
      <w:pPr>
        <w:keepNext/>
        <w:spacing w:after="60"/>
      </w:pPr>
      <w:r>
        <w:rPr>
          <w:b w:val="0"/>
          <w:i w:val="0"/>
          <w:sz w:val="19"/>
        </w:rPr>
        <w:t>BRD scenario UAT27</w:t>
      </w:r>
    </w:p>
    <w:p>
      <w:pPr>
        <w:spacing w:after="60"/>
      </w:pPr>
      <w:r>
        <w:rPr>
          <w:b/>
          <w:i w:val="0"/>
        </w:rPr>
        <w:t xml:space="preserve">Coverage: </w:t>
      </w:r>
      <w:r>
        <w:rPr>
          <w:b w:val="0"/>
          <w:i w:val="0"/>
        </w:rPr>
        <w:t>FR-AI-010 FR-WFL-002.</w:t>
      </w:r>
    </w:p>
    <w:p>
      <w:pPr>
        <w:spacing w:after="60"/>
      </w:pPr>
      <w:r>
        <w:rPr>
          <w:b/>
          <w:i w:val="0"/>
        </w:rPr>
        <w:t xml:space="preserve">Preconditions: </w:t>
      </w:r>
      <w:r>
        <w:rPr>
          <w:b w:val="0"/>
          <w:i w:val="0"/>
        </w:rPr>
        <w:t>AI proposes a mapping edit against revision one; another actor creates revision two or revokes the requester.</w:t>
      </w:r>
    </w:p>
    <w:p>
      <w:pPr>
        <w:spacing w:after="60"/>
      </w:pPr>
      <w:r>
        <w:rPr>
          <w:b/>
          <w:i w:val="0"/>
        </w:rPr>
        <w:t xml:space="preserve">Steps: </w:t>
      </w:r>
      <w:r>
        <w:rPr>
          <w:b w:val="0"/>
          <w:i w:val="0"/>
        </w:rPr>
        <w:t>Confirm the original proposal and inspect resulting domain commands.</w:t>
      </w:r>
    </w:p>
    <w:p>
      <w:pPr>
        <w:spacing w:after="60"/>
      </w:pPr>
      <w:r>
        <w:rPr>
          <w:b/>
          <w:i w:val="0"/>
        </w:rPr>
        <w:t xml:space="preserve">Expected outcome: </w:t>
      </w:r>
      <w:r>
        <w:rPr>
          <w:b w:val="0"/>
          <w:i w:val="0"/>
        </w:rPr>
        <w:t>Execution rejects stale state or lost authority; a refreshed proposal requires a new review.</w:t>
      </w:r>
    </w:p>
    <w:p>
      <w:pPr>
        <w:spacing w:after="60"/>
      </w:pPr>
      <w:r>
        <w:rPr>
          <w:b/>
          <w:i w:val="0"/>
        </w:rPr>
        <w:t xml:space="preserve">Negative case: </w:t>
      </w:r>
      <w:r>
        <w:rPr>
          <w:b w:val="0"/>
          <w:i w:val="0"/>
        </w:rPr>
        <w:t>No partially applied edit may survive a failed atomic command or bypass an independent review.</w:t>
      </w:r>
    </w:p>
    <w:p>
      <w:bookmarkStart w:id="373" w:name="req_AT28"/>
      <w:pPr>
        <w:keepNext/>
        <w:spacing w:before="180" w:after="40"/>
      </w:pPr>
      <w:r>
        <w:rPr>
          <w:b/>
          <w:i w:val="0"/>
        </w:rPr>
        <w:t>AT28   Model outage during close</w:t>
      </w:r>
      <w:bookmarkEnd w:id="373"/>
    </w:p>
    <w:p>
      <w:pPr>
        <w:keepNext/>
        <w:spacing w:after="60"/>
      </w:pPr>
      <w:r>
        <w:rPr>
          <w:b w:val="0"/>
          <w:i w:val="0"/>
          <w:sz w:val="19"/>
        </w:rPr>
        <w:t>BRD scenario UAT28</w:t>
      </w:r>
    </w:p>
    <w:p>
      <w:pPr>
        <w:spacing w:after="60"/>
      </w:pPr>
      <w:r>
        <w:rPr>
          <w:b/>
          <w:i w:val="0"/>
        </w:rPr>
        <w:t xml:space="preserve">Coverage: </w:t>
      </w:r>
      <w:r>
        <w:rPr>
          <w:b w:val="0"/>
          <w:i w:val="0"/>
        </w:rPr>
        <w:t>FR-AI-001 FR-AI-016 VF-AVL-002.</w:t>
      </w:r>
    </w:p>
    <w:p>
      <w:pPr>
        <w:spacing w:after="60"/>
      </w:pPr>
      <w:r>
        <w:rPr>
          <w:b/>
          <w:i w:val="0"/>
        </w:rPr>
        <w:t xml:space="preserve">Preconditions: </w:t>
      </w:r>
      <w:r>
        <w:rPr>
          <w:b w:val="0"/>
          <w:i w:val="0"/>
        </w:rPr>
        <w:t>Approved data and a manual report template exist while the selected model provider is unavailable.</w:t>
      </w:r>
    </w:p>
    <w:p>
      <w:pPr>
        <w:spacing w:after="60"/>
      </w:pPr>
      <w:r>
        <w:rPr>
          <w:b/>
          <w:i w:val="0"/>
        </w:rPr>
        <w:t xml:space="preserve">Steps: </w:t>
      </w:r>
      <w:r>
        <w:rPr>
          <w:b w:val="0"/>
          <w:i w:val="0"/>
        </w:rPr>
        <w:t>Close the period, calculate deterministic results and generate a report without AI.</w:t>
      </w:r>
    </w:p>
    <w:p>
      <w:pPr>
        <w:spacing w:after="60"/>
      </w:pPr>
      <w:r>
        <w:rPr>
          <w:b/>
          <w:i w:val="0"/>
        </w:rPr>
        <w:t xml:space="preserve">Expected outcome: </w:t>
      </w:r>
      <w:r>
        <w:rPr>
          <w:b w:val="0"/>
          <w:i w:val="0"/>
        </w:rPr>
        <w:t>Independent core workflows succeed; AI tasks show bounded failure and preserve drafts.</w:t>
      </w:r>
    </w:p>
    <w:p>
      <w:pPr>
        <w:spacing w:after="60"/>
      </w:pPr>
      <w:r>
        <w:rPr>
          <w:b/>
          <w:i w:val="0"/>
        </w:rPr>
        <w:t xml:space="preserve">Negative case: </w:t>
      </w:r>
      <w:r>
        <w:rPr>
          <w:b w:val="0"/>
          <w:i w:val="0"/>
        </w:rPr>
        <w:t>No unapproved model destination is used merely to keep the AI button responsive.</w:t>
      </w:r>
    </w:p>
    <w:p>
      <w:bookmarkStart w:id="374" w:name="req_AT29"/>
      <w:pPr>
        <w:keepNext/>
        <w:spacing w:before="180" w:after="40"/>
      </w:pPr>
      <w:r>
        <w:rPr>
          <w:b/>
          <w:i w:val="0"/>
        </w:rPr>
        <w:t>AT29   Contradictory multilingual evidence</w:t>
      </w:r>
      <w:bookmarkEnd w:id="374"/>
    </w:p>
    <w:p>
      <w:pPr>
        <w:keepNext/>
        <w:spacing w:after="60"/>
      </w:pPr>
      <w:r>
        <w:rPr>
          <w:b w:val="0"/>
          <w:i w:val="0"/>
          <w:sz w:val="19"/>
        </w:rPr>
        <w:t>BRD scenario UAT29</w:t>
      </w:r>
    </w:p>
    <w:p>
      <w:pPr>
        <w:spacing w:after="60"/>
      </w:pPr>
      <w:r>
        <w:rPr>
          <w:b/>
          <w:i w:val="0"/>
        </w:rPr>
        <w:t xml:space="preserve">Coverage: </w:t>
      </w:r>
      <w:r>
        <w:rPr>
          <w:b w:val="0"/>
          <w:i w:val="0"/>
        </w:rPr>
        <w:t>FR-EVD-005 FR-EVD-006 FR-AI-008.</w:t>
      </w:r>
    </w:p>
    <w:p>
      <w:pPr>
        <w:spacing w:after="60"/>
      </w:pPr>
      <w:r>
        <w:rPr>
          <w:b/>
          <w:i w:val="0"/>
        </w:rPr>
        <w:t xml:space="preserve">Preconditions: </w:t>
      </w:r>
      <w:r>
        <w:rPr>
          <w:b w:val="0"/>
          <w:i w:val="0"/>
        </w:rPr>
        <w:t>Interview excerpts in two languages include supportive and critical accounts of the same programme.</w:t>
      </w:r>
    </w:p>
    <w:p>
      <w:pPr>
        <w:spacing w:after="60"/>
      </w:pPr>
      <w:r>
        <w:rPr>
          <w:b/>
          <w:i w:val="0"/>
        </w:rPr>
        <w:t xml:space="preserve">Steps: </w:t>
      </w:r>
      <w:r>
        <w:rPr>
          <w:b w:val="0"/>
          <w:i w:val="0"/>
        </w:rPr>
        <w:t>Generate themes, review translations, adjudicate codes and draft a finding.</w:t>
      </w:r>
    </w:p>
    <w:p>
      <w:pPr>
        <w:spacing w:after="60"/>
      </w:pPr>
      <w:r>
        <w:rPr>
          <w:b/>
          <w:i w:val="0"/>
        </w:rPr>
        <w:t xml:space="preserve">Expected outcome: </w:t>
      </w:r>
      <w:r>
        <w:rPr>
          <w:b w:val="0"/>
          <w:i w:val="0"/>
        </w:rPr>
        <w:t>Contradiction remains visible; quotations trace to exact sources and translated content is labelled until reviewed.</w:t>
      </w:r>
    </w:p>
    <w:p>
      <w:pPr>
        <w:spacing w:after="60"/>
      </w:pPr>
      <w:r>
        <w:rPr>
          <w:b/>
          <w:i w:val="0"/>
        </w:rPr>
        <w:t xml:space="preserve">Negative case: </w:t>
      </w:r>
      <w:r>
        <w:rPr>
          <w:b w:val="0"/>
          <w:i w:val="0"/>
        </w:rPr>
        <w:t>Do not invent quotations, speaker identity or consensus by dropping minority evidence.</w:t>
      </w:r>
    </w:p>
    <w:p>
      <w:bookmarkStart w:id="375" w:name="req_AT30"/>
      <w:pPr>
        <w:keepNext/>
        <w:spacing w:before="180" w:after="40"/>
      </w:pPr>
      <w:r>
        <w:rPr>
          <w:b/>
          <w:i w:val="0"/>
        </w:rPr>
        <w:t>AT30   Accessible complete workflow</w:t>
      </w:r>
      <w:bookmarkEnd w:id="375"/>
    </w:p>
    <w:p>
      <w:pPr>
        <w:keepNext/>
        <w:spacing w:after="60"/>
      </w:pPr>
      <w:r>
        <w:rPr>
          <w:b w:val="0"/>
          <w:i w:val="0"/>
          <w:sz w:val="19"/>
        </w:rPr>
        <w:t>BRD scenario UAT30</w:t>
      </w:r>
    </w:p>
    <w:p>
      <w:pPr>
        <w:spacing w:after="60"/>
      </w:pPr>
      <w:r>
        <w:rPr>
          <w:b/>
          <w:i w:val="0"/>
        </w:rPr>
        <w:t xml:space="preserve">Coverage: </w:t>
      </w:r>
      <w:r>
        <w:rPr>
          <w:b w:val="0"/>
          <w:i w:val="0"/>
        </w:rPr>
        <w:t>FR-UX-004 FR-UX-005 VF-UX-001.</w:t>
      </w:r>
    </w:p>
    <w:p>
      <w:pPr>
        <w:spacing w:after="60"/>
      </w:pPr>
      <w:r>
        <w:rPr>
          <w:b/>
          <w:i w:val="0"/>
        </w:rPr>
        <w:t xml:space="preserve">Preconditions: </w:t>
      </w:r>
      <w:r>
        <w:rPr>
          <w:b w:val="0"/>
          <w:i w:val="0"/>
        </w:rPr>
        <w:t>A qualified keyboard and screen reader environment includes a collector and independent reviewer with synthetic assignments.</w:t>
      </w:r>
    </w:p>
    <w:p>
      <w:pPr>
        <w:spacing w:after="60"/>
      </w:pPr>
      <w:r>
        <w:rPr>
          <w:b/>
          <w:i w:val="0"/>
        </w:rPr>
        <w:t xml:space="preserve">Steps: </w:t>
      </w:r>
      <w:r>
        <w:rPr>
          <w:b w:val="0"/>
          <w:i w:val="0"/>
        </w:rPr>
        <w:t>Collect with a validation error, submit, return for correction and approve the corrected candidate at supported mobile width where applicable.</w:t>
      </w:r>
    </w:p>
    <w:p>
      <w:pPr>
        <w:spacing w:after="60"/>
      </w:pPr>
      <w:r>
        <w:rPr>
          <w:b/>
          <w:i w:val="0"/>
        </w:rPr>
        <w:t xml:space="preserve">Expected outcome: </w:t>
      </w:r>
      <w:r>
        <w:rPr>
          <w:b w:val="0"/>
          <w:i w:val="0"/>
        </w:rPr>
        <w:t>Focus, labels, errors and status changes are usable throughout; values and decisions match the ordinary workflow.</w:t>
      </w:r>
    </w:p>
    <w:p>
      <w:pPr>
        <w:spacing w:after="60"/>
      </w:pPr>
      <w:r>
        <w:rPr>
          <w:b/>
          <w:i w:val="0"/>
        </w:rPr>
        <w:t xml:space="preserve">Negative case: </w:t>
      </w:r>
      <w:r>
        <w:rPr>
          <w:b w:val="0"/>
          <w:i w:val="0"/>
        </w:rPr>
        <w:t>No drag-only, hover-only, colour-only or inaccessible authentication step may block completion.</w:t>
      </w:r>
    </w:p>
    <w:p>
      <w:bookmarkStart w:id="376" w:name="sec_39"/>
      <w:pPr>
        <w:pStyle w:val="Heading1"/>
      </w:pPr>
      <w:r>
        <w:rPr>
          <w:b w:val="0"/>
          <w:i w:val="0"/>
        </w:rPr>
        <w:t>39 Requirement traceability register</w:t>
      </w:r>
      <w:bookmarkEnd w:id="376"/>
    </w:p>
    <w:p>
      <w:r>
        <w:rPr>
          <w:b w:val="0"/>
          <w:i w:val="0"/>
        </w:rPr>
        <w:t>Each BRD functional parent maps to one FR contract and its matching FT acceptance case. Each NFR maps to one VF verification contract. This is the complete parent coverage register, not a sampled family map. All shared contracts, the data dictionary, applicable lifecycle model and audit rules also apply. Parent acceptance criteria remain mandatory by reference even where an FT example tests a narrower boundary. HLD responsibilities, LLD components and executed test evidence are added as linked records during those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498"/>
        <w:gridCol w:w="2498"/>
        <w:gridCol w:w="2798"/>
        <w:gridCol w:w="2199"/>
      </w:tblGrid>
      <w:tr>
        <w:trPr>
          <w:cantSplit/>
          <w:tblHeader/>
        </w:trPr>
        <w:tc>
          <w:tcPr>
            <w:tcW w:type="dxa" w:w="2498"/>
            <w:vAlign w:val="center"/>
            <w:shd w:fill="233B53"/>
          </w:tcPr>
          <w:p>
            <w:pPr>
              <w:spacing w:after="20" w:before="20" w:line="247" w:lineRule="auto"/>
            </w:pPr>
            <w:r>
              <w:rPr>
                <w:b/>
                <w:i w:val="0"/>
                <w:color w:val="FFFFFF"/>
                <w:sz w:val="20"/>
              </w:rPr>
              <w:t>Parent requirement</w:t>
            </w:r>
          </w:p>
        </w:tc>
        <w:tc>
          <w:tcPr>
            <w:tcW w:type="dxa" w:w="2498"/>
            <w:vAlign w:val="center"/>
            <w:shd w:fill="233B53"/>
          </w:tcPr>
          <w:p>
            <w:pPr>
              <w:spacing w:after="20" w:before="20" w:line="247" w:lineRule="auto"/>
            </w:pPr>
            <w:r>
              <w:rPr>
                <w:b/>
                <w:i w:val="0"/>
                <w:color w:val="FFFFFF"/>
                <w:sz w:val="20"/>
              </w:rPr>
              <w:t>FSD contract</w:t>
            </w:r>
          </w:p>
        </w:tc>
        <w:tc>
          <w:tcPr>
            <w:tcW w:type="dxa" w:w="2798"/>
            <w:vAlign w:val="center"/>
            <w:shd w:fill="233B53"/>
          </w:tcPr>
          <w:p>
            <w:pPr>
              <w:spacing w:after="20" w:before="20" w:line="247" w:lineRule="auto"/>
            </w:pPr>
            <w:r>
              <w:rPr>
                <w:b/>
                <w:i w:val="0"/>
                <w:color w:val="FFFFFF"/>
                <w:sz w:val="20"/>
              </w:rPr>
              <w:t>Acceptance reference</w:t>
            </w:r>
          </w:p>
        </w:tc>
        <w:tc>
          <w:tcPr>
            <w:tcW w:type="dxa" w:w="2199"/>
            <w:vAlign w:val="center"/>
            <w:shd w:fill="233B53"/>
          </w:tcPr>
          <w:p>
            <w:pPr>
              <w:spacing w:after="20" w:before="20" w:line="247" w:lineRule="auto"/>
            </w:pPr>
            <w:r>
              <w:rPr>
                <w:b/>
                <w:i w:val="0"/>
                <w:color w:val="FFFFFF"/>
                <w:sz w:val="20"/>
              </w:rPr>
              <w:t>Priority and release</w:t>
            </w:r>
          </w:p>
        </w:tc>
      </w:tr>
      <w:tr>
        <w:trPr>
          <w:cantSplit/>
        </w:trPr>
        <w:tc>
          <w:tcPr>
            <w:tcW w:type="dxa" w:w="2498"/>
            <w:vAlign w:val="center"/>
            <w:shd w:fill="FFFFFF"/>
          </w:tcPr>
          <w:p>
            <w:pPr>
              <w:spacing w:after="20" w:before="20" w:line="247" w:lineRule="auto"/>
            </w:pPr>
            <w:r>
              <w:rPr>
                <w:b w:val="0"/>
                <w:i w:val="0"/>
                <w:sz w:val="20"/>
              </w:rPr>
              <w:t>BR-TEN-001</w:t>
            </w:r>
          </w:p>
        </w:tc>
        <w:tc>
          <w:tcPr>
            <w:tcW w:type="dxa" w:w="2498"/>
            <w:vAlign w:val="center"/>
            <w:shd w:fill="FFFFFF"/>
          </w:tcPr>
          <w:p>
            <w:pPr>
              <w:spacing w:after="20" w:before="20" w:line="247" w:lineRule="auto"/>
            </w:pPr>
            <w:r>
              <w:rPr>
                <w:b w:val="0"/>
                <w:i w:val="0"/>
                <w:sz w:val="20"/>
              </w:rPr>
              <w:t>FR-TEN-001</w:t>
            </w:r>
          </w:p>
        </w:tc>
        <w:tc>
          <w:tcPr>
            <w:tcW w:type="dxa" w:w="2798"/>
            <w:vAlign w:val="center"/>
            <w:shd w:fill="FFFFFF"/>
          </w:tcPr>
          <w:p>
            <w:pPr>
              <w:spacing w:after="20" w:before="20" w:line="247" w:lineRule="auto"/>
            </w:pPr>
            <w:r>
              <w:rPr>
                <w:b w:val="0"/>
                <w:i w:val="0"/>
                <w:sz w:val="20"/>
              </w:rPr>
              <w:t>FT-TEN-001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BR-TEN-002</w:t>
            </w:r>
          </w:p>
        </w:tc>
        <w:tc>
          <w:tcPr>
            <w:tcW w:type="dxa" w:w="2498"/>
            <w:vAlign w:val="center"/>
            <w:shd w:fill="F4F6F8"/>
          </w:tcPr>
          <w:p>
            <w:pPr>
              <w:spacing w:after="20" w:before="20" w:line="247" w:lineRule="auto"/>
            </w:pPr>
            <w:r>
              <w:rPr>
                <w:b w:val="0"/>
                <w:i w:val="0"/>
                <w:sz w:val="20"/>
              </w:rPr>
              <w:t>FR-TEN-002</w:t>
            </w:r>
          </w:p>
        </w:tc>
        <w:tc>
          <w:tcPr>
            <w:tcW w:type="dxa" w:w="2798"/>
            <w:vAlign w:val="center"/>
            <w:shd w:fill="F4F6F8"/>
          </w:tcPr>
          <w:p>
            <w:pPr>
              <w:spacing w:after="20" w:before="20" w:line="247" w:lineRule="auto"/>
            </w:pPr>
            <w:r>
              <w:rPr>
                <w:b w:val="0"/>
                <w:i w:val="0"/>
                <w:sz w:val="20"/>
              </w:rPr>
              <w:t>FT-TEN-002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BR-TEN-003</w:t>
            </w:r>
          </w:p>
        </w:tc>
        <w:tc>
          <w:tcPr>
            <w:tcW w:type="dxa" w:w="2498"/>
            <w:vAlign w:val="center"/>
            <w:shd w:fill="FFFFFF"/>
          </w:tcPr>
          <w:p>
            <w:pPr>
              <w:spacing w:after="20" w:before="20" w:line="247" w:lineRule="auto"/>
            </w:pPr>
            <w:r>
              <w:rPr>
                <w:b w:val="0"/>
                <w:i w:val="0"/>
                <w:sz w:val="20"/>
              </w:rPr>
              <w:t>FR-TEN-003</w:t>
            </w:r>
          </w:p>
        </w:tc>
        <w:tc>
          <w:tcPr>
            <w:tcW w:type="dxa" w:w="2798"/>
            <w:vAlign w:val="center"/>
            <w:shd w:fill="FFFFFF"/>
          </w:tcPr>
          <w:p>
            <w:pPr>
              <w:spacing w:after="20" w:before="20" w:line="247" w:lineRule="auto"/>
            </w:pPr>
            <w:r>
              <w:rPr>
                <w:b w:val="0"/>
                <w:i w:val="0"/>
                <w:sz w:val="20"/>
              </w:rPr>
              <w:t>FT-TEN-003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BR-TEN-004</w:t>
            </w:r>
          </w:p>
        </w:tc>
        <w:tc>
          <w:tcPr>
            <w:tcW w:type="dxa" w:w="2498"/>
            <w:vAlign w:val="center"/>
            <w:shd w:fill="F4F6F8"/>
          </w:tcPr>
          <w:p>
            <w:pPr>
              <w:spacing w:after="20" w:before="20" w:line="247" w:lineRule="auto"/>
            </w:pPr>
            <w:r>
              <w:rPr>
                <w:b w:val="0"/>
                <w:i w:val="0"/>
                <w:sz w:val="20"/>
              </w:rPr>
              <w:t>FR-TEN-004</w:t>
            </w:r>
          </w:p>
        </w:tc>
        <w:tc>
          <w:tcPr>
            <w:tcW w:type="dxa" w:w="2798"/>
            <w:vAlign w:val="center"/>
            <w:shd w:fill="F4F6F8"/>
          </w:tcPr>
          <w:p>
            <w:pPr>
              <w:spacing w:after="20" w:before="20" w:line="247" w:lineRule="auto"/>
            </w:pPr>
            <w:r>
              <w:rPr>
                <w:b w:val="0"/>
                <w:i w:val="0"/>
                <w:sz w:val="20"/>
              </w:rPr>
              <w:t>FT-TEN-004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BR-TEN-005</w:t>
            </w:r>
          </w:p>
        </w:tc>
        <w:tc>
          <w:tcPr>
            <w:tcW w:type="dxa" w:w="2498"/>
            <w:vAlign w:val="center"/>
            <w:shd w:fill="FFFFFF"/>
          </w:tcPr>
          <w:p>
            <w:pPr>
              <w:spacing w:after="20" w:before="20" w:line="247" w:lineRule="auto"/>
            </w:pPr>
            <w:r>
              <w:rPr>
                <w:b w:val="0"/>
                <w:i w:val="0"/>
                <w:sz w:val="20"/>
              </w:rPr>
              <w:t>FR-TEN-005</w:t>
            </w:r>
          </w:p>
        </w:tc>
        <w:tc>
          <w:tcPr>
            <w:tcW w:type="dxa" w:w="2798"/>
            <w:vAlign w:val="center"/>
            <w:shd w:fill="FFFFFF"/>
          </w:tcPr>
          <w:p>
            <w:pPr>
              <w:spacing w:after="20" w:before="20" w:line="247" w:lineRule="auto"/>
            </w:pPr>
            <w:r>
              <w:rPr>
                <w:b w:val="0"/>
                <w:i w:val="0"/>
                <w:sz w:val="20"/>
              </w:rPr>
              <w:t>FT-TEN-005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BR-TEN-006</w:t>
            </w:r>
          </w:p>
        </w:tc>
        <w:tc>
          <w:tcPr>
            <w:tcW w:type="dxa" w:w="2498"/>
            <w:vAlign w:val="center"/>
            <w:shd w:fill="F4F6F8"/>
          </w:tcPr>
          <w:p>
            <w:pPr>
              <w:spacing w:after="20" w:before="20" w:line="247" w:lineRule="auto"/>
            </w:pPr>
            <w:r>
              <w:rPr>
                <w:b w:val="0"/>
                <w:i w:val="0"/>
                <w:sz w:val="20"/>
              </w:rPr>
              <w:t>FR-TEN-006</w:t>
            </w:r>
          </w:p>
        </w:tc>
        <w:tc>
          <w:tcPr>
            <w:tcW w:type="dxa" w:w="2798"/>
            <w:vAlign w:val="center"/>
            <w:shd w:fill="F4F6F8"/>
          </w:tcPr>
          <w:p>
            <w:pPr>
              <w:spacing w:after="20" w:before="20" w:line="247" w:lineRule="auto"/>
            </w:pPr>
            <w:r>
              <w:rPr>
                <w:b w:val="0"/>
                <w:i w:val="0"/>
                <w:sz w:val="20"/>
              </w:rPr>
              <w:t>FT-TEN-006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BR-TEN-007</w:t>
            </w:r>
          </w:p>
        </w:tc>
        <w:tc>
          <w:tcPr>
            <w:tcW w:type="dxa" w:w="2498"/>
            <w:vAlign w:val="center"/>
            <w:shd w:fill="FFFFFF"/>
          </w:tcPr>
          <w:p>
            <w:pPr>
              <w:spacing w:after="20" w:before="20" w:line="247" w:lineRule="auto"/>
            </w:pPr>
            <w:r>
              <w:rPr>
                <w:b w:val="0"/>
                <w:i w:val="0"/>
                <w:sz w:val="20"/>
              </w:rPr>
              <w:t>FR-TEN-007</w:t>
            </w:r>
          </w:p>
        </w:tc>
        <w:tc>
          <w:tcPr>
            <w:tcW w:type="dxa" w:w="2798"/>
            <w:vAlign w:val="center"/>
            <w:shd w:fill="FFFFFF"/>
          </w:tcPr>
          <w:p>
            <w:pPr>
              <w:spacing w:after="20" w:before="20" w:line="247" w:lineRule="auto"/>
            </w:pPr>
            <w:r>
              <w:rPr>
                <w:b w:val="0"/>
                <w:i w:val="0"/>
                <w:sz w:val="20"/>
              </w:rPr>
              <w:t>FT-TEN-007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BR-TEN-008</w:t>
            </w:r>
          </w:p>
        </w:tc>
        <w:tc>
          <w:tcPr>
            <w:tcW w:type="dxa" w:w="2498"/>
            <w:vAlign w:val="center"/>
            <w:shd w:fill="F4F6F8"/>
          </w:tcPr>
          <w:p>
            <w:pPr>
              <w:spacing w:after="20" w:before="20" w:line="247" w:lineRule="auto"/>
            </w:pPr>
            <w:r>
              <w:rPr>
                <w:b w:val="0"/>
                <w:i w:val="0"/>
                <w:sz w:val="20"/>
              </w:rPr>
              <w:t>FR-TEN-008</w:t>
            </w:r>
          </w:p>
        </w:tc>
        <w:tc>
          <w:tcPr>
            <w:tcW w:type="dxa" w:w="2798"/>
            <w:vAlign w:val="center"/>
            <w:shd w:fill="F4F6F8"/>
          </w:tcPr>
          <w:p>
            <w:pPr>
              <w:spacing w:after="20" w:before="20" w:line="247" w:lineRule="auto"/>
            </w:pPr>
            <w:r>
              <w:rPr>
                <w:b w:val="0"/>
                <w:i w:val="0"/>
                <w:sz w:val="20"/>
              </w:rPr>
              <w:t>FT-TEN-008</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BR-TEN-009</w:t>
            </w:r>
          </w:p>
        </w:tc>
        <w:tc>
          <w:tcPr>
            <w:tcW w:type="dxa" w:w="2498"/>
            <w:vAlign w:val="center"/>
            <w:shd w:fill="FFFFFF"/>
          </w:tcPr>
          <w:p>
            <w:pPr>
              <w:spacing w:after="20" w:before="20" w:line="247" w:lineRule="auto"/>
            </w:pPr>
            <w:r>
              <w:rPr>
                <w:b w:val="0"/>
                <w:i w:val="0"/>
                <w:sz w:val="20"/>
              </w:rPr>
              <w:t>FR-TEN-009</w:t>
            </w:r>
          </w:p>
        </w:tc>
        <w:tc>
          <w:tcPr>
            <w:tcW w:type="dxa" w:w="2798"/>
            <w:vAlign w:val="center"/>
            <w:shd w:fill="FFFFFF"/>
          </w:tcPr>
          <w:p>
            <w:pPr>
              <w:spacing w:after="20" w:before="20" w:line="247" w:lineRule="auto"/>
            </w:pPr>
            <w:r>
              <w:rPr>
                <w:b w:val="0"/>
                <w:i w:val="0"/>
                <w:sz w:val="20"/>
              </w:rPr>
              <w:t>FT-TEN-009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BR-TEN-010</w:t>
            </w:r>
          </w:p>
        </w:tc>
        <w:tc>
          <w:tcPr>
            <w:tcW w:type="dxa" w:w="2498"/>
            <w:vAlign w:val="center"/>
            <w:shd w:fill="F4F6F8"/>
          </w:tcPr>
          <w:p>
            <w:pPr>
              <w:spacing w:after="20" w:before="20" w:line="247" w:lineRule="auto"/>
            </w:pPr>
            <w:r>
              <w:rPr>
                <w:b w:val="0"/>
                <w:i w:val="0"/>
                <w:sz w:val="20"/>
              </w:rPr>
              <w:t>FR-TEN-010</w:t>
            </w:r>
          </w:p>
        </w:tc>
        <w:tc>
          <w:tcPr>
            <w:tcW w:type="dxa" w:w="2798"/>
            <w:vAlign w:val="center"/>
            <w:shd w:fill="F4F6F8"/>
          </w:tcPr>
          <w:p>
            <w:pPr>
              <w:spacing w:after="20" w:before="20" w:line="247" w:lineRule="auto"/>
            </w:pPr>
            <w:r>
              <w:rPr>
                <w:b w:val="0"/>
                <w:i w:val="0"/>
                <w:sz w:val="20"/>
              </w:rPr>
              <w:t>FT-TEN-010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BR-IAM-001</w:t>
            </w:r>
          </w:p>
        </w:tc>
        <w:tc>
          <w:tcPr>
            <w:tcW w:type="dxa" w:w="2498"/>
            <w:vAlign w:val="center"/>
            <w:shd w:fill="FFFFFF"/>
          </w:tcPr>
          <w:p>
            <w:pPr>
              <w:spacing w:after="20" w:before="20" w:line="247" w:lineRule="auto"/>
            </w:pPr>
            <w:r>
              <w:rPr>
                <w:b w:val="0"/>
                <w:i w:val="0"/>
                <w:sz w:val="20"/>
              </w:rPr>
              <w:t>FR-IAM-001</w:t>
            </w:r>
          </w:p>
        </w:tc>
        <w:tc>
          <w:tcPr>
            <w:tcW w:type="dxa" w:w="2798"/>
            <w:vAlign w:val="center"/>
            <w:shd w:fill="FFFFFF"/>
          </w:tcPr>
          <w:p>
            <w:pPr>
              <w:spacing w:after="20" w:before="20" w:line="247" w:lineRule="auto"/>
            </w:pPr>
            <w:r>
              <w:rPr>
                <w:b w:val="0"/>
                <w:i w:val="0"/>
                <w:sz w:val="20"/>
              </w:rPr>
              <w:t>FT-IAM-001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BR-IAM-002</w:t>
            </w:r>
          </w:p>
        </w:tc>
        <w:tc>
          <w:tcPr>
            <w:tcW w:type="dxa" w:w="2498"/>
            <w:vAlign w:val="center"/>
            <w:shd w:fill="F4F6F8"/>
          </w:tcPr>
          <w:p>
            <w:pPr>
              <w:spacing w:after="20" w:before="20" w:line="247" w:lineRule="auto"/>
            </w:pPr>
            <w:r>
              <w:rPr>
                <w:b w:val="0"/>
                <w:i w:val="0"/>
                <w:sz w:val="20"/>
              </w:rPr>
              <w:t>FR-IAM-002</w:t>
            </w:r>
          </w:p>
        </w:tc>
        <w:tc>
          <w:tcPr>
            <w:tcW w:type="dxa" w:w="2798"/>
            <w:vAlign w:val="center"/>
            <w:shd w:fill="F4F6F8"/>
          </w:tcPr>
          <w:p>
            <w:pPr>
              <w:spacing w:after="20" w:before="20" w:line="247" w:lineRule="auto"/>
            </w:pPr>
            <w:r>
              <w:rPr>
                <w:b w:val="0"/>
                <w:i w:val="0"/>
                <w:sz w:val="20"/>
              </w:rPr>
              <w:t>FT-IAM-002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BR-IAM-003</w:t>
            </w:r>
          </w:p>
        </w:tc>
        <w:tc>
          <w:tcPr>
            <w:tcW w:type="dxa" w:w="2498"/>
            <w:vAlign w:val="center"/>
            <w:shd w:fill="FFFFFF"/>
          </w:tcPr>
          <w:p>
            <w:pPr>
              <w:spacing w:after="20" w:before="20" w:line="247" w:lineRule="auto"/>
            </w:pPr>
            <w:r>
              <w:rPr>
                <w:b w:val="0"/>
                <w:i w:val="0"/>
                <w:sz w:val="20"/>
              </w:rPr>
              <w:t>FR-IAM-003</w:t>
            </w:r>
          </w:p>
        </w:tc>
        <w:tc>
          <w:tcPr>
            <w:tcW w:type="dxa" w:w="2798"/>
            <w:vAlign w:val="center"/>
            <w:shd w:fill="FFFFFF"/>
          </w:tcPr>
          <w:p>
            <w:pPr>
              <w:spacing w:after="20" w:before="20" w:line="247" w:lineRule="auto"/>
            </w:pPr>
            <w:r>
              <w:rPr>
                <w:b w:val="0"/>
                <w:i w:val="0"/>
                <w:sz w:val="20"/>
              </w:rPr>
              <w:t>FT-IAM-003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BR-IAM-004</w:t>
            </w:r>
          </w:p>
        </w:tc>
        <w:tc>
          <w:tcPr>
            <w:tcW w:type="dxa" w:w="2498"/>
            <w:vAlign w:val="center"/>
            <w:shd w:fill="F4F6F8"/>
          </w:tcPr>
          <w:p>
            <w:pPr>
              <w:spacing w:after="20" w:before="20" w:line="247" w:lineRule="auto"/>
            </w:pPr>
            <w:r>
              <w:rPr>
                <w:b w:val="0"/>
                <w:i w:val="0"/>
                <w:sz w:val="20"/>
              </w:rPr>
              <w:t>FR-IAM-004</w:t>
            </w:r>
          </w:p>
        </w:tc>
        <w:tc>
          <w:tcPr>
            <w:tcW w:type="dxa" w:w="2798"/>
            <w:vAlign w:val="center"/>
            <w:shd w:fill="F4F6F8"/>
          </w:tcPr>
          <w:p>
            <w:pPr>
              <w:spacing w:after="20" w:before="20" w:line="247" w:lineRule="auto"/>
            </w:pPr>
            <w:r>
              <w:rPr>
                <w:b w:val="0"/>
                <w:i w:val="0"/>
                <w:sz w:val="20"/>
              </w:rPr>
              <w:t>FT-IAM-004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BR-IAM-005</w:t>
            </w:r>
          </w:p>
        </w:tc>
        <w:tc>
          <w:tcPr>
            <w:tcW w:type="dxa" w:w="2498"/>
            <w:vAlign w:val="center"/>
            <w:shd w:fill="FFFFFF"/>
          </w:tcPr>
          <w:p>
            <w:pPr>
              <w:spacing w:after="20" w:before="20" w:line="247" w:lineRule="auto"/>
            </w:pPr>
            <w:r>
              <w:rPr>
                <w:b w:val="0"/>
                <w:i w:val="0"/>
                <w:sz w:val="20"/>
              </w:rPr>
              <w:t>FR-IAM-005</w:t>
            </w:r>
          </w:p>
        </w:tc>
        <w:tc>
          <w:tcPr>
            <w:tcW w:type="dxa" w:w="2798"/>
            <w:vAlign w:val="center"/>
            <w:shd w:fill="FFFFFF"/>
          </w:tcPr>
          <w:p>
            <w:pPr>
              <w:spacing w:after="20" w:before="20" w:line="247" w:lineRule="auto"/>
            </w:pPr>
            <w:r>
              <w:rPr>
                <w:b w:val="0"/>
                <w:i w:val="0"/>
                <w:sz w:val="20"/>
              </w:rPr>
              <w:t>FT-IAM-005</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BR-IAM-006</w:t>
            </w:r>
          </w:p>
        </w:tc>
        <w:tc>
          <w:tcPr>
            <w:tcW w:type="dxa" w:w="2498"/>
            <w:vAlign w:val="center"/>
            <w:shd w:fill="F4F6F8"/>
          </w:tcPr>
          <w:p>
            <w:pPr>
              <w:spacing w:after="20" w:before="20" w:line="247" w:lineRule="auto"/>
            </w:pPr>
            <w:r>
              <w:rPr>
                <w:b w:val="0"/>
                <w:i w:val="0"/>
                <w:sz w:val="20"/>
              </w:rPr>
              <w:t>FR-IAM-006</w:t>
            </w:r>
          </w:p>
        </w:tc>
        <w:tc>
          <w:tcPr>
            <w:tcW w:type="dxa" w:w="2798"/>
            <w:vAlign w:val="center"/>
            <w:shd w:fill="F4F6F8"/>
          </w:tcPr>
          <w:p>
            <w:pPr>
              <w:spacing w:after="20" w:before="20" w:line="247" w:lineRule="auto"/>
            </w:pPr>
            <w:r>
              <w:rPr>
                <w:b w:val="0"/>
                <w:i w:val="0"/>
                <w:sz w:val="20"/>
              </w:rPr>
              <w:t>FT-IAM-006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BR-IAM-007</w:t>
            </w:r>
          </w:p>
        </w:tc>
        <w:tc>
          <w:tcPr>
            <w:tcW w:type="dxa" w:w="2498"/>
            <w:vAlign w:val="center"/>
            <w:shd w:fill="FFFFFF"/>
          </w:tcPr>
          <w:p>
            <w:pPr>
              <w:spacing w:after="20" w:before="20" w:line="247" w:lineRule="auto"/>
            </w:pPr>
            <w:r>
              <w:rPr>
                <w:b w:val="0"/>
                <w:i w:val="0"/>
                <w:sz w:val="20"/>
              </w:rPr>
              <w:t>FR-IAM-007</w:t>
            </w:r>
          </w:p>
        </w:tc>
        <w:tc>
          <w:tcPr>
            <w:tcW w:type="dxa" w:w="2798"/>
            <w:vAlign w:val="center"/>
            <w:shd w:fill="FFFFFF"/>
          </w:tcPr>
          <w:p>
            <w:pPr>
              <w:spacing w:after="20" w:before="20" w:line="247" w:lineRule="auto"/>
            </w:pPr>
            <w:r>
              <w:rPr>
                <w:b w:val="0"/>
                <w:i w:val="0"/>
                <w:sz w:val="20"/>
              </w:rPr>
              <w:t>FT-IAM-007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BR-IAM-008</w:t>
            </w:r>
          </w:p>
        </w:tc>
        <w:tc>
          <w:tcPr>
            <w:tcW w:type="dxa" w:w="2498"/>
            <w:vAlign w:val="center"/>
            <w:shd w:fill="F4F6F8"/>
          </w:tcPr>
          <w:p>
            <w:pPr>
              <w:spacing w:after="20" w:before="20" w:line="247" w:lineRule="auto"/>
            </w:pPr>
            <w:r>
              <w:rPr>
                <w:b w:val="0"/>
                <w:i w:val="0"/>
                <w:sz w:val="20"/>
              </w:rPr>
              <w:t>FR-IAM-008</w:t>
            </w:r>
          </w:p>
        </w:tc>
        <w:tc>
          <w:tcPr>
            <w:tcW w:type="dxa" w:w="2798"/>
            <w:vAlign w:val="center"/>
            <w:shd w:fill="F4F6F8"/>
          </w:tcPr>
          <w:p>
            <w:pPr>
              <w:spacing w:after="20" w:before="20" w:line="247" w:lineRule="auto"/>
            </w:pPr>
            <w:r>
              <w:rPr>
                <w:b w:val="0"/>
                <w:i w:val="0"/>
                <w:sz w:val="20"/>
              </w:rPr>
              <w:t>FT-IAM-008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BR-IAM-009</w:t>
            </w:r>
          </w:p>
        </w:tc>
        <w:tc>
          <w:tcPr>
            <w:tcW w:type="dxa" w:w="2498"/>
            <w:vAlign w:val="center"/>
            <w:shd w:fill="FFFFFF"/>
          </w:tcPr>
          <w:p>
            <w:pPr>
              <w:spacing w:after="20" w:before="20" w:line="247" w:lineRule="auto"/>
            </w:pPr>
            <w:r>
              <w:rPr>
                <w:b w:val="0"/>
                <w:i w:val="0"/>
                <w:sz w:val="20"/>
              </w:rPr>
              <w:t>FR-IAM-009</w:t>
            </w:r>
          </w:p>
        </w:tc>
        <w:tc>
          <w:tcPr>
            <w:tcW w:type="dxa" w:w="2798"/>
            <w:vAlign w:val="center"/>
            <w:shd w:fill="FFFFFF"/>
          </w:tcPr>
          <w:p>
            <w:pPr>
              <w:spacing w:after="20" w:before="20" w:line="247" w:lineRule="auto"/>
            </w:pPr>
            <w:r>
              <w:rPr>
                <w:b w:val="0"/>
                <w:i w:val="0"/>
                <w:sz w:val="20"/>
              </w:rPr>
              <w:t>FT-IAM-009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BR-IAM-010</w:t>
            </w:r>
          </w:p>
        </w:tc>
        <w:tc>
          <w:tcPr>
            <w:tcW w:type="dxa" w:w="2498"/>
            <w:vAlign w:val="center"/>
            <w:shd w:fill="F4F6F8"/>
          </w:tcPr>
          <w:p>
            <w:pPr>
              <w:spacing w:after="20" w:before="20" w:line="247" w:lineRule="auto"/>
            </w:pPr>
            <w:r>
              <w:rPr>
                <w:b w:val="0"/>
                <w:i w:val="0"/>
                <w:sz w:val="20"/>
              </w:rPr>
              <w:t>FR-IAM-010</w:t>
            </w:r>
          </w:p>
        </w:tc>
        <w:tc>
          <w:tcPr>
            <w:tcW w:type="dxa" w:w="2798"/>
            <w:vAlign w:val="center"/>
            <w:shd w:fill="F4F6F8"/>
          </w:tcPr>
          <w:p>
            <w:pPr>
              <w:spacing w:after="20" w:before="20" w:line="247" w:lineRule="auto"/>
            </w:pPr>
            <w:r>
              <w:rPr>
                <w:b w:val="0"/>
                <w:i w:val="0"/>
                <w:sz w:val="20"/>
              </w:rPr>
              <w:t>FT-IAM-010</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BR-IAM-011</w:t>
            </w:r>
          </w:p>
        </w:tc>
        <w:tc>
          <w:tcPr>
            <w:tcW w:type="dxa" w:w="2498"/>
            <w:vAlign w:val="center"/>
            <w:shd w:fill="FFFFFF"/>
          </w:tcPr>
          <w:p>
            <w:pPr>
              <w:spacing w:after="20" w:before="20" w:line="247" w:lineRule="auto"/>
            </w:pPr>
            <w:r>
              <w:rPr>
                <w:b w:val="0"/>
                <w:i w:val="0"/>
                <w:sz w:val="20"/>
              </w:rPr>
              <w:t>FR-IAM-011</w:t>
            </w:r>
          </w:p>
        </w:tc>
        <w:tc>
          <w:tcPr>
            <w:tcW w:type="dxa" w:w="2798"/>
            <w:vAlign w:val="center"/>
            <w:shd w:fill="FFFFFF"/>
          </w:tcPr>
          <w:p>
            <w:pPr>
              <w:spacing w:after="20" w:before="20" w:line="247" w:lineRule="auto"/>
            </w:pPr>
            <w:r>
              <w:rPr>
                <w:b w:val="0"/>
                <w:i w:val="0"/>
                <w:sz w:val="20"/>
              </w:rPr>
              <w:t>FT-IAM-011</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BR-IAM-012</w:t>
            </w:r>
          </w:p>
        </w:tc>
        <w:tc>
          <w:tcPr>
            <w:tcW w:type="dxa" w:w="2498"/>
            <w:vAlign w:val="center"/>
            <w:shd w:fill="F4F6F8"/>
          </w:tcPr>
          <w:p>
            <w:pPr>
              <w:spacing w:after="20" w:before="20" w:line="247" w:lineRule="auto"/>
            </w:pPr>
            <w:r>
              <w:rPr>
                <w:b w:val="0"/>
                <w:i w:val="0"/>
                <w:sz w:val="20"/>
              </w:rPr>
              <w:t>FR-IAM-012</w:t>
            </w:r>
          </w:p>
        </w:tc>
        <w:tc>
          <w:tcPr>
            <w:tcW w:type="dxa" w:w="2798"/>
            <w:vAlign w:val="center"/>
            <w:shd w:fill="F4F6F8"/>
          </w:tcPr>
          <w:p>
            <w:pPr>
              <w:spacing w:after="20" w:before="20" w:line="247" w:lineRule="auto"/>
            </w:pPr>
            <w:r>
              <w:rPr>
                <w:b w:val="0"/>
                <w:i w:val="0"/>
                <w:sz w:val="20"/>
              </w:rPr>
              <w:t>FT-IAM-012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BR-IAM-013</w:t>
            </w:r>
          </w:p>
        </w:tc>
        <w:tc>
          <w:tcPr>
            <w:tcW w:type="dxa" w:w="2498"/>
            <w:vAlign w:val="center"/>
            <w:shd w:fill="FFFFFF"/>
          </w:tcPr>
          <w:p>
            <w:pPr>
              <w:spacing w:after="20" w:before="20" w:line="247" w:lineRule="auto"/>
            </w:pPr>
            <w:r>
              <w:rPr>
                <w:b w:val="0"/>
                <w:i w:val="0"/>
                <w:sz w:val="20"/>
              </w:rPr>
              <w:t>FR-IAM-013</w:t>
            </w:r>
          </w:p>
        </w:tc>
        <w:tc>
          <w:tcPr>
            <w:tcW w:type="dxa" w:w="2798"/>
            <w:vAlign w:val="center"/>
            <w:shd w:fill="FFFFFF"/>
          </w:tcPr>
          <w:p>
            <w:pPr>
              <w:spacing w:after="20" w:before="20" w:line="247" w:lineRule="auto"/>
            </w:pPr>
            <w:r>
              <w:rPr>
                <w:b w:val="0"/>
                <w:i w:val="0"/>
                <w:sz w:val="20"/>
              </w:rPr>
              <w:t>FT-IAM-013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BR-IAM-014</w:t>
            </w:r>
          </w:p>
        </w:tc>
        <w:tc>
          <w:tcPr>
            <w:tcW w:type="dxa" w:w="2498"/>
            <w:vAlign w:val="center"/>
            <w:shd w:fill="F4F6F8"/>
          </w:tcPr>
          <w:p>
            <w:pPr>
              <w:spacing w:after="20" w:before="20" w:line="247" w:lineRule="auto"/>
            </w:pPr>
            <w:r>
              <w:rPr>
                <w:b w:val="0"/>
                <w:i w:val="0"/>
                <w:sz w:val="20"/>
              </w:rPr>
              <w:t>FR-IAM-014</w:t>
            </w:r>
          </w:p>
        </w:tc>
        <w:tc>
          <w:tcPr>
            <w:tcW w:type="dxa" w:w="2798"/>
            <w:vAlign w:val="center"/>
            <w:shd w:fill="F4F6F8"/>
          </w:tcPr>
          <w:p>
            <w:pPr>
              <w:spacing w:after="20" w:before="20" w:line="247" w:lineRule="auto"/>
            </w:pPr>
            <w:r>
              <w:rPr>
                <w:b w:val="0"/>
                <w:i w:val="0"/>
                <w:sz w:val="20"/>
              </w:rPr>
              <w:t>FT-IAM-014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BR-ACC-001</w:t>
            </w:r>
          </w:p>
        </w:tc>
        <w:tc>
          <w:tcPr>
            <w:tcW w:type="dxa" w:w="2498"/>
            <w:vAlign w:val="center"/>
            <w:shd w:fill="FFFFFF"/>
          </w:tcPr>
          <w:p>
            <w:pPr>
              <w:spacing w:after="20" w:before="20" w:line="247" w:lineRule="auto"/>
            </w:pPr>
            <w:r>
              <w:rPr>
                <w:b w:val="0"/>
                <w:i w:val="0"/>
                <w:sz w:val="20"/>
              </w:rPr>
              <w:t>FR-ACC-001</w:t>
            </w:r>
          </w:p>
        </w:tc>
        <w:tc>
          <w:tcPr>
            <w:tcW w:type="dxa" w:w="2798"/>
            <w:vAlign w:val="center"/>
            <w:shd w:fill="FFFFFF"/>
          </w:tcPr>
          <w:p>
            <w:pPr>
              <w:spacing w:after="20" w:before="20" w:line="247" w:lineRule="auto"/>
            </w:pPr>
            <w:r>
              <w:rPr>
                <w:b w:val="0"/>
                <w:i w:val="0"/>
                <w:sz w:val="20"/>
              </w:rPr>
              <w:t>FT-ACC-001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BR-ACC-002</w:t>
            </w:r>
          </w:p>
        </w:tc>
        <w:tc>
          <w:tcPr>
            <w:tcW w:type="dxa" w:w="2498"/>
            <w:vAlign w:val="center"/>
            <w:shd w:fill="F4F6F8"/>
          </w:tcPr>
          <w:p>
            <w:pPr>
              <w:spacing w:after="20" w:before="20" w:line="247" w:lineRule="auto"/>
            </w:pPr>
            <w:r>
              <w:rPr>
                <w:b w:val="0"/>
                <w:i w:val="0"/>
                <w:sz w:val="20"/>
              </w:rPr>
              <w:t>FR-ACC-002</w:t>
            </w:r>
          </w:p>
        </w:tc>
        <w:tc>
          <w:tcPr>
            <w:tcW w:type="dxa" w:w="2798"/>
            <w:vAlign w:val="center"/>
            <w:shd w:fill="F4F6F8"/>
          </w:tcPr>
          <w:p>
            <w:pPr>
              <w:spacing w:after="20" w:before="20" w:line="247" w:lineRule="auto"/>
            </w:pPr>
            <w:r>
              <w:rPr>
                <w:b w:val="0"/>
                <w:i w:val="0"/>
                <w:sz w:val="20"/>
              </w:rPr>
              <w:t>FT-ACC-002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BR-ACC-003</w:t>
            </w:r>
          </w:p>
        </w:tc>
        <w:tc>
          <w:tcPr>
            <w:tcW w:type="dxa" w:w="2498"/>
            <w:vAlign w:val="center"/>
            <w:shd w:fill="FFFFFF"/>
          </w:tcPr>
          <w:p>
            <w:pPr>
              <w:spacing w:after="20" w:before="20" w:line="247" w:lineRule="auto"/>
            </w:pPr>
            <w:r>
              <w:rPr>
                <w:b w:val="0"/>
                <w:i w:val="0"/>
                <w:sz w:val="20"/>
              </w:rPr>
              <w:t>FR-ACC-003</w:t>
            </w:r>
          </w:p>
        </w:tc>
        <w:tc>
          <w:tcPr>
            <w:tcW w:type="dxa" w:w="2798"/>
            <w:vAlign w:val="center"/>
            <w:shd w:fill="FFFFFF"/>
          </w:tcPr>
          <w:p>
            <w:pPr>
              <w:spacing w:after="20" w:before="20" w:line="247" w:lineRule="auto"/>
            </w:pPr>
            <w:r>
              <w:rPr>
                <w:b w:val="0"/>
                <w:i w:val="0"/>
                <w:sz w:val="20"/>
              </w:rPr>
              <w:t>FT-ACC-003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BR-ACC-004</w:t>
            </w:r>
          </w:p>
        </w:tc>
        <w:tc>
          <w:tcPr>
            <w:tcW w:type="dxa" w:w="2498"/>
            <w:vAlign w:val="center"/>
            <w:shd w:fill="F4F6F8"/>
          </w:tcPr>
          <w:p>
            <w:pPr>
              <w:spacing w:after="20" w:before="20" w:line="247" w:lineRule="auto"/>
            </w:pPr>
            <w:r>
              <w:rPr>
                <w:b w:val="0"/>
                <w:i w:val="0"/>
                <w:sz w:val="20"/>
              </w:rPr>
              <w:t>FR-ACC-004</w:t>
            </w:r>
          </w:p>
        </w:tc>
        <w:tc>
          <w:tcPr>
            <w:tcW w:type="dxa" w:w="2798"/>
            <w:vAlign w:val="center"/>
            <w:shd w:fill="F4F6F8"/>
          </w:tcPr>
          <w:p>
            <w:pPr>
              <w:spacing w:after="20" w:before="20" w:line="247" w:lineRule="auto"/>
            </w:pPr>
            <w:r>
              <w:rPr>
                <w:b w:val="0"/>
                <w:i w:val="0"/>
                <w:sz w:val="20"/>
              </w:rPr>
              <w:t>FT-ACC-004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BR-ACC-005</w:t>
            </w:r>
          </w:p>
        </w:tc>
        <w:tc>
          <w:tcPr>
            <w:tcW w:type="dxa" w:w="2498"/>
            <w:vAlign w:val="center"/>
            <w:shd w:fill="FFFFFF"/>
          </w:tcPr>
          <w:p>
            <w:pPr>
              <w:spacing w:after="20" w:before="20" w:line="247" w:lineRule="auto"/>
            </w:pPr>
            <w:r>
              <w:rPr>
                <w:b w:val="0"/>
                <w:i w:val="0"/>
                <w:sz w:val="20"/>
              </w:rPr>
              <w:t>FR-ACC-005</w:t>
            </w:r>
          </w:p>
        </w:tc>
        <w:tc>
          <w:tcPr>
            <w:tcW w:type="dxa" w:w="2798"/>
            <w:vAlign w:val="center"/>
            <w:shd w:fill="FFFFFF"/>
          </w:tcPr>
          <w:p>
            <w:pPr>
              <w:spacing w:after="20" w:before="20" w:line="247" w:lineRule="auto"/>
            </w:pPr>
            <w:r>
              <w:rPr>
                <w:b w:val="0"/>
                <w:i w:val="0"/>
                <w:sz w:val="20"/>
              </w:rPr>
              <w:t>FT-ACC-005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BR-ACC-006</w:t>
            </w:r>
          </w:p>
        </w:tc>
        <w:tc>
          <w:tcPr>
            <w:tcW w:type="dxa" w:w="2498"/>
            <w:vAlign w:val="center"/>
            <w:shd w:fill="F4F6F8"/>
          </w:tcPr>
          <w:p>
            <w:pPr>
              <w:spacing w:after="20" w:before="20" w:line="247" w:lineRule="auto"/>
            </w:pPr>
            <w:r>
              <w:rPr>
                <w:b w:val="0"/>
                <w:i w:val="0"/>
                <w:sz w:val="20"/>
              </w:rPr>
              <w:t>FR-ACC-006</w:t>
            </w:r>
          </w:p>
        </w:tc>
        <w:tc>
          <w:tcPr>
            <w:tcW w:type="dxa" w:w="2798"/>
            <w:vAlign w:val="center"/>
            <w:shd w:fill="F4F6F8"/>
          </w:tcPr>
          <w:p>
            <w:pPr>
              <w:spacing w:after="20" w:before="20" w:line="247" w:lineRule="auto"/>
            </w:pPr>
            <w:r>
              <w:rPr>
                <w:b w:val="0"/>
                <w:i w:val="0"/>
                <w:sz w:val="20"/>
              </w:rPr>
              <w:t>FT-ACC-006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BR-ACC-007</w:t>
            </w:r>
          </w:p>
        </w:tc>
        <w:tc>
          <w:tcPr>
            <w:tcW w:type="dxa" w:w="2498"/>
            <w:vAlign w:val="center"/>
            <w:shd w:fill="FFFFFF"/>
          </w:tcPr>
          <w:p>
            <w:pPr>
              <w:spacing w:after="20" w:before="20" w:line="247" w:lineRule="auto"/>
            </w:pPr>
            <w:r>
              <w:rPr>
                <w:b w:val="0"/>
                <w:i w:val="0"/>
                <w:sz w:val="20"/>
              </w:rPr>
              <w:t>FR-ACC-007</w:t>
            </w:r>
          </w:p>
        </w:tc>
        <w:tc>
          <w:tcPr>
            <w:tcW w:type="dxa" w:w="2798"/>
            <w:vAlign w:val="center"/>
            <w:shd w:fill="FFFFFF"/>
          </w:tcPr>
          <w:p>
            <w:pPr>
              <w:spacing w:after="20" w:before="20" w:line="247" w:lineRule="auto"/>
            </w:pPr>
            <w:r>
              <w:rPr>
                <w:b w:val="0"/>
                <w:i w:val="0"/>
                <w:sz w:val="20"/>
              </w:rPr>
              <w:t>FT-ACC-007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BR-ACC-008</w:t>
            </w:r>
          </w:p>
        </w:tc>
        <w:tc>
          <w:tcPr>
            <w:tcW w:type="dxa" w:w="2498"/>
            <w:vAlign w:val="center"/>
            <w:shd w:fill="F4F6F8"/>
          </w:tcPr>
          <w:p>
            <w:pPr>
              <w:spacing w:after="20" w:before="20" w:line="247" w:lineRule="auto"/>
            </w:pPr>
            <w:r>
              <w:rPr>
                <w:b w:val="0"/>
                <w:i w:val="0"/>
                <w:sz w:val="20"/>
              </w:rPr>
              <w:t>FR-ACC-008</w:t>
            </w:r>
          </w:p>
        </w:tc>
        <w:tc>
          <w:tcPr>
            <w:tcW w:type="dxa" w:w="2798"/>
            <w:vAlign w:val="center"/>
            <w:shd w:fill="F4F6F8"/>
          </w:tcPr>
          <w:p>
            <w:pPr>
              <w:spacing w:after="20" w:before="20" w:line="247" w:lineRule="auto"/>
            </w:pPr>
            <w:r>
              <w:rPr>
                <w:b w:val="0"/>
                <w:i w:val="0"/>
                <w:sz w:val="20"/>
              </w:rPr>
              <w:t>FT-ACC-008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BR-ACC-009</w:t>
            </w:r>
          </w:p>
        </w:tc>
        <w:tc>
          <w:tcPr>
            <w:tcW w:type="dxa" w:w="2498"/>
            <w:vAlign w:val="center"/>
            <w:shd w:fill="FFFFFF"/>
          </w:tcPr>
          <w:p>
            <w:pPr>
              <w:spacing w:after="20" w:before="20" w:line="247" w:lineRule="auto"/>
            </w:pPr>
            <w:r>
              <w:rPr>
                <w:b w:val="0"/>
                <w:i w:val="0"/>
                <w:sz w:val="20"/>
              </w:rPr>
              <w:t>FR-ACC-009</w:t>
            </w:r>
          </w:p>
        </w:tc>
        <w:tc>
          <w:tcPr>
            <w:tcW w:type="dxa" w:w="2798"/>
            <w:vAlign w:val="center"/>
            <w:shd w:fill="FFFFFF"/>
          </w:tcPr>
          <w:p>
            <w:pPr>
              <w:spacing w:after="20" w:before="20" w:line="247" w:lineRule="auto"/>
            </w:pPr>
            <w:r>
              <w:rPr>
                <w:b w:val="0"/>
                <w:i w:val="0"/>
                <w:sz w:val="20"/>
              </w:rPr>
              <w:t>FT-ACC-009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BR-ACC-010</w:t>
            </w:r>
          </w:p>
        </w:tc>
        <w:tc>
          <w:tcPr>
            <w:tcW w:type="dxa" w:w="2498"/>
            <w:vAlign w:val="center"/>
            <w:shd w:fill="F4F6F8"/>
          </w:tcPr>
          <w:p>
            <w:pPr>
              <w:spacing w:after="20" w:before="20" w:line="247" w:lineRule="auto"/>
            </w:pPr>
            <w:r>
              <w:rPr>
                <w:b w:val="0"/>
                <w:i w:val="0"/>
                <w:sz w:val="20"/>
              </w:rPr>
              <w:t>FR-ACC-010</w:t>
            </w:r>
          </w:p>
        </w:tc>
        <w:tc>
          <w:tcPr>
            <w:tcW w:type="dxa" w:w="2798"/>
            <w:vAlign w:val="center"/>
            <w:shd w:fill="F4F6F8"/>
          </w:tcPr>
          <w:p>
            <w:pPr>
              <w:spacing w:after="20" w:before="20" w:line="247" w:lineRule="auto"/>
            </w:pPr>
            <w:r>
              <w:rPr>
                <w:b w:val="0"/>
                <w:i w:val="0"/>
                <w:sz w:val="20"/>
              </w:rPr>
              <w:t>FT-ACC-010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BR-ACC-011</w:t>
            </w:r>
          </w:p>
        </w:tc>
        <w:tc>
          <w:tcPr>
            <w:tcW w:type="dxa" w:w="2498"/>
            <w:vAlign w:val="center"/>
            <w:shd w:fill="FFFFFF"/>
          </w:tcPr>
          <w:p>
            <w:pPr>
              <w:spacing w:after="20" w:before="20" w:line="247" w:lineRule="auto"/>
            </w:pPr>
            <w:r>
              <w:rPr>
                <w:b w:val="0"/>
                <w:i w:val="0"/>
                <w:sz w:val="20"/>
              </w:rPr>
              <w:t>FR-ACC-011</w:t>
            </w:r>
          </w:p>
        </w:tc>
        <w:tc>
          <w:tcPr>
            <w:tcW w:type="dxa" w:w="2798"/>
            <w:vAlign w:val="center"/>
            <w:shd w:fill="FFFFFF"/>
          </w:tcPr>
          <w:p>
            <w:pPr>
              <w:spacing w:after="20" w:before="20" w:line="247" w:lineRule="auto"/>
            </w:pPr>
            <w:r>
              <w:rPr>
                <w:b w:val="0"/>
                <w:i w:val="0"/>
                <w:sz w:val="20"/>
              </w:rPr>
              <w:t>FT-ACC-011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BR-ACC-012</w:t>
            </w:r>
          </w:p>
        </w:tc>
        <w:tc>
          <w:tcPr>
            <w:tcW w:type="dxa" w:w="2498"/>
            <w:vAlign w:val="center"/>
            <w:shd w:fill="F4F6F8"/>
          </w:tcPr>
          <w:p>
            <w:pPr>
              <w:spacing w:after="20" w:before="20" w:line="247" w:lineRule="auto"/>
            </w:pPr>
            <w:r>
              <w:rPr>
                <w:b w:val="0"/>
                <w:i w:val="0"/>
                <w:sz w:val="20"/>
              </w:rPr>
              <w:t>FR-ACC-012</w:t>
            </w:r>
          </w:p>
        </w:tc>
        <w:tc>
          <w:tcPr>
            <w:tcW w:type="dxa" w:w="2798"/>
            <w:vAlign w:val="center"/>
            <w:shd w:fill="F4F6F8"/>
          </w:tcPr>
          <w:p>
            <w:pPr>
              <w:spacing w:after="20" w:before="20" w:line="247" w:lineRule="auto"/>
            </w:pPr>
            <w:r>
              <w:rPr>
                <w:b w:val="0"/>
                <w:i w:val="0"/>
                <w:sz w:val="20"/>
              </w:rPr>
              <w:t>FT-ACC-012</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BR-PLN-001</w:t>
            </w:r>
          </w:p>
        </w:tc>
        <w:tc>
          <w:tcPr>
            <w:tcW w:type="dxa" w:w="2498"/>
            <w:vAlign w:val="center"/>
            <w:shd w:fill="FFFFFF"/>
          </w:tcPr>
          <w:p>
            <w:pPr>
              <w:spacing w:after="20" w:before="20" w:line="247" w:lineRule="auto"/>
            </w:pPr>
            <w:r>
              <w:rPr>
                <w:b w:val="0"/>
                <w:i w:val="0"/>
                <w:sz w:val="20"/>
              </w:rPr>
              <w:t>FR-PLN-001</w:t>
            </w:r>
          </w:p>
        </w:tc>
        <w:tc>
          <w:tcPr>
            <w:tcW w:type="dxa" w:w="2798"/>
            <w:vAlign w:val="center"/>
            <w:shd w:fill="FFFFFF"/>
          </w:tcPr>
          <w:p>
            <w:pPr>
              <w:spacing w:after="20" w:before="20" w:line="247" w:lineRule="auto"/>
            </w:pPr>
            <w:r>
              <w:rPr>
                <w:b w:val="0"/>
                <w:i w:val="0"/>
                <w:sz w:val="20"/>
              </w:rPr>
              <w:t>FT-PLN-001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BR-PLN-002</w:t>
            </w:r>
          </w:p>
        </w:tc>
        <w:tc>
          <w:tcPr>
            <w:tcW w:type="dxa" w:w="2498"/>
            <w:vAlign w:val="center"/>
            <w:shd w:fill="F4F6F8"/>
          </w:tcPr>
          <w:p>
            <w:pPr>
              <w:spacing w:after="20" w:before="20" w:line="247" w:lineRule="auto"/>
            </w:pPr>
            <w:r>
              <w:rPr>
                <w:b w:val="0"/>
                <w:i w:val="0"/>
                <w:sz w:val="20"/>
              </w:rPr>
              <w:t>FR-PLN-002</w:t>
            </w:r>
          </w:p>
        </w:tc>
        <w:tc>
          <w:tcPr>
            <w:tcW w:type="dxa" w:w="2798"/>
            <w:vAlign w:val="center"/>
            <w:shd w:fill="F4F6F8"/>
          </w:tcPr>
          <w:p>
            <w:pPr>
              <w:spacing w:after="20" w:before="20" w:line="247" w:lineRule="auto"/>
            </w:pPr>
            <w:r>
              <w:rPr>
                <w:b w:val="0"/>
                <w:i w:val="0"/>
                <w:sz w:val="20"/>
              </w:rPr>
              <w:t>FT-PLN-002</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BR-PLN-003</w:t>
            </w:r>
          </w:p>
        </w:tc>
        <w:tc>
          <w:tcPr>
            <w:tcW w:type="dxa" w:w="2498"/>
            <w:vAlign w:val="center"/>
            <w:shd w:fill="FFFFFF"/>
          </w:tcPr>
          <w:p>
            <w:pPr>
              <w:spacing w:after="20" w:before="20" w:line="247" w:lineRule="auto"/>
            </w:pPr>
            <w:r>
              <w:rPr>
                <w:b w:val="0"/>
                <w:i w:val="0"/>
                <w:sz w:val="20"/>
              </w:rPr>
              <w:t>FR-PLN-003</w:t>
            </w:r>
          </w:p>
        </w:tc>
        <w:tc>
          <w:tcPr>
            <w:tcW w:type="dxa" w:w="2798"/>
            <w:vAlign w:val="center"/>
            <w:shd w:fill="FFFFFF"/>
          </w:tcPr>
          <w:p>
            <w:pPr>
              <w:spacing w:after="20" w:before="20" w:line="247" w:lineRule="auto"/>
            </w:pPr>
            <w:r>
              <w:rPr>
                <w:b w:val="0"/>
                <w:i w:val="0"/>
                <w:sz w:val="20"/>
              </w:rPr>
              <w:t>FT-PLN-003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BR-PLN-004</w:t>
            </w:r>
          </w:p>
        </w:tc>
        <w:tc>
          <w:tcPr>
            <w:tcW w:type="dxa" w:w="2498"/>
            <w:vAlign w:val="center"/>
            <w:shd w:fill="F4F6F8"/>
          </w:tcPr>
          <w:p>
            <w:pPr>
              <w:spacing w:after="20" w:before="20" w:line="247" w:lineRule="auto"/>
            </w:pPr>
            <w:r>
              <w:rPr>
                <w:b w:val="0"/>
                <w:i w:val="0"/>
                <w:sz w:val="20"/>
              </w:rPr>
              <w:t>FR-PLN-004</w:t>
            </w:r>
          </w:p>
        </w:tc>
        <w:tc>
          <w:tcPr>
            <w:tcW w:type="dxa" w:w="2798"/>
            <w:vAlign w:val="center"/>
            <w:shd w:fill="F4F6F8"/>
          </w:tcPr>
          <w:p>
            <w:pPr>
              <w:spacing w:after="20" w:before="20" w:line="247" w:lineRule="auto"/>
            </w:pPr>
            <w:r>
              <w:rPr>
                <w:b w:val="0"/>
                <w:i w:val="0"/>
                <w:sz w:val="20"/>
              </w:rPr>
              <w:t>FT-PLN-004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BR-PLN-005</w:t>
            </w:r>
          </w:p>
        </w:tc>
        <w:tc>
          <w:tcPr>
            <w:tcW w:type="dxa" w:w="2498"/>
            <w:vAlign w:val="center"/>
            <w:shd w:fill="FFFFFF"/>
          </w:tcPr>
          <w:p>
            <w:pPr>
              <w:spacing w:after="20" w:before="20" w:line="247" w:lineRule="auto"/>
            </w:pPr>
            <w:r>
              <w:rPr>
                <w:b w:val="0"/>
                <w:i w:val="0"/>
                <w:sz w:val="20"/>
              </w:rPr>
              <w:t>FR-PLN-005</w:t>
            </w:r>
          </w:p>
        </w:tc>
        <w:tc>
          <w:tcPr>
            <w:tcW w:type="dxa" w:w="2798"/>
            <w:vAlign w:val="center"/>
            <w:shd w:fill="FFFFFF"/>
          </w:tcPr>
          <w:p>
            <w:pPr>
              <w:spacing w:after="20" w:before="20" w:line="247" w:lineRule="auto"/>
            </w:pPr>
            <w:r>
              <w:rPr>
                <w:b w:val="0"/>
                <w:i w:val="0"/>
                <w:sz w:val="20"/>
              </w:rPr>
              <w:t>FT-PLN-005</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BR-PLN-006</w:t>
            </w:r>
          </w:p>
        </w:tc>
        <w:tc>
          <w:tcPr>
            <w:tcW w:type="dxa" w:w="2498"/>
            <w:vAlign w:val="center"/>
            <w:shd w:fill="F4F6F8"/>
          </w:tcPr>
          <w:p>
            <w:pPr>
              <w:spacing w:after="20" w:before="20" w:line="247" w:lineRule="auto"/>
            </w:pPr>
            <w:r>
              <w:rPr>
                <w:b w:val="0"/>
                <w:i w:val="0"/>
                <w:sz w:val="20"/>
              </w:rPr>
              <w:t>FR-PLN-006</w:t>
            </w:r>
          </w:p>
        </w:tc>
        <w:tc>
          <w:tcPr>
            <w:tcW w:type="dxa" w:w="2798"/>
            <w:vAlign w:val="center"/>
            <w:shd w:fill="F4F6F8"/>
          </w:tcPr>
          <w:p>
            <w:pPr>
              <w:spacing w:after="20" w:before="20" w:line="247" w:lineRule="auto"/>
            </w:pPr>
            <w:r>
              <w:rPr>
                <w:b w:val="0"/>
                <w:i w:val="0"/>
                <w:sz w:val="20"/>
              </w:rPr>
              <w:t>FT-PLN-006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BR-PLN-007</w:t>
            </w:r>
          </w:p>
        </w:tc>
        <w:tc>
          <w:tcPr>
            <w:tcW w:type="dxa" w:w="2498"/>
            <w:vAlign w:val="center"/>
            <w:shd w:fill="FFFFFF"/>
          </w:tcPr>
          <w:p>
            <w:pPr>
              <w:spacing w:after="20" w:before="20" w:line="247" w:lineRule="auto"/>
            </w:pPr>
            <w:r>
              <w:rPr>
                <w:b w:val="0"/>
                <w:i w:val="0"/>
                <w:sz w:val="20"/>
              </w:rPr>
              <w:t>FR-PLN-007</w:t>
            </w:r>
          </w:p>
        </w:tc>
        <w:tc>
          <w:tcPr>
            <w:tcW w:type="dxa" w:w="2798"/>
            <w:vAlign w:val="center"/>
            <w:shd w:fill="FFFFFF"/>
          </w:tcPr>
          <w:p>
            <w:pPr>
              <w:spacing w:after="20" w:before="20" w:line="247" w:lineRule="auto"/>
            </w:pPr>
            <w:r>
              <w:rPr>
                <w:b w:val="0"/>
                <w:i w:val="0"/>
                <w:sz w:val="20"/>
              </w:rPr>
              <w:t>FT-PLN-007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BR-PLN-008</w:t>
            </w:r>
          </w:p>
        </w:tc>
        <w:tc>
          <w:tcPr>
            <w:tcW w:type="dxa" w:w="2498"/>
            <w:vAlign w:val="center"/>
            <w:shd w:fill="F4F6F8"/>
          </w:tcPr>
          <w:p>
            <w:pPr>
              <w:spacing w:after="20" w:before="20" w:line="247" w:lineRule="auto"/>
            </w:pPr>
            <w:r>
              <w:rPr>
                <w:b w:val="0"/>
                <w:i w:val="0"/>
                <w:sz w:val="20"/>
              </w:rPr>
              <w:t>FR-PLN-008</w:t>
            </w:r>
          </w:p>
        </w:tc>
        <w:tc>
          <w:tcPr>
            <w:tcW w:type="dxa" w:w="2798"/>
            <w:vAlign w:val="center"/>
            <w:shd w:fill="F4F6F8"/>
          </w:tcPr>
          <w:p>
            <w:pPr>
              <w:spacing w:after="20" w:before="20" w:line="247" w:lineRule="auto"/>
            </w:pPr>
            <w:r>
              <w:rPr>
                <w:b w:val="0"/>
                <w:i w:val="0"/>
                <w:sz w:val="20"/>
              </w:rPr>
              <w:t>FT-PLN-008</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BR-PLN-009</w:t>
            </w:r>
          </w:p>
        </w:tc>
        <w:tc>
          <w:tcPr>
            <w:tcW w:type="dxa" w:w="2498"/>
            <w:vAlign w:val="center"/>
            <w:shd w:fill="FFFFFF"/>
          </w:tcPr>
          <w:p>
            <w:pPr>
              <w:spacing w:after="20" w:before="20" w:line="247" w:lineRule="auto"/>
            </w:pPr>
            <w:r>
              <w:rPr>
                <w:b w:val="0"/>
                <w:i w:val="0"/>
                <w:sz w:val="20"/>
              </w:rPr>
              <w:t>FR-PLN-009</w:t>
            </w:r>
          </w:p>
        </w:tc>
        <w:tc>
          <w:tcPr>
            <w:tcW w:type="dxa" w:w="2798"/>
            <w:vAlign w:val="center"/>
            <w:shd w:fill="FFFFFF"/>
          </w:tcPr>
          <w:p>
            <w:pPr>
              <w:spacing w:after="20" w:before="20" w:line="247" w:lineRule="auto"/>
            </w:pPr>
            <w:r>
              <w:rPr>
                <w:b w:val="0"/>
                <w:i w:val="0"/>
                <w:sz w:val="20"/>
              </w:rPr>
              <w:t>FT-PLN-009</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BR-PLN-010</w:t>
            </w:r>
          </w:p>
        </w:tc>
        <w:tc>
          <w:tcPr>
            <w:tcW w:type="dxa" w:w="2498"/>
            <w:vAlign w:val="center"/>
            <w:shd w:fill="F4F6F8"/>
          </w:tcPr>
          <w:p>
            <w:pPr>
              <w:spacing w:after="20" w:before="20" w:line="247" w:lineRule="auto"/>
            </w:pPr>
            <w:r>
              <w:rPr>
                <w:b w:val="0"/>
                <w:i w:val="0"/>
                <w:sz w:val="20"/>
              </w:rPr>
              <w:t>FR-PLN-010</w:t>
            </w:r>
          </w:p>
        </w:tc>
        <w:tc>
          <w:tcPr>
            <w:tcW w:type="dxa" w:w="2798"/>
            <w:vAlign w:val="center"/>
            <w:shd w:fill="F4F6F8"/>
          </w:tcPr>
          <w:p>
            <w:pPr>
              <w:spacing w:after="20" w:before="20" w:line="247" w:lineRule="auto"/>
            </w:pPr>
            <w:r>
              <w:rPr>
                <w:b w:val="0"/>
                <w:i w:val="0"/>
                <w:sz w:val="20"/>
              </w:rPr>
              <w:t>FT-PLN-010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BR-PRG-001</w:t>
            </w:r>
          </w:p>
        </w:tc>
        <w:tc>
          <w:tcPr>
            <w:tcW w:type="dxa" w:w="2498"/>
            <w:vAlign w:val="center"/>
            <w:shd w:fill="FFFFFF"/>
          </w:tcPr>
          <w:p>
            <w:pPr>
              <w:spacing w:after="20" w:before="20" w:line="247" w:lineRule="auto"/>
            </w:pPr>
            <w:r>
              <w:rPr>
                <w:b w:val="0"/>
                <w:i w:val="0"/>
                <w:sz w:val="20"/>
              </w:rPr>
              <w:t>FR-PRG-001</w:t>
            </w:r>
          </w:p>
        </w:tc>
        <w:tc>
          <w:tcPr>
            <w:tcW w:type="dxa" w:w="2798"/>
            <w:vAlign w:val="center"/>
            <w:shd w:fill="FFFFFF"/>
          </w:tcPr>
          <w:p>
            <w:pPr>
              <w:spacing w:after="20" w:before="20" w:line="247" w:lineRule="auto"/>
            </w:pPr>
            <w:r>
              <w:rPr>
                <w:b w:val="0"/>
                <w:i w:val="0"/>
                <w:sz w:val="20"/>
              </w:rPr>
              <w:t>FT-PRG-001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BR-PRG-002</w:t>
            </w:r>
          </w:p>
        </w:tc>
        <w:tc>
          <w:tcPr>
            <w:tcW w:type="dxa" w:w="2498"/>
            <w:vAlign w:val="center"/>
            <w:shd w:fill="F4F6F8"/>
          </w:tcPr>
          <w:p>
            <w:pPr>
              <w:spacing w:after="20" w:before="20" w:line="247" w:lineRule="auto"/>
            </w:pPr>
            <w:r>
              <w:rPr>
                <w:b w:val="0"/>
                <w:i w:val="0"/>
                <w:sz w:val="20"/>
              </w:rPr>
              <w:t>FR-PRG-002</w:t>
            </w:r>
          </w:p>
        </w:tc>
        <w:tc>
          <w:tcPr>
            <w:tcW w:type="dxa" w:w="2798"/>
            <w:vAlign w:val="center"/>
            <w:shd w:fill="F4F6F8"/>
          </w:tcPr>
          <w:p>
            <w:pPr>
              <w:spacing w:after="20" w:before="20" w:line="247" w:lineRule="auto"/>
            </w:pPr>
            <w:r>
              <w:rPr>
                <w:b w:val="0"/>
                <w:i w:val="0"/>
                <w:sz w:val="20"/>
              </w:rPr>
              <w:t>FT-PRG-002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BR-PRG-003</w:t>
            </w:r>
          </w:p>
        </w:tc>
        <w:tc>
          <w:tcPr>
            <w:tcW w:type="dxa" w:w="2498"/>
            <w:vAlign w:val="center"/>
            <w:shd w:fill="FFFFFF"/>
          </w:tcPr>
          <w:p>
            <w:pPr>
              <w:spacing w:after="20" w:before="20" w:line="247" w:lineRule="auto"/>
            </w:pPr>
            <w:r>
              <w:rPr>
                <w:b w:val="0"/>
                <w:i w:val="0"/>
                <w:sz w:val="20"/>
              </w:rPr>
              <w:t>FR-PRG-003</w:t>
            </w:r>
          </w:p>
        </w:tc>
        <w:tc>
          <w:tcPr>
            <w:tcW w:type="dxa" w:w="2798"/>
            <w:vAlign w:val="center"/>
            <w:shd w:fill="FFFFFF"/>
          </w:tcPr>
          <w:p>
            <w:pPr>
              <w:spacing w:after="20" w:before="20" w:line="247" w:lineRule="auto"/>
            </w:pPr>
            <w:r>
              <w:rPr>
                <w:b w:val="0"/>
                <w:i w:val="0"/>
                <w:sz w:val="20"/>
              </w:rPr>
              <w:t>FT-PRG-003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BR-PRG-004</w:t>
            </w:r>
          </w:p>
        </w:tc>
        <w:tc>
          <w:tcPr>
            <w:tcW w:type="dxa" w:w="2498"/>
            <w:vAlign w:val="center"/>
            <w:shd w:fill="F4F6F8"/>
          </w:tcPr>
          <w:p>
            <w:pPr>
              <w:spacing w:after="20" w:before="20" w:line="247" w:lineRule="auto"/>
            </w:pPr>
            <w:r>
              <w:rPr>
                <w:b w:val="0"/>
                <w:i w:val="0"/>
                <w:sz w:val="20"/>
              </w:rPr>
              <w:t>FR-PRG-004</w:t>
            </w:r>
          </w:p>
        </w:tc>
        <w:tc>
          <w:tcPr>
            <w:tcW w:type="dxa" w:w="2798"/>
            <w:vAlign w:val="center"/>
            <w:shd w:fill="F4F6F8"/>
          </w:tcPr>
          <w:p>
            <w:pPr>
              <w:spacing w:after="20" w:before="20" w:line="247" w:lineRule="auto"/>
            </w:pPr>
            <w:r>
              <w:rPr>
                <w:b w:val="0"/>
                <w:i w:val="0"/>
                <w:sz w:val="20"/>
              </w:rPr>
              <w:t>FT-PRG-004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BR-PRG-005</w:t>
            </w:r>
          </w:p>
        </w:tc>
        <w:tc>
          <w:tcPr>
            <w:tcW w:type="dxa" w:w="2498"/>
            <w:vAlign w:val="center"/>
            <w:shd w:fill="FFFFFF"/>
          </w:tcPr>
          <w:p>
            <w:pPr>
              <w:spacing w:after="20" w:before="20" w:line="247" w:lineRule="auto"/>
            </w:pPr>
            <w:r>
              <w:rPr>
                <w:b w:val="0"/>
                <w:i w:val="0"/>
                <w:sz w:val="20"/>
              </w:rPr>
              <w:t>FR-PRG-005</w:t>
            </w:r>
          </w:p>
        </w:tc>
        <w:tc>
          <w:tcPr>
            <w:tcW w:type="dxa" w:w="2798"/>
            <w:vAlign w:val="center"/>
            <w:shd w:fill="FFFFFF"/>
          </w:tcPr>
          <w:p>
            <w:pPr>
              <w:spacing w:after="20" w:before="20" w:line="247" w:lineRule="auto"/>
            </w:pPr>
            <w:r>
              <w:rPr>
                <w:b w:val="0"/>
                <w:i w:val="0"/>
                <w:sz w:val="20"/>
              </w:rPr>
              <w:t>FT-PRG-005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BR-PRG-006</w:t>
            </w:r>
          </w:p>
        </w:tc>
        <w:tc>
          <w:tcPr>
            <w:tcW w:type="dxa" w:w="2498"/>
            <w:vAlign w:val="center"/>
            <w:shd w:fill="F4F6F8"/>
          </w:tcPr>
          <w:p>
            <w:pPr>
              <w:spacing w:after="20" w:before="20" w:line="247" w:lineRule="auto"/>
            </w:pPr>
            <w:r>
              <w:rPr>
                <w:b w:val="0"/>
                <w:i w:val="0"/>
                <w:sz w:val="20"/>
              </w:rPr>
              <w:t>FR-PRG-006</w:t>
            </w:r>
          </w:p>
        </w:tc>
        <w:tc>
          <w:tcPr>
            <w:tcW w:type="dxa" w:w="2798"/>
            <w:vAlign w:val="center"/>
            <w:shd w:fill="F4F6F8"/>
          </w:tcPr>
          <w:p>
            <w:pPr>
              <w:spacing w:after="20" w:before="20" w:line="247" w:lineRule="auto"/>
            </w:pPr>
            <w:r>
              <w:rPr>
                <w:b w:val="0"/>
                <w:i w:val="0"/>
                <w:sz w:val="20"/>
              </w:rPr>
              <w:t>FT-PRG-006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BR-PRG-007</w:t>
            </w:r>
          </w:p>
        </w:tc>
        <w:tc>
          <w:tcPr>
            <w:tcW w:type="dxa" w:w="2498"/>
            <w:vAlign w:val="center"/>
            <w:shd w:fill="FFFFFF"/>
          </w:tcPr>
          <w:p>
            <w:pPr>
              <w:spacing w:after="20" w:before="20" w:line="247" w:lineRule="auto"/>
            </w:pPr>
            <w:r>
              <w:rPr>
                <w:b w:val="0"/>
                <w:i w:val="0"/>
                <w:sz w:val="20"/>
              </w:rPr>
              <w:t>FR-PRG-007</w:t>
            </w:r>
          </w:p>
        </w:tc>
        <w:tc>
          <w:tcPr>
            <w:tcW w:type="dxa" w:w="2798"/>
            <w:vAlign w:val="center"/>
            <w:shd w:fill="FFFFFF"/>
          </w:tcPr>
          <w:p>
            <w:pPr>
              <w:spacing w:after="20" w:before="20" w:line="247" w:lineRule="auto"/>
            </w:pPr>
            <w:r>
              <w:rPr>
                <w:b w:val="0"/>
                <w:i w:val="0"/>
                <w:sz w:val="20"/>
              </w:rPr>
              <w:t>FT-PRG-007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BR-PRG-008</w:t>
            </w:r>
          </w:p>
        </w:tc>
        <w:tc>
          <w:tcPr>
            <w:tcW w:type="dxa" w:w="2498"/>
            <w:vAlign w:val="center"/>
            <w:shd w:fill="F4F6F8"/>
          </w:tcPr>
          <w:p>
            <w:pPr>
              <w:spacing w:after="20" w:before="20" w:line="247" w:lineRule="auto"/>
            </w:pPr>
            <w:r>
              <w:rPr>
                <w:b w:val="0"/>
                <w:i w:val="0"/>
                <w:sz w:val="20"/>
              </w:rPr>
              <w:t>FR-PRG-008</w:t>
            </w:r>
          </w:p>
        </w:tc>
        <w:tc>
          <w:tcPr>
            <w:tcW w:type="dxa" w:w="2798"/>
            <w:vAlign w:val="center"/>
            <w:shd w:fill="F4F6F8"/>
          </w:tcPr>
          <w:p>
            <w:pPr>
              <w:spacing w:after="20" w:before="20" w:line="247" w:lineRule="auto"/>
            </w:pPr>
            <w:r>
              <w:rPr>
                <w:b w:val="0"/>
                <w:i w:val="0"/>
                <w:sz w:val="20"/>
              </w:rPr>
              <w:t>FT-PRG-008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BR-PRG-009</w:t>
            </w:r>
          </w:p>
        </w:tc>
        <w:tc>
          <w:tcPr>
            <w:tcW w:type="dxa" w:w="2498"/>
            <w:vAlign w:val="center"/>
            <w:shd w:fill="FFFFFF"/>
          </w:tcPr>
          <w:p>
            <w:pPr>
              <w:spacing w:after="20" w:before="20" w:line="247" w:lineRule="auto"/>
            </w:pPr>
            <w:r>
              <w:rPr>
                <w:b w:val="0"/>
                <w:i w:val="0"/>
                <w:sz w:val="20"/>
              </w:rPr>
              <w:t>FR-PRG-009</w:t>
            </w:r>
          </w:p>
        </w:tc>
        <w:tc>
          <w:tcPr>
            <w:tcW w:type="dxa" w:w="2798"/>
            <w:vAlign w:val="center"/>
            <w:shd w:fill="FFFFFF"/>
          </w:tcPr>
          <w:p>
            <w:pPr>
              <w:spacing w:after="20" w:before="20" w:line="247" w:lineRule="auto"/>
            </w:pPr>
            <w:r>
              <w:rPr>
                <w:b w:val="0"/>
                <w:i w:val="0"/>
                <w:sz w:val="20"/>
              </w:rPr>
              <w:t>FT-PRG-009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BR-PRG-010</w:t>
            </w:r>
          </w:p>
        </w:tc>
        <w:tc>
          <w:tcPr>
            <w:tcW w:type="dxa" w:w="2498"/>
            <w:vAlign w:val="center"/>
            <w:shd w:fill="F4F6F8"/>
          </w:tcPr>
          <w:p>
            <w:pPr>
              <w:spacing w:after="20" w:before="20" w:line="247" w:lineRule="auto"/>
            </w:pPr>
            <w:r>
              <w:rPr>
                <w:b w:val="0"/>
                <w:i w:val="0"/>
                <w:sz w:val="20"/>
              </w:rPr>
              <w:t>FR-PRG-010</w:t>
            </w:r>
          </w:p>
        </w:tc>
        <w:tc>
          <w:tcPr>
            <w:tcW w:type="dxa" w:w="2798"/>
            <w:vAlign w:val="center"/>
            <w:shd w:fill="F4F6F8"/>
          </w:tcPr>
          <w:p>
            <w:pPr>
              <w:spacing w:after="20" w:before="20" w:line="247" w:lineRule="auto"/>
            </w:pPr>
            <w:r>
              <w:rPr>
                <w:b w:val="0"/>
                <w:i w:val="0"/>
                <w:sz w:val="20"/>
              </w:rPr>
              <w:t>FT-PRG-010</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BR-IND-001</w:t>
            </w:r>
          </w:p>
        </w:tc>
        <w:tc>
          <w:tcPr>
            <w:tcW w:type="dxa" w:w="2498"/>
            <w:vAlign w:val="center"/>
            <w:shd w:fill="FFFFFF"/>
          </w:tcPr>
          <w:p>
            <w:pPr>
              <w:spacing w:after="20" w:before="20" w:line="247" w:lineRule="auto"/>
            </w:pPr>
            <w:r>
              <w:rPr>
                <w:b w:val="0"/>
                <w:i w:val="0"/>
                <w:sz w:val="20"/>
              </w:rPr>
              <w:t>FR-IND-001</w:t>
            </w:r>
          </w:p>
        </w:tc>
        <w:tc>
          <w:tcPr>
            <w:tcW w:type="dxa" w:w="2798"/>
            <w:vAlign w:val="center"/>
            <w:shd w:fill="FFFFFF"/>
          </w:tcPr>
          <w:p>
            <w:pPr>
              <w:spacing w:after="20" w:before="20" w:line="247" w:lineRule="auto"/>
            </w:pPr>
            <w:r>
              <w:rPr>
                <w:b w:val="0"/>
                <w:i w:val="0"/>
                <w:sz w:val="20"/>
              </w:rPr>
              <w:t>FT-IND-001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BR-IND-002</w:t>
            </w:r>
          </w:p>
        </w:tc>
        <w:tc>
          <w:tcPr>
            <w:tcW w:type="dxa" w:w="2498"/>
            <w:vAlign w:val="center"/>
            <w:shd w:fill="F4F6F8"/>
          </w:tcPr>
          <w:p>
            <w:pPr>
              <w:spacing w:after="20" w:before="20" w:line="247" w:lineRule="auto"/>
            </w:pPr>
            <w:r>
              <w:rPr>
                <w:b w:val="0"/>
                <w:i w:val="0"/>
                <w:sz w:val="20"/>
              </w:rPr>
              <w:t>FR-IND-002</w:t>
            </w:r>
          </w:p>
        </w:tc>
        <w:tc>
          <w:tcPr>
            <w:tcW w:type="dxa" w:w="2798"/>
            <w:vAlign w:val="center"/>
            <w:shd w:fill="F4F6F8"/>
          </w:tcPr>
          <w:p>
            <w:pPr>
              <w:spacing w:after="20" w:before="20" w:line="247" w:lineRule="auto"/>
            </w:pPr>
            <w:r>
              <w:rPr>
                <w:b w:val="0"/>
                <w:i w:val="0"/>
                <w:sz w:val="20"/>
              </w:rPr>
              <w:t>FT-IND-002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BR-IND-003</w:t>
            </w:r>
          </w:p>
        </w:tc>
        <w:tc>
          <w:tcPr>
            <w:tcW w:type="dxa" w:w="2498"/>
            <w:vAlign w:val="center"/>
            <w:shd w:fill="FFFFFF"/>
          </w:tcPr>
          <w:p>
            <w:pPr>
              <w:spacing w:after="20" w:before="20" w:line="247" w:lineRule="auto"/>
            </w:pPr>
            <w:r>
              <w:rPr>
                <w:b w:val="0"/>
                <w:i w:val="0"/>
                <w:sz w:val="20"/>
              </w:rPr>
              <w:t>FR-IND-003</w:t>
            </w:r>
          </w:p>
        </w:tc>
        <w:tc>
          <w:tcPr>
            <w:tcW w:type="dxa" w:w="2798"/>
            <w:vAlign w:val="center"/>
            <w:shd w:fill="FFFFFF"/>
          </w:tcPr>
          <w:p>
            <w:pPr>
              <w:spacing w:after="20" w:before="20" w:line="247" w:lineRule="auto"/>
            </w:pPr>
            <w:r>
              <w:rPr>
                <w:b w:val="0"/>
                <w:i w:val="0"/>
                <w:sz w:val="20"/>
              </w:rPr>
              <w:t>FT-IND-003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BR-IND-004</w:t>
            </w:r>
          </w:p>
        </w:tc>
        <w:tc>
          <w:tcPr>
            <w:tcW w:type="dxa" w:w="2498"/>
            <w:vAlign w:val="center"/>
            <w:shd w:fill="F4F6F8"/>
          </w:tcPr>
          <w:p>
            <w:pPr>
              <w:spacing w:after="20" w:before="20" w:line="247" w:lineRule="auto"/>
            </w:pPr>
            <w:r>
              <w:rPr>
                <w:b w:val="0"/>
                <w:i w:val="0"/>
                <w:sz w:val="20"/>
              </w:rPr>
              <w:t>FR-IND-004</w:t>
            </w:r>
          </w:p>
        </w:tc>
        <w:tc>
          <w:tcPr>
            <w:tcW w:type="dxa" w:w="2798"/>
            <w:vAlign w:val="center"/>
            <w:shd w:fill="F4F6F8"/>
          </w:tcPr>
          <w:p>
            <w:pPr>
              <w:spacing w:after="20" w:before="20" w:line="247" w:lineRule="auto"/>
            </w:pPr>
            <w:r>
              <w:rPr>
                <w:b w:val="0"/>
                <w:i w:val="0"/>
                <w:sz w:val="20"/>
              </w:rPr>
              <w:t>FT-IND-004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BR-IND-005</w:t>
            </w:r>
          </w:p>
        </w:tc>
        <w:tc>
          <w:tcPr>
            <w:tcW w:type="dxa" w:w="2498"/>
            <w:vAlign w:val="center"/>
            <w:shd w:fill="FFFFFF"/>
          </w:tcPr>
          <w:p>
            <w:pPr>
              <w:spacing w:after="20" w:before="20" w:line="247" w:lineRule="auto"/>
            </w:pPr>
            <w:r>
              <w:rPr>
                <w:b w:val="0"/>
                <w:i w:val="0"/>
                <w:sz w:val="20"/>
              </w:rPr>
              <w:t>FR-IND-005</w:t>
            </w:r>
          </w:p>
        </w:tc>
        <w:tc>
          <w:tcPr>
            <w:tcW w:type="dxa" w:w="2798"/>
            <w:vAlign w:val="center"/>
            <w:shd w:fill="FFFFFF"/>
          </w:tcPr>
          <w:p>
            <w:pPr>
              <w:spacing w:after="20" w:before="20" w:line="247" w:lineRule="auto"/>
            </w:pPr>
            <w:r>
              <w:rPr>
                <w:b w:val="0"/>
                <w:i w:val="0"/>
                <w:sz w:val="20"/>
              </w:rPr>
              <w:t>FT-IND-005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BR-IND-006</w:t>
            </w:r>
          </w:p>
        </w:tc>
        <w:tc>
          <w:tcPr>
            <w:tcW w:type="dxa" w:w="2498"/>
            <w:vAlign w:val="center"/>
            <w:shd w:fill="F4F6F8"/>
          </w:tcPr>
          <w:p>
            <w:pPr>
              <w:spacing w:after="20" w:before="20" w:line="247" w:lineRule="auto"/>
            </w:pPr>
            <w:r>
              <w:rPr>
                <w:b w:val="0"/>
                <w:i w:val="0"/>
                <w:sz w:val="20"/>
              </w:rPr>
              <w:t>FR-IND-006</w:t>
            </w:r>
          </w:p>
        </w:tc>
        <w:tc>
          <w:tcPr>
            <w:tcW w:type="dxa" w:w="2798"/>
            <w:vAlign w:val="center"/>
            <w:shd w:fill="F4F6F8"/>
          </w:tcPr>
          <w:p>
            <w:pPr>
              <w:spacing w:after="20" w:before="20" w:line="247" w:lineRule="auto"/>
            </w:pPr>
            <w:r>
              <w:rPr>
                <w:b w:val="0"/>
                <w:i w:val="0"/>
                <w:sz w:val="20"/>
              </w:rPr>
              <w:t>FT-IND-006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BR-IND-007</w:t>
            </w:r>
          </w:p>
        </w:tc>
        <w:tc>
          <w:tcPr>
            <w:tcW w:type="dxa" w:w="2498"/>
            <w:vAlign w:val="center"/>
            <w:shd w:fill="FFFFFF"/>
          </w:tcPr>
          <w:p>
            <w:pPr>
              <w:spacing w:after="20" w:before="20" w:line="247" w:lineRule="auto"/>
            </w:pPr>
            <w:r>
              <w:rPr>
                <w:b w:val="0"/>
                <w:i w:val="0"/>
                <w:sz w:val="20"/>
              </w:rPr>
              <w:t>FR-IND-007</w:t>
            </w:r>
          </w:p>
        </w:tc>
        <w:tc>
          <w:tcPr>
            <w:tcW w:type="dxa" w:w="2798"/>
            <w:vAlign w:val="center"/>
            <w:shd w:fill="FFFFFF"/>
          </w:tcPr>
          <w:p>
            <w:pPr>
              <w:spacing w:after="20" w:before="20" w:line="247" w:lineRule="auto"/>
            </w:pPr>
            <w:r>
              <w:rPr>
                <w:b w:val="0"/>
                <w:i w:val="0"/>
                <w:sz w:val="20"/>
              </w:rPr>
              <w:t>FT-IND-007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BR-IND-008</w:t>
            </w:r>
          </w:p>
        </w:tc>
        <w:tc>
          <w:tcPr>
            <w:tcW w:type="dxa" w:w="2498"/>
            <w:vAlign w:val="center"/>
            <w:shd w:fill="F4F6F8"/>
          </w:tcPr>
          <w:p>
            <w:pPr>
              <w:spacing w:after="20" w:before="20" w:line="247" w:lineRule="auto"/>
            </w:pPr>
            <w:r>
              <w:rPr>
                <w:b w:val="0"/>
                <w:i w:val="0"/>
                <w:sz w:val="20"/>
              </w:rPr>
              <w:t>FR-IND-008</w:t>
            </w:r>
          </w:p>
        </w:tc>
        <w:tc>
          <w:tcPr>
            <w:tcW w:type="dxa" w:w="2798"/>
            <w:vAlign w:val="center"/>
            <w:shd w:fill="F4F6F8"/>
          </w:tcPr>
          <w:p>
            <w:pPr>
              <w:spacing w:after="20" w:before="20" w:line="247" w:lineRule="auto"/>
            </w:pPr>
            <w:r>
              <w:rPr>
                <w:b w:val="0"/>
                <w:i w:val="0"/>
                <w:sz w:val="20"/>
              </w:rPr>
              <w:t>FT-IND-008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BR-IND-009</w:t>
            </w:r>
          </w:p>
        </w:tc>
        <w:tc>
          <w:tcPr>
            <w:tcW w:type="dxa" w:w="2498"/>
            <w:vAlign w:val="center"/>
            <w:shd w:fill="FFFFFF"/>
          </w:tcPr>
          <w:p>
            <w:pPr>
              <w:spacing w:after="20" w:before="20" w:line="247" w:lineRule="auto"/>
            </w:pPr>
            <w:r>
              <w:rPr>
                <w:b w:val="0"/>
                <w:i w:val="0"/>
                <w:sz w:val="20"/>
              </w:rPr>
              <w:t>FR-IND-009</w:t>
            </w:r>
          </w:p>
        </w:tc>
        <w:tc>
          <w:tcPr>
            <w:tcW w:type="dxa" w:w="2798"/>
            <w:vAlign w:val="center"/>
            <w:shd w:fill="FFFFFF"/>
          </w:tcPr>
          <w:p>
            <w:pPr>
              <w:spacing w:after="20" w:before="20" w:line="247" w:lineRule="auto"/>
            </w:pPr>
            <w:r>
              <w:rPr>
                <w:b w:val="0"/>
                <w:i w:val="0"/>
                <w:sz w:val="20"/>
              </w:rPr>
              <w:t>FT-IND-009</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BR-IND-010</w:t>
            </w:r>
          </w:p>
        </w:tc>
        <w:tc>
          <w:tcPr>
            <w:tcW w:type="dxa" w:w="2498"/>
            <w:vAlign w:val="center"/>
            <w:shd w:fill="F4F6F8"/>
          </w:tcPr>
          <w:p>
            <w:pPr>
              <w:spacing w:after="20" w:before="20" w:line="247" w:lineRule="auto"/>
            </w:pPr>
            <w:r>
              <w:rPr>
                <w:b w:val="0"/>
                <w:i w:val="0"/>
                <w:sz w:val="20"/>
              </w:rPr>
              <w:t>FR-IND-010</w:t>
            </w:r>
          </w:p>
        </w:tc>
        <w:tc>
          <w:tcPr>
            <w:tcW w:type="dxa" w:w="2798"/>
            <w:vAlign w:val="center"/>
            <w:shd w:fill="F4F6F8"/>
          </w:tcPr>
          <w:p>
            <w:pPr>
              <w:spacing w:after="20" w:before="20" w:line="247" w:lineRule="auto"/>
            </w:pPr>
            <w:r>
              <w:rPr>
                <w:b w:val="0"/>
                <w:i w:val="0"/>
                <w:sz w:val="20"/>
              </w:rPr>
              <w:t>FT-IND-010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BR-IND-011</w:t>
            </w:r>
          </w:p>
        </w:tc>
        <w:tc>
          <w:tcPr>
            <w:tcW w:type="dxa" w:w="2498"/>
            <w:vAlign w:val="center"/>
            <w:shd w:fill="FFFFFF"/>
          </w:tcPr>
          <w:p>
            <w:pPr>
              <w:spacing w:after="20" w:before="20" w:line="247" w:lineRule="auto"/>
            </w:pPr>
            <w:r>
              <w:rPr>
                <w:b w:val="0"/>
                <w:i w:val="0"/>
                <w:sz w:val="20"/>
              </w:rPr>
              <w:t>FR-IND-011</w:t>
            </w:r>
          </w:p>
        </w:tc>
        <w:tc>
          <w:tcPr>
            <w:tcW w:type="dxa" w:w="2798"/>
            <w:vAlign w:val="center"/>
            <w:shd w:fill="FFFFFF"/>
          </w:tcPr>
          <w:p>
            <w:pPr>
              <w:spacing w:after="20" w:before="20" w:line="247" w:lineRule="auto"/>
            </w:pPr>
            <w:r>
              <w:rPr>
                <w:b w:val="0"/>
                <w:i w:val="0"/>
                <w:sz w:val="20"/>
              </w:rPr>
              <w:t>FT-IND-011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BR-IND-012</w:t>
            </w:r>
          </w:p>
        </w:tc>
        <w:tc>
          <w:tcPr>
            <w:tcW w:type="dxa" w:w="2498"/>
            <w:vAlign w:val="center"/>
            <w:shd w:fill="F4F6F8"/>
          </w:tcPr>
          <w:p>
            <w:pPr>
              <w:spacing w:after="20" w:before="20" w:line="247" w:lineRule="auto"/>
            </w:pPr>
            <w:r>
              <w:rPr>
                <w:b w:val="0"/>
                <w:i w:val="0"/>
                <w:sz w:val="20"/>
              </w:rPr>
              <w:t>FR-IND-012</w:t>
            </w:r>
          </w:p>
        </w:tc>
        <w:tc>
          <w:tcPr>
            <w:tcW w:type="dxa" w:w="2798"/>
            <w:vAlign w:val="center"/>
            <w:shd w:fill="F4F6F8"/>
          </w:tcPr>
          <w:p>
            <w:pPr>
              <w:spacing w:after="20" w:before="20" w:line="247" w:lineRule="auto"/>
            </w:pPr>
            <w:r>
              <w:rPr>
                <w:b w:val="0"/>
                <w:i w:val="0"/>
                <w:sz w:val="20"/>
              </w:rPr>
              <w:t>FT-IND-012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BR-IND-013</w:t>
            </w:r>
          </w:p>
        </w:tc>
        <w:tc>
          <w:tcPr>
            <w:tcW w:type="dxa" w:w="2498"/>
            <w:vAlign w:val="center"/>
            <w:shd w:fill="FFFFFF"/>
          </w:tcPr>
          <w:p>
            <w:pPr>
              <w:spacing w:after="20" w:before="20" w:line="247" w:lineRule="auto"/>
            </w:pPr>
            <w:r>
              <w:rPr>
                <w:b w:val="0"/>
                <w:i w:val="0"/>
                <w:sz w:val="20"/>
              </w:rPr>
              <w:t>FR-IND-013</w:t>
            </w:r>
          </w:p>
        </w:tc>
        <w:tc>
          <w:tcPr>
            <w:tcW w:type="dxa" w:w="2798"/>
            <w:vAlign w:val="center"/>
            <w:shd w:fill="FFFFFF"/>
          </w:tcPr>
          <w:p>
            <w:pPr>
              <w:spacing w:after="20" w:before="20" w:line="247" w:lineRule="auto"/>
            </w:pPr>
            <w:r>
              <w:rPr>
                <w:b w:val="0"/>
                <w:i w:val="0"/>
                <w:sz w:val="20"/>
              </w:rPr>
              <w:t>FT-IND-013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BR-IND-014</w:t>
            </w:r>
          </w:p>
        </w:tc>
        <w:tc>
          <w:tcPr>
            <w:tcW w:type="dxa" w:w="2498"/>
            <w:vAlign w:val="center"/>
            <w:shd w:fill="F4F6F8"/>
          </w:tcPr>
          <w:p>
            <w:pPr>
              <w:spacing w:after="20" w:before="20" w:line="247" w:lineRule="auto"/>
            </w:pPr>
            <w:r>
              <w:rPr>
                <w:b w:val="0"/>
                <w:i w:val="0"/>
                <w:sz w:val="20"/>
              </w:rPr>
              <w:t>FR-IND-014</w:t>
            </w:r>
          </w:p>
        </w:tc>
        <w:tc>
          <w:tcPr>
            <w:tcW w:type="dxa" w:w="2798"/>
            <w:vAlign w:val="center"/>
            <w:shd w:fill="F4F6F8"/>
          </w:tcPr>
          <w:p>
            <w:pPr>
              <w:spacing w:after="20" w:before="20" w:line="247" w:lineRule="auto"/>
            </w:pPr>
            <w:r>
              <w:rPr>
                <w:b w:val="0"/>
                <w:i w:val="0"/>
                <w:sz w:val="20"/>
              </w:rPr>
              <w:t>FT-IND-014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BR-IND-015</w:t>
            </w:r>
          </w:p>
        </w:tc>
        <w:tc>
          <w:tcPr>
            <w:tcW w:type="dxa" w:w="2498"/>
            <w:vAlign w:val="center"/>
            <w:shd w:fill="FFFFFF"/>
          </w:tcPr>
          <w:p>
            <w:pPr>
              <w:spacing w:after="20" w:before="20" w:line="247" w:lineRule="auto"/>
            </w:pPr>
            <w:r>
              <w:rPr>
                <w:b w:val="0"/>
                <w:i w:val="0"/>
                <w:sz w:val="20"/>
              </w:rPr>
              <w:t>FR-IND-015</w:t>
            </w:r>
          </w:p>
        </w:tc>
        <w:tc>
          <w:tcPr>
            <w:tcW w:type="dxa" w:w="2798"/>
            <w:vAlign w:val="center"/>
            <w:shd w:fill="FFFFFF"/>
          </w:tcPr>
          <w:p>
            <w:pPr>
              <w:spacing w:after="20" w:before="20" w:line="247" w:lineRule="auto"/>
            </w:pPr>
            <w:r>
              <w:rPr>
                <w:b w:val="0"/>
                <w:i w:val="0"/>
                <w:sz w:val="20"/>
              </w:rPr>
              <w:t>FT-IND-015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BR-CAL-001</w:t>
            </w:r>
          </w:p>
        </w:tc>
        <w:tc>
          <w:tcPr>
            <w:tcW w:type="dxa" w:w="2498"/>
            <w:vAlign w:val="center"/>
            <w:shd w:fill="F4F6F8"/>
          </w:tcPr>
          <w:p>
            <w:pPr>
              <w:spacing w:after="20" w:before="20" w:line="247" w:lineRule="auto"/>
            </w:pPr>
            <w:r>
              <w:rPr>
                <w:b w:val="0"/>
                <w:i w:val="0"/>
                <w:sz w:val="20"/>
              </w:rPr>
              <w:t>FR-CAL-001</w:t>
            </w:r>
          </w:p>
        </w:tc>
        <w:tc>
          <w:tcPr>
            <w:tcW w:type="dxa" w:w="2798"/>
            <w:vAlign w:val="center"/>
            <w:shd w:fill="F4F6F8"/>
          </w:tcPr>
          <w:p>
            <w:pPr>
              <w:spacing w:after="20" w:before="20" w:line="247" w:lineRule="auto"/>
            </w:pPr>
            <w:r>
              <w:rPr>
                <w:b w:val="0"/>
                <w:i w:val="0"/>
                <w:sz w:val="20"/>
              </w:rPr>
              <w:t>FT-CAL-001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BR-CAL-002</w:t>
            </w:r>
          </w:p>
        </w:tc>
        <w:tc>
          <w:tcPr>
            <w:tcW w:type="dxa" w:w="2498"/>
            <w:vAlign w:val="center"/>
            <w:shd w:fill="FFFFFF"/>
          </w:tcPr>
          <w:p>
            <w:pPr>
              <w:spacing w:after="20" w:before="20" w:line="247" w:lineRule="auto"/>
            </w:pPr>
            <w:r>
              <w:rPr>
                <w:b w:val="0"/>
                <w:i w:val="0"/>
                <w:sz w:val="20"/>
              </w:rPr>
              <w:t>FR-CAL-002</w:t>
            </w:r>
          </w:p>
        </w:tc>
        <w:tc>
          <w:tcPr>
            <w:tcW w:type="dxa" w:w="2798"/>
            <w:vAlign w:val="center"/>
            <w:shd w:fill="FFFFFF"/>
          </w:tcPr>
          <w:p>
            <w:pPr>
              <w:spacing w:after="20" w:before="20" w:line="247" w:lineRule="auto"/>
            </w:pPr>
            <w:r>
              <w:rPr>
                <w:b w:val="0"/>
                <w:i w:val="0"/>
                <w:sz w:val="20"/>
              </w:rPr>
              <w:t>FT-CAL-002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BR-CAL-003</w:t>
            </w:r>
          </w:p>
        </w:tc>
        <w:tc>
          <w:tcPr>
            <w:tcW w:type="dxa" w:w="2498"/>
            <w:vAlign w:val="center"/>
            <w:shd w:fill="F4F6F8"/>
          </w:tcPr>
          <w:p>
            <w:pPr>
              <w:spacing w:after="20" w:before="20" w:line="247" w:lineRule="auto"/>
            </w:pPr>
            <w:r>
              <w:rPr>
                <w:b w:val="0"/>
                <w:i w:val="0"/>
                <w:sz w:val="20"/>
              </w:rPr>
              <w:t>FR-CAL-003</w:t>
            </w:r>
          </w:p>
        </w:tc>
        <w:tc>
          <w:tcPr>
            <w:tcW w:type="dxa" w:w="2798"/>
            <w:vAlign w:val="center"/>
            <w:shd w:fill="F4F6F8"/>
          </w:tcPr>
          <w:p>
            <w:pPr>
              <w:spacing w:after="20" w:before="20" w:line="247" w:lineRule="auto"/>
            </w:pPr>
            <w:r>
              <w:rPr>
                <w:b w:val="0"/>
                <w:i w:val="0"/>
                <w:sz w:val="20"/>
              </w:rPr>
              <w:t>FT-CAL-003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BR-CAL-004</w:t>
            </w:r>
          </w:p>
        </w:tc>
        <w:tc>
          <w:tcPr>
            <w:tcW w:type="dxa" w:w="2498"/>
            <w:vAlign w:val="center"/>
            <w:shd w:fill="FFFFFF"/>
          </w:tcPr>
          <w:p>
            <w:pPr>
              <w:spacing w:after="20" w:before="20" w:line="247" w:lineRule="auto"/>
            </w:pPr>
            <w:r>
              <w:rPr>
                <w:b w:val="0"/>
                <w:i w:val="0"/>
                <w:sz w:val="20"/>
              </w:rPr>
              <w:t>FR-CAL-004</w:t>
            </w:r>
          </w:p>
        </w:tc>
        <w:tc>
          <w:tcPr>
            <w:tcW w:type="dxa" w:w="2798"/>
            <w:vAlign w:val="center"/>
            <w:shd w:fill="FFFFFF"/>
          </w:tcPr>
          <w:p>
            <w:pPr>
              <w:spacing w:after="20" w:before="20" w:line="247" w:lineRule="auto"/>
            </w:pPr>
            <w:r>
              <w:rPr>
                <w:b w:val="0"/>
                <w:i w:val="0"/>
                <w:sz w:val="20"/>
              </w:rPr>
              <w:t>FT-CAL-004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BR-CAL-005</w:t>
            </w:r>
          </w:p>
        </w:tc>
        <w:tc>
          <w:tcPr>
            <w:tcW w:type="dxa" w:w="2498"/>
            <w:vAlign w:val="center"/>
            <w:shd w:fill="F4F6F8"/>
          </w:tcPr>
          <w:p>
            <w:pPr>
              <w:spacing w:after="20" w:before="20" w:line="247" w:lineRule="auto"/>
            </w:pPr>
            <w:r>
              <w:rPr>
                <w:b w:val="0"/>
                <w:i w:val="0"/>
                <w:sz w:val="20"/>
              </w:rPr>
              <w:t>FR-CAL-005</w:t>
            </w:r>
          </w:p>
        </w:tc>
        <w:tc>
          <w:tcPr>
            <w:tcW w:type="dxa" w:w="2798"/>
            <w:vAlign w:val="center"/>
            <w:shd w:fill="F4F6F8"/>
          </w:tcPr>
          <w:p>
            <w:pPr>
              <w:spacing w:after="20" w:before="20" w:line="247" w:lineRule="auto"/>
            </w:pPr>
            <w:r>
              <w:rPr>
                <w:b w:val="0"/>
                <w:i w:val="0"/>
                <w:sz w:val="20"/>
              </w:rPr>
              <w:t>FT-CAL-005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BR-CAL-006</w:t>
            </w:r>
          </w:p>
        </w:tc>
        <w:tc>
          <w:tcPr>
            <w:tcW w:type="dxa" w:w="2498"/>
            <w:vAlign w:val="center"/>
            <w:shd w:fill="FFFFFF"/>
          </w:tcPr>
          <w:p>
            <w:pPr>
              <w:spacing w:after="20" w:before="20" w:line="247" w:lineRule="auto"/>
            </w:pPr>
            <w:r>
              <w:rPr>
                <w:b w:val="0"/>
                <w:i w:val="0"/>
                <w:sz w:val="20"/>
              </w:rPr>
              <w:t>FR-CAL-006</w:t>
            </w:r>
          </w:p>
        </w:tc>
        <w:tc>
          <w:tcPr>
            <w:tcW w:type="dxa" w:w="2798"/>
            <w:vAlign w:val="center"/>
            <w:shd w:fill="FFFFFF"/>
          </w:tcPr>
          <w:p>
            <w:pPr>
              <w:spacing w:after="20" w:before="20" w:line="247" w:lineRule="auto"/>
            </w:pPr>
            <w:r>
              <w:rPr>
                <w:b w:val="0"/>
                <w:i w:val="0"/>
                <w:sz w:val="20"/>
              </w:rPr>
              <w:t>FT-CAL-006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BR-CAL-007</w:t>
            </w:r>
          </w:p>
        </w:tc>
        <w:tc>
          <w:tcPr>
            <w:tcW w:type="dxa" w:w="2498"/>
            <w:vAlign w:val="center"/>
            <w:shd w:fill="F4F6F8"/>
          </w:tcPr>
          <w:p>
            <w:pPr>
              <w:spacing w:after="20" w:before="20" w:line="247" w:lineRule="auto"/>
            </w:pPr>
            <w:r>
              <w:rPr>
                <w:b w:val="0"/>
                <w:i w:val="0"/>
                <w:sz w:val="20"/>
              </w:rPr>
              <w:t>FR-CAL-007</w:t>
            </w:r>
          </w:p>
        </w:tc>
        <w:tc>
          <w:tcPr>
            <w:tcW w:type="dxa" w:w="2798"/>
            <w:vAlign w:val="center"/>
            <w:shd w:fill="F4F6F8"/>
          </w:tcPr>
          <w:p>
            <w:pPr>
              <w:spacing w:after="20" w:before="20" w:line="247" w:lineRule="auto"/>
            </w:pPr>
            <w:r>
              <w:rPr>
                <w:b w:val="0"/>
                <w:i w:val="0"/>
                <w:sz w:val="20"/>
              </w:rPr>
              <w:t>FT-CAL-007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BR-CAL-008</w:t>
            </w:r>
          </w:p>
        </w:tc>
        <w:tc>
          <w:tcPr>
            <w:tcW w:type="dxa" w:w="2498"/>
            <w:vAlign w:val="center"/>
            <w:shd w:fill="FFFFFF"/>
          </w:tcPr>
          <w:p>
            <w:pPr>
              <w:spacing w:after="20" w:before="20" w:line="247" w:lineRule="auto"/>
            </w:pPr>
            <w:r>
              <w:rPr>
                <w:b w:val="0"/>
                <w:i w:val="0"/>
                <w:sz w:val="20"/>
              </w:rPr>
              <w:t>FR-CAL-008</w:t>
            </w:r>
          </w:p>
        </w:tc>
        <w:tc>
          <w:tcPr>
            <w:tcW w:type="dxa" w:w="2798"/>
            <w:vAlign w:val="center"/>
            <w:shd w:fill="FFFFFF"/>
          </w:tcPr>
          <w:p>
            <w:pPr>
              <w:spacing w:after="20" w:before="20" w:line="247" w:lineRule="auto"/>
            </w:pPr>
            <w:r>
              <w:rPr>
                <w:b w:val="0"/>
                <w:i w:val="0"/>
                <w:sz w:val="20"/>
              </w:rPr>
              <w:t>FT-CAL-008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BR-CAL-009</w:t>
            </w:r>
          </w:p>
        </w:tc>
        <w:tc>
          <w:tcPr>
            <w:tcW w:type="dxa" w:w="2498"/>
            <w:vAlign w:val="center"/>
            <w:shd w:fill="F4F6F8"/>
          </w:tcPr>
          <w:p>
            <w:pPr>
              <w:spacing w:after="20" w:before="20" w:line="247" w:lineRule="auto"/>
            </w:pPr>
            <w:r>
              <w:rPr>
                <w:b w:val="0"/>
                <w:i w:val="0"/>
                <w:sz w:val="20"/>
              </w:rPr>
              <w:t>FR-CAL-009</w:t>
            </w:r>
          </w:p>
        </w:tc>
        <w:tc>
          <w:tcPr>
            <w:tcW w:type="dxa" w:w="2798"/>
            <w:vAlign w:val="center"/>
            <w:shd w:fill="F4F6F8"/>
          </w:tcPr>
          <w:p>
            <w:pPr>
              <w:spacing w:after="20" w:before="20" w:line="247" w:lineRule="auto"/>
            </w:pPr>
            <w:r>
              <w:rPr>
                <w:b w:val="0"/>
                <w:i w:val="0"/>
                <w:sz w:val="20"/>
              </w:rPr>
              <w:t>FT-CAL-009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BR-CAL-010</w:t>
            </w:r>
          </w:p>
        </w:tc>
        <w:tc>
          <w:tcPr>
            <w:tcW w:type="dxa" w:w="2498"/>
            <w:vAlign w:val="center"/>
            <w:shd w:fill="FFFFFF"/>
          </w:tcPr>
          <w:p>
            <w:pPr>
              <w:spacing w:after="20" w:before="20" w:line="247" w:lineRule="auto"/>
            </w:pPr>
            <w:r>
              <w:rPr>
                <w:b w:val="0"/>
                <w:i w:val="0"/>
                <w:sz w:val="20"/>
              </w:rPr>
              <w:t>FR-CAL-010</w:t>
            </w:r>
          </w:p>
        </w:tc>
        <w:tc>
          <w:tcPr>
            <w:tcW w:type="dxa" w:w="2798"/>
            <w:vAlign w:val="center"/>
            <w:shd w:fill="FFFFFF"/>
          </w:tcPr>
          <w:p>
            <w:pPr>
              <w:spacing w:after="20" w:before="20" w:line="247" w:lineRule="auto"/>
            </w:pPr>
            <w:r>
              <w:rPr>
                <w:b w:val="0"/>
                <w:i w:val="0"/>
                <w:sz w:val="20"/>
              </w:rPr>
              <w:t>FT-CAL-010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BR-CAL-011</w:t>
            </w:r>
          </w:p>
        </w:tc>
        <w:tc>
          <w:tcPr>
            <w:tcW w:type="dxa" w:w="2498"/>
            <w:vAlign w:val="center"/>
            <w:shd w:fill="F4F6F8"/>
          </w:tcPr>
          <w:p>
            <w:pPr>
              <w:spacing w:after="20" w:before="20" w:line="247" w:lineRule="auto"/>
            </w:pPr>
            <w:r>
              <w:rPr>
                <w:b w:val="0"/>
                <w:i w:val="0"/>
                <w:sz w:val="20"/>
              </w:rPr>
              <w:t>FR-CAL-011</w:t>
            </w:r>
          </w:p>
        </w:tc>
        <w:tc>
          <w:tcPr>
            <w:tcW w:type="dxa" w:w="2798"/>
            <w:vAlign w:val="center"/>
            <w:shd w:fill="F4F6F8"/>
          </w:tcPr>
          <w:p>
            <w:pPr>
              <w:spacing w:after="20" w:before="20" w:line="247" w:lineRule="auto"/>
            </w:pPr>
            <w:r>
              <w:rPr>
                <w:b w:val="0"/>
                <w:i w:val="0"/>
                <w:sz w:val="20"/>
              </w:rPr>
              <w:t>FT-CAL-011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BR-CAL-012</w:t>
            </w:r>
          </w:p>
        </w:tc>
        <w:tc>
          <w:tcPr>
            <w:tcW w:type="dxa" w:w="2498"/>
            <w:vAlign w:val="center"/>
            <w:shd w:fill="FFFFFF"/>
          </w:tcPr>
          <w:p>
            <w:pPr>
              <w:spacing w:after="20" w:before="20" w:line="247" w:lineRule="auto"/>
            </w:pPr>
            <w:r>
              <w:rPr>
                <w:b w:val="0"/>
                <w:i w:val="0"/>
                <w:sz w:val="20"/>
              </w:rPr>
              <w:t>FR-CAL-012</w:t>
            </w:r>
          </w:p>
        </w:tc>
        <w:tc>
          <w:tcPr>
            <w:tcW w:type="dxa" w:w="2798"/>
            <w:vAlign w:val="center"/>
            <w:shd w:fill="FFFFFF"/>
          </w:tcPr>
          <w:p>
            <w:pPr>
              <w:spacing w:after="20" w:before="20" w:line="247" w:lineRule="auto"/>
            </w:pPr>
            <w:r>
              <w:rPr>
                <w:b w:val="0"/>
                <w:i w:val="0"/>
                <w:sz w:val="20"/>
              </w:rPr>
              <w:t>FT-CAL-012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BR-CAL-013</w:t>
            </w:r>
          </w:p>
        </w:tc>
        <w:tc>
          <w:tcPr>
            <w:tcW w:type="dxa" w:w="2498"/>
            <w:vAlign w:val="center"/>
            <w:shd w:fill="F4F6F8"/>
          </w:tcPr>
          <w:p>
            <w:pPr>
              <w:spacing w:after="20" w:before="20" w:line="247" w:lineRule="auto"/>
            </w:pPr>
            <w:r>
              <w:rPr>
                <w:b w:val="0"/>
                <w:i w:val="0"/>
                <w:sz w:val="20"/>
              </w:rPr>
              <w:t>FR-CAL-013</w:t>
            </w:r>
          </w:p>
        </w:tc>
        <w:tc>
          <w:tcPr>
            <w:tcW w:type="dxa" w:w="2798"/>
            <w:vAlign w:val="center"/>
            <w:shd w:fill="F4F6F8"/>
          </w:tcPr>
          <w:p>
            <w:pPr>
              <w:spacing w:after="20" w:before="20" w:line="247" w:lineRule="auto"/>
            </w:pPr>
            <w:r>
              <w:rPr>
                <w:b w:val="0"/>
                <w:i w:val="0"/>
                <w:sz w:val="20"/>
              </w:rPr>
              <w:t>FT-CAL-013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BR-CAL-014</w:t>
            </w:r>
          </w:p>
        </w:tc>
        <w:tc>
          <w:tcPr>
            <w:tcW w:type="dxa" w:w="2498"/>
            <w:vAlign w:val="center"/>
            <w:shd w:fill="FFFFFF"/>
          </w:tcPr>
          <w:p>
            <w:pPr>
              <w:spacing w:after="20" w:before="20" w:line="247" w:lineRule="auto"/>
            </w:pPr>
            <w:r>
              <w:rPr>
                <w:b w:val="0"/>
                <w:i w:val="0"/>
                <w:sz w:val="20"/>
              </w:rPr>
              <w:t>FR-CAL-014</w:t>
            </w:r>
          </w:p>
        </w:tc>
        <w:tc>
          <w:tcPr>
            <w:tcW w:type="dxa" w:w="2798"/>
            <w:vAlign w:val="center"/>
            <w:shd w:fill="FFFFFF"/>
          </w:tcPr>
          <w:p>
            <w:pPr>
              <w:spacing w:after="20" w:before="20" w:line="247" w:lineRule="auto"/>
            </w:pPr>
            <w:r>
              <w:rPr>
                <w:b w:val="0"/>
                <w:i w:val="0"/>
                <w:sz w:val="20"/>
              </w:rPr>
              <w:t>FT-CAL-014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BR-CAL-015</w:t>
            </w:r>
          </w:p>
        </w:tc>
        <w:tc>
          <w:tcPr>
            <w:tcW w:type="dxa" w:w="2498"/>
            <w:vAlign w:val="center"/>
            <w:shd w:fill="F4F6F8"/>
          </w:tcPr>
          <w:p>
            <w:pPr>
              <w:spacing w:after="20" w:before="20" w:line="247" w:lineRule="auto"/>
            </w:pPr>
            <w:r>
              <w:rPr>
                <w:b w:val="0"/>
                <w:i w:val="0"/>
                <w:sz w:val="20"/>
              </w:rPr>
              <w:t>FR-CAL-015</w:t>
            </w:r>
          </w:p>
        </w:tc>
        <w:tc>
          <w:tcPr>
            <w:tcW w:type="dxa" w:w="2798"/>
            <w:vAlign w:val="center"/>
            <w:shd w:fill="F4F6F8"/>
          </w:tcPr>
          <w:p>
            <w:pPr>
              <w:spacing w:after="20" w:before="20" w:line="247" w:lineRule="auto"/>
            </w:pPr>
            <w:r>
              <w:rPr>
                <w:b w:val="0"/>
                <w:i w:val="0"/>
                <w:sz w:val="20"/>
              </w:rPr>
              <w:t>FT-CAL-015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BR-CAL-016</w:t>
            </w:r>
          </w:p>
        </w:tc>
        <w:tc>
          <w:tcPr>
            <w:tcW w:type="dxa" w:w="2498"/>
            <w:vAlign w:val="center"/>
            <w:shd w:fill="FFFFFF"/>
          </w:tcPr>
          <w:p>
            <w:pPr>
              <w:spacing w:after="20" w:before="20" w:line="247" w:lineRule="auto"/>
            </w:pPr>
            <w:r>
              <w:rPr>
                <w:b w:val="0"/>
                <w:i w:val="0"/>
                <w:sz w:val="20"/>
              </w:rPr>
              <w:t>FR-CAL-016</w:t>
            </w:r>
          </w:p>
        </w:tc>
        <w:tc>
          <w:tcPr>
            <w:tcW w:type="dxa" w:w="2798"/>
            <w:vAlign w:val="center"/>
            <w:shd w:fill="FFFFFF"/>
          </w:tcPr>
          <w:p>
            <w:pPr>
              <w:spacing w:after="20" w:before="20" w:line="247" w:lineRule="auto"/>
            </w:pPr>
            <w:r>
              <w:rPr>
                <w:b w:val="0"/>
                <w:i w:val="0"/>
                <w:sz w:val="20"/>
              </w:rPr>
              <w:t>FT-CAL-016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BR-FRM-001</w:t>
            </w:r>
          </w:p>
        </w:tc>
        <w:tc>
          <w:tcPr>
            <w:tcW w:type="dxa" w:w="2498"/>
            <w:vAlign w:val="center"/>
            <w:shd w:fill="F4F6F8"/>
          </w:tcPr>
          <w:p>
            <w:pPr>
              <w:spacing w:after="20" w:before="20" w:line="247" w:lineRule="auto"/>
            </w:pPr>
            <w:r>
              <w:rPr>
                <w:b w:val="0"/>
                <w:i w:val="0"/>
                <w:sz w:val="20"/>
              </w:rPr>
              <w:t>FR-FRM-001</w:t>
            </w:r>
          </w:p>
        </w:tc>
        <w:tc>
          <w:tcPr>
            <w:tcW w:type="dxa" w:w="2798"/>
            <w:vAlign w:val="center"/>
            <w:shd w:fill="F4F6F8"/>
          </w:tcPr>
          <w:p>
            <w:pPr>
              <w:spacing w:after="20" w:before="20" w:line="247" w:lineRule="auto"/>
            </w:pPr>
            <w:r>
              <w:rPr>
                <w:b w:val="0"/>
                <w:i w:val="0"/>
                <w:sz w:val="20"/>
              </w:rPr>
              <w:t>FT-FRM-001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BR-FRM-002</w:t>
            </w:r>
          </w:p>
        </w:tc>
        <w:tc>
          <w:tcPr>
            <w:tcW w:type="dxa" w:w="2498"/>
            <w:vAlign w:val="center"/>
            <w:shd w:fill="FFFFFF"/>
          </w:tcPr>
          <w:p>
            <w:pPr>
              <w:spacing w:after="20" w:before="20" w:line="247" w:lineRule="auto"/>
            </w:pPr>
            <w:r>
              <w:rPr>
                <w:b w:val="0"/>
                <w:i w:val="0"/>
                <w:sz w:val="20"/>
              </w:rPr>
              <w:t>FR-FRM-002</w:t>
            </w:r>
          </w:p>
        </w:tc>
        <w:tc>
          <w:tcPr>
            <w:tcW w:type="dxa" w:w="2798"/>
            <w:vAlign w:val="center"/>
            <w:shd w:fill="FFFFFF"/>
          </w:tcPr>
          <w:p>
            <w:pPr>
              <w:spacing w:after="20" w:before="20" w:line="247" w:lineRule="auto"/>
            </w:pPr>
            <w:r>
              <w:rPr>
                <w:b w:val="0"/>
                <w:i w:val="0"/>
                <w:sz w:val="20"/>
              </w:rPr>
              <w:t>FT-FRM-002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BR-FRM-003</w:t>
            </w:r>
          </w:p>
        </w:tc>
        <w:tc>
          <w:tcPr>
            <w:tcW w:type="dxa" w:w="2498"/>
            <w:vAlign w:val="center"/>
            <w:shd w:fill="F4F6F8"/>
          </w:tcPr>
          <w:p>
            <w:pPr>
              <w:spacing w:after="20" w:before="20" w:line="247" w:lineRule="auto"/>
            </w:pPr>
            <w:r>
              <w:rPr>
                <w:b w:val="0"/>
                <w:i w:val="0"/>
                <w:sz w:val="20"/>
              </w:rPr>
              <w:t>FR-FRM-003</w:t>
            </w:r>
          </w:p>
        </w:tc>
        <w:tc>
          <w:tcPr>
            <w:tcW w:type="dxa" w:w="2798"/>
            <w:vAlign w:val="center"/>
            <w:shd w:fill="F4F6F8"/>
          </w:tcPr>
          <w:p>
            <w:pPr>
              <w:spacing w:after="20" w:before="20" w:line="247" w:lineRule="auto"/>
            </w:pPr>
            <w:r>
              <w:rPr>
                <w:b w:val="0"/>
                <w:i w:val="0"/>
                <w:sz w:val="20"/>
              </w:rPr>
              <w:t>FT-FRM-003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BR-FRM-004</w:t>
            </w:r>
          </w:p>
        </w:tc>
        <w:tc>
          <w:tcPr>
            <w:tcW w:type="dxa" w:w="2498"/>
            <w:vAlign w:val="center"/>
            <w:shd w:fill="FFFFFF"/>
          </w:tcPr>
          <w:p>
            <w:pPr>
              <w:spacing w:after="20" w:before="20" w:line="247" w:lineRule="auto"/>
            </w:pPr>
            <w:r>
              <w:rPr>
                <w:b w:val="0"/>
                <w:i w:val="0"/>
                <w:sz w:val="20"/>
              </w:rPr>
              <w:t>FR-FRM-004</w:t>
            </w:r>
          </w:p>
        </w:tc>
        <w:tc>
          <w:tcPr>
            <w:tcW w:type="dxa" w:w="2798"/>
            <w:vAlign w:val="center"/>
            <w:shd w:fill="FFFFFF"/>
          </w:tcPr>
          <w:p>
            <w:pPr>
              <w:spacing w:after="20" w:before="20" w:line="247" w:lineRule="auto"/>
            </w:pPr>
            <w:r>
              <w:rPr>
                <w:b w:val="0"/>
                <w:i w:val="0"/>
                <w:sz w:val="20"/>
              </w:rPr>
              <w:t>FT-FRM-004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BR-FRM-005</w:t>
            </w:r>
          </w:p>
        </w:tc>
        <w:tc>
          <w:tcPr>
            <w:tcW w:type="dxa" w:w="2498"/>
            <w:vAlign w:val="center"/>
            <w:shd w:fill="F4F6F8"/>
          </w:tcPr>
          <w:p>
            <w:pPr>
              <w:spacing w:after="20" w:before="20" w:line="247" w:lineRule="auto"/>
            </w:pPr>
            <w:r>
              <w:rPr>
                <w:b w:val="0"/>
                <w:i w:val="0"/>
                <w:sz w:val="20"/>
              </w:rPr>
              <w:t>FR-FRM-005</w:t>
            </w:r>
          </w:p>
        </w:tc>
        <w:tc>
          <w:tcPr>
            <w:tcW w:type="dxa" w:w="2798"/>
            <w:vAlign w:val="center"/>
            <w:shd w:fill="F4F6F8"/>
          </w:tcPr>
          <w:p>
            <w:pPr>
              <w:spacing w:after="20" w:before="20" w:line="247" w:lineRule="auto"/>
            </w:pPr>
            <w:r>
              <w:rPr>
                <w:b w:val="0"/>
                <w:i w:val="0"/>
                <w:sz w:val="20"/>
              </w:rPr>
              <w:t>FT-FRM-005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BR-FRM-006</w:t>
            </w:r>
          </w:p>
        </w:tc>
        <w:tc>
          <w:tcPr>
            <w:tcW w:type="dxa" w:w="2498"/>
            <w:vAlign w:val="center"/>
            <w:shd w:fill="FFFFFF"/>
          </w:tcPr>
          <w:p>
            <w:pPr>
              <w:spacing w:after="20" w:before="20" w:line="247" w:lineRule="auto"/>
            </w:pPr>
            <w:r>
              <w:rPr>
                <w:b w:val="0"/>
                <w:i w:val="0"/>
                <w:sz w:val="20"/>
              </w:rPr>
              <w:t>FR-FRM-006</w:t>
            </w:r>
          </w:p>
        </w:tc>
        <w:tc>
          <w:tcPr>
            <w:tcW w:type="dxa" w:w="2798"/>
            <w:vAlign w:val="center"/>
            <w:shd w:fill="FFFFFF"/>
          </w:tcPr>
          <w:p>
            <w:pPr>
              <w:spacing w:after="20" w:before="20" w:line="247" w:lineRule="auto"/>
            </w:pPr>
            <w:r>
              <w:rPr>
                <w:b w:val="0"/>
                <w:i w:val="0"/>
                <w:sz w:val="20"/>
              </w:rPr>
              <w:t>FT-FRM-006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BR-FRM-007</w:t>
            </w:r>
          </w:p>
        </w:tc>
        <w:tc>
          <w:tcPr>
            <w:tcW w:type="dxa" w:w="2498"/>
            <w:vAlign w:val="center"/>
            <w:shd w:fill="F4F6F8"/>
          </w:tcPr>
          <w:p>
            <w:pPr>
              <w:spacing w:after="20" w:before="20" w:line="247" w:lineRule="auto"/>
            </w:pPr>
            <w:r>
              <w:rPr>
                <w:b w:val="0"/>
                <w:i w:val="0"/>
                <w:sz w:val="20"/>
              </w:rPr>
              <w:t>FR-FRM-007</w:t>
            </w:r>
          </w:p>
        </w:tc>
        <w:tc>
          <w:tcPr>
            <w:tcW w:type="dxa" w:w="2798"/>
            <w:vAlign w:val="center"/>
            <w:shd w:fill="F4F6F8"/>
          </w:tcPr>
          <w:p>
            <w:pPr>
              <w:spacing w:after="20" w:before="20" w:line="247" w:lineRule="auto"/>
            </w:pPr>
            <w:r>
              <w:rPr>
                <w:b w:val="0"/>
                <w:i w:val="0"/>
                <w:sz w:val="20"/>
              </w:rPr>
              <w:t>FT-FRM-007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BR-FRM-008</w:t>
            </w:r>
          </w:p>
        </w:tc>
        <w:tc>
          <w:tcPr>
            <w:tcW w:type="dxa" w:w="2498"/>
            <w:vAlign w:val="center"/>
            <w:shd w:fill="FFFFFF"/>
          </w:tcPr>
          <w:p>
            <w:pPr>
              <w:spacing w:after="20" w:before="20" w:line="247" w:lineRule="auto"/>
            </w:pPr>
            <w:r>
              <w:rPr>
                <w:b w:val="0"/>
                <w:i w:val="0"/>
                <w:sz w:val="20"/>
              </w:rPr>
              <w:t>FR-FRM-008</w:t>
            </w:r>
          </w:p>
        </w:tc>
        <w:tc>
          <w:tcPr>
            <w:tcW w:type="dxa" w:w="2798"/>
            <w:vAlign w:val="center"/>
            <w:shd w:fill="FFFFFF"/>
          </w:tcPr>
          <w:p>
            <w:pPr>
              <w:spacing w:after="20" w:before="20" w:line="247" w:lineRule="auto"/>
            </w:pPr>
            <w:r>
              <w:rPr>
                <w:b w:val="0"/>
                <w:i w:val="0"/>
                <w:sz w:val="20"/>
              </w:rPr>
              <w:t>FT-FRM-008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BR-FRM-009</w:t>
            </w:r>
          </w:p>
        </w:tc>
        <w:tc>
          <w:tcPr>
            <w:tcW w:type="dxa" w:w="2498"/>
            <w:vAlign w:val="center"/>
            <w:shd w:fill="F4F6F8"/>
          </w:tcPr>
          <w:p>
            <w:pPr>
              <w:spacing w:after="20" w:before="20" w:line="247" w:lineRule="auto"/>
            </w:pPr>
            <w:r>
              <w:rPr>
                <w:b w:val="0"/>
                <w:i w:val="0"/>
                <w:sz w:val="20"/>
              </w:rPr>
              <w:t>FR-FRM-009</w:t>
            </w:r>
          </w:p>
        </w:tc>
        <w:tc>
          <w:tcPr>
            <w:tcW w:type="dxa" w:w="2798"/>
            <w:vAlign w:val="center"/>
            <w:shd w:fill="F4F6F8"/>
          </w:tcPr>
          <w:p>
            <w:pPr>
              <w:spacing w:after="20" w:before="20" w:line="247" w:lineRule="auto"/>
            </w:pPr>
            <w:r>
              <w:rPr>
                <w:b w:val="0"/>
                <w:i w:val="0"/>
                <w:sz w:val="20"/>
              </w:rPr>
              <w:t>FT-FRM-009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BR-FRM-010</w:t>
            </w:r>
          </w:p>
        </w:tc>
        <w:tc>
          <w:tcPr>
            <w:tcW w:type="dxa" w:w="2498"/>
            <w:vAlign w:val="center"/>
            <w:shd w:fill="FFFFFF"/>
          </w:tcPr>
          <w:p>
            <w:pPr>
              <w:spacing w:after="20" w:before="20" w:line="247" w:lineRule="auto"/>
            </w:pPr>
            <w:r>
              <w:rPr>
                <w:b w:val="0"/>
                <w:i w:val="0"/>
                <w:sz w:val="20"/>
              </w:rPr>
              <w:t>FR-FRM-010</w:t>
            </w:r>
          </w:p>
        </w:tc>
        <w:tc>
          <w:tcPr>
            <w:tcW w:type="dxa" w:w="2798"/>
            <w:vAlign w:val="center"/>
            <w:shd w:fill="FFFFFF"/>
          </w:tcPr>
          <w:p>
            <w:pPr>
              <w:spacing w:after="20" w:before="20" w:line="247" w:lineRule="auto"/>
            </w:pPr>
            <w:r>
              <w:rPr>
                <w:b w:val="0"/>
                <w:i w:val="0"/>
                <w:sz w:val="20"/>
              </w:rPr>
              <w:t>FT-FRM-010</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BR-OFF-001</w:t>
            </w:r>
          </w:p>
        </w:tc>
        <w:tc>
          <w:tcPr>
            <w:tcW w:type="dxa" w:w="2498"/>
            <w:vAlign w:val="center"/>
            <w:shd w:fill="F4F6F8"/>
          </w:tcPr>
          <w:p>
            <w:pPr>
              <w:spacing w:after="20" w:before="20" w:line="247" w:lineRule="auto"/>
            </w:pPr>
            <w:r>
              <w:rPr>
                <w:b w:val="0"/>
                <w:i w:val="0"/>
                <w:sz w:val="20"/>
              </w:rPr>
              <w:t>FR-OFF-001</w:t>
            </w:r>
          </w:p>
        </w:tc>
        <w:tc>
          <w:tcPr>
            <w:tcW w:type="dxa" w:w="2798"/>
            <w:vAlign w:val="center"/>
            <w:shd w:fill="F4F6F8"/>
          </w:tcPr>
          <w:p>
            <w:pPr>
              <w:spacing w:after="20" w:before="20" w:line="247" w:lineRule="auto"/>
            </w:pPr>
            <w:r>
              <w:rPr>
                <w:b w:val="0"/>
                <w:i w:val="0"/>
                <w:sz w:val="20"/>
              </w:rPr>
              <w:t>FT-OFF-001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BR-OFF-002</w:t>
            </w:r>
          </w:p>
        </w:tc>
        <w:tc>
          <w:tcPr>
            <w:tcW w:type="dxa" w:w="2498"/>
            <w:vAlign w:val="center"/>
            <w:shd w:fill="FFFFFF"/>
          </w:tcPr>
          <w:p>
            <w:pPr>
              <w:spacing w:after="20" w:before="20" w:line="247" w:lineRule="auto"/>
            </w:pPr>
            <w:r>
              <w:rPr>
                <w:b w:val="0"/>
                <w:i w:val="0"/>
                <w:sz w:val="20"/>
              </w:rPr>
              <w:t>FR-OFF-002</w:t>
            </w:r>
          </w:p>
        </w:tc>
        <w:tc>
          <w:tcPr>
            <w:tcW w:type="dxa" w:w="2798"/>
            <w:vAlign w:val="center"/>
            <w:shd w:fill="FFFFFF"/>
          </w:tcPr>
          <w:p>
            <w:pPr>
              <w:spacing w:after="20" w:before="20" w:line="247" w:lineRule="auto"/>
            </w:pPr>
            <w:r>
              <w:rPr>
                <w:b w:val="0"/>
                <w:i w:val="0"/>
                <w:sz w:val="20"/>
              </w:rPr>
              <w:t>FT-OFF-002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BR-OFF-003</w:t>
            </w:r>
          </w:p>
        </w:tc>
        <w:tc>
          <w:tcPr>
            <w:tcW w:type="dxa" w:w="2498"/>
            <w:vAlign w:val="center"/>
            <w:shd w:fill="F4F6F8"/>
          </w:tcPr>
          <w:p>
            <w:pPr>
              <w:spacing w:after="20" w:before="20" w:line="247" w:lineRule="auto"/>
            </w:pPr>
            <w:r>
              <w:rPr>
                <w:b w:val="0"/>
                <w:i w:val="0"/>
                <w:sz w:val="20"/>
              </w:rPr>
              <w:t>FR-OFF-003</w:t>
            </w:r>
          </w:p>
        </w:tc>
        <w:tc>
          <w:tcPr>
            <w:tcW w:type="dxa" w:w="2798"/>
            <w:vAlign w:val="center"/>
            <w:shd w:fill="F4F6F8"/>
          </w:tcPr>
          <w:p>
            <w:pPr>
              <w:spacing w:after="20" w:before="20" w:line="247" w:lineRule="auto"/>
            </w:pPr>
            <w:r>
              <w:rPr>
                <w:b w:val="0"/>
                <w:i w:val="0"/>
                <w:sz w:val="20"/>
              </w:rPr>
              <w:t>FT-OFF-003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BR-OFF-004</w:t>
            </w:r>
          </w:p>
        </w:tc>
        <w:tc>
          <w:tcPr>
            <w:tcW w:type="dxa" w:w="2498"/>
            <w:vAlign w:val="center"/>
            <w:shd w:fill="FFFFFF"/>
          </w:tcPr>
          <w:p>
            <w:pPr>
              <w:spacing w:after="20" w:before="20" w:line="247" w:lineRule="auto"/>
            </w:pPr>
            <w:r>
              <w:rPr>
                <w:b w:val="0"/>
                <w:i w:val="0"/>
                <w:sz w:val="20"/>
              </w:rPr>
              <w:t>FR-OFF-004</w:t>
            </w:r>
          </w:p>
        </w:tc>
        <w:tc>
          <w:tcPr>
            <w:tcW w:type="dxa" w:w="2798"/>
            <w:vAlign w:val="center"/>
            <w:shd w:fill="FFFFFF"/>
          </w:tcPr>
          <w:p>
            <w:pPr>
              <w:spacing w:after="20" w:before="20" w:line="247" w:lineRule="auto"/>
            </w:pPr>
            <w:r>
              <w:rPr>
                <w:b w:val="0"/>
                <w:i w:val="0"/>
                <w:sz w:val="20"/>
              </w:rPr>
              <w:t>FT-OFF-004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BR-OFF-005</w:t>
            </w:r>
          </w:p>
        </w:tc>
        <w:tc>
          <w:tcPr>
            <w:tcW w:type="dxa" w:w="2498"/>
            <w:vAlign w:val="center"/>
            <w:shd w:fill="F4F6F8"/>
          </w:tcPr>
          <w:p>
            <w:pPr>
              <w:spacing w:after="20" w:before="20" w:line="247" w:lineRule="auto"/>
            </w:pPr>
            <w:r>
              <w:rPr>
                <w:b w:val="0"/>
                <w:i w:val="0"/>
                <w:sz w:val="20"/>
              </w:rPr>
              <w:t>FR-OFF-005</w:t>
            </w:r>
          </w:p>
        </w:tc>
        <w:tc>
          <w:tcPr>
            <w:tcW w:type="dxa" w:w="2798"/>
            <w:vAlign w:val="center"/>
            <w:shd w:fill="F4F6F8"/>
          </w:tcPr>
          <w:p>
            <w:pPr>
              <w:spacing w:after="20" w:before="20" w:line="247" w:lineRule="auto"/>
            </w:pPr>
            <w:r>
              <w:rPr>
                <w:b w:val="0"/>
                <w:i w:val="0"/>
                <w:sz w:val="20"/>
              </w:rPr>
              <w:t>FT-OFF-005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BR-OFF-006</w:t>
            </w:r>
          </w:p>
        </w:tc>
        <w:tc>
          <w:tcPr>
            <w:tcW w:type="dxa" w:w="2498"/>
            <w:vAlign w:val="center"/>
            <w:shd w:fill="FFFFFF"/>
          </w:tcPr>
          <w:p>
            <w:pPr>
              <w:spacing w:after="20" w:before="20" w:line="247" w:lineRule="auto"/>
            </w:pPr>
            <w:r>
              <w:rPr>
                <w:b w:val="0"/>
                <w:i w:val="0"/>
                <w:sz w:val="20"/>
              </w:rPr>
              <w:t>FR-OFF-006</w:t>
            </w:r>
          </w:p>
        </w:tc>
        <w:tc>
          <w:tcPr>
            <w:tcW w:type="dxa" w:w="2798"/>
            <w:vAlign w:val="center"/>
            <w:shd w:fill="FFFFFF"/>
          </w:tcPr>
          <w:p>
            <w:pPr>
              <w:spacing w:after="20" w:before="20" w:line="247" w:lineRule="auto"/>
            </w:pPr>
            <w:r>
              <w:rPr>
                <w:b w:val="0"/>
                <w:i w:val="0"/>
                <w:sz w:val="20"/>
              </w:rPr>
              <w:t>FT-OFF-006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BR-OFF-007</w:t>
            </w:r>
          </w:p>
        </w:tc>
        <w:tc>
          <w:tcPr>
            <w:tcW w:type="dxa" w:w="2498"/>
            <w:vAlign w:val="center"/>
            <w:shd w:fill="F4F6F8"/>
          </w:tcPr>
          <w:p>
            <w:pPr>
              <w:spacing w:after="20" w:before="20" w:line="247" w:lineRule="auto"/>
            </w:pPr>
            <w:r>
              <w:rPr>
                <w:b w:val="0"/>
                <w:i w:val="0"/>
                <w:sz w:val="20"/>
              </w:rPr>
              <w:t>FR-OFF-007</w:t>
            </w:r>
          </w:p>
        </w:tc>
        <w:tc>
          <w:tcPr>
            <w:tcW w:type="dxa" w:w="2798"/>
            <w:vAlign w:val="center"/>
            <w:shd w:fill="F4F6F8"/>
          </w:tcPr>
          <w:p>
            <w:pPr>
              <w:spacing w:after="20" w:before="20" w:line="247" w:lineRule="auto"/>
            </w:pPr>
            <w:r>
              <w:rPr>
                <w:b w:val="0"/>
                <w:i w:val="0"/>
                <w:sz w:val="20"/>
              </w:rPr>
              <w:t>FT-OFF-007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BR-OFF-008</w:t>
            </w:r>
          </w:p>
        </w:tc>
        <w:tc>
          <w:tcPr>
            <w:tcW w:type="dxa" w:w="2498"/>
            <w:vAlign w:val="center"/>
            <w:shd w:fill="FFFFFF"/>
          </w:tcPr>
          <w:p>
            <w:pPr>
              <w:spacing w:after="20" w:before="20" w:line="247" w:lineRule="auto"/>
            </w:pPr>
            <w:r>
              <w:rPr>
                <w:b w:val="0"/>
                <w:i w:val="0"/>
                <w:sz w:val="20"/>
              </w:rPr>
              <w:t>FR-OFF-008</w:t>
            </w:r>
          </w:p>
        </w:tc>
        <w:tc>
          <w:tcPr>
            <w:tcW w:type="dxa" w:w="2798"/>
            <w:vAlign w:val="center"/>
            <w:shd w:fill="FFFFFF"/>
          </w:tcPr>
          <w:p>
            <w:pPr>
              <w:spacing w:after="20" w:before="20" w:line="247" w:lineRule="auto"/>
            </w:pPr>
            <w:r>
              <w:rPr>
                <w:b w:val="0"/>
                <w:i w:val="0"/>
                <w:sz w:val="20"/>
              </w:rPr>
              <w:t>FT-OFF-008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BR-DAT-001</w:t>
            </w:r>
          </w:p>
        </w:tc>
        <w:tc>
          <w:tcPr>
            <w:tcW w:type="dxa" w:w="2498"/>
            <w:vAlign w:val="center"/>
            <w:shd w:fill="F4F6F8"/>
          </w:tcPr>
          <w:p>
            <w:pPr>
              <w:spacing w:after="20" w:before="20" w:line="247" w:lineRule="auto"/>
            </w:pPr>
            <w:r>
              <w:rPr>
                <w:b w:val="0"/>
                <w:i w:val="0"/>
                <w:sz w:val="20"/>
              </w:rPr>
              <w:t>FR-DAT-001</w:t>
            </w:r>
          </w:p>
        </w:tc>
        <w:tc>
          <w:tcPr>
            <w:tcW w:type="dxa" w:w="2798"/>
            <w:vAlign w:val="center"/>
            <w:shd w:fill="F4F6F8"/>
          </w:tcPr>
          <w:p>
            <w:pPr>
              <w:spacing w:after="20" w:before="20" w:line="247" w:lineRule="auto"/>
            </w:pPr>
            <w:r>
              <w:rPr>
                <w:b w:val="0"/>
                <w:i w:val="0"/>
                <w:sz w:val="20"/>
              </w:rPr>
              <w:t>FT-DAT-001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BR-DAT-002</w:t>
            </w:r>
          </w:p>
        </w:tc>
        <w:tc>
          <w:tcPr>
            <w:tcW w:type="dxa" w:w="2498"/>
            <w:vAlign w:val="center"/>
            <w:shd w:fill="FFFFFF"/>
          </w:tcPr>
          <w:p>
            <w:pPr>
              <w:spacing w:after="20" w:before="20" w:line="247" w:lineRule="auto"/>
            </w:pPr>
            <w:r>
              <w:rPr>
                <w:b w:val="0"/>
                <w:i w:val="0"/>
                <w:sz w:val="20"/>
              </w:rPr>
              <w:t>FR-DAT-002</w:t>
            </w:r>
          </w:p>
        </w:tc>
        <w:tc>
          <w:tcPr>
            <w:tcW w:type="dxa" w:w="2798"/>
            <w:vAlign w:val="center"/>
            <w:shd w:fill="FFFFFF"/>
          </w:tcPr>
          <w:p>
            <w:pPr>
              <w:spacing w:after="20" w:before="20" w:line="247" w:lineRule="auto"/>
            </w:pPr>
            <w:r>
              <w:rPr>
                <w:b w:val="0"/>
                <w:i w:val="0"/>
                <w:sz w:val="20"/>
              </w:rPr>
              <w:t>FT-DAT-002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BR-DAT-003</w:t>
            </w:r>
          </w:p>
        </w:tc>
        <w:tc>
          <w:tcPr>
            <w:tcW w:type="dxa" w:w="2498"/>
            <w:vAlign w:val="center"/>
            <w:shd w:fill="F4F6F8"/>
          </w:tcPr>
          <w:p>
            <w:pPr>
              <w:spacing w:after="20" w:before="20" w:line="247" w:lineRule="auto"/>
            </w:pPr>
            <w:r>
              <w:rPr>
                <w:b w:val="0"/>
                <w:i w:val="0"/>
                <w:sz w:val="20"/>
              </w:rPr>
              <w:t>FR-DAT-003</w:t>
            </w:r>
          </w:p>
        </w:tc>
        <w:tc>
          <w:tcPr>
            <w:tcW w:type="dxa" w:w="2798"/>
            <w:vAlign w:val="center"/>
            <w:shd w:fill="F4F6F8"/>
          </w:tcPr>
          <w:p>
            <w:pPr>
              <w:spacing w:after="20" w:before="20" w:line="247" w:lineRule="auto"/>
            </w:pPr>
            <w:r>
              <w:rPr>
                <w:b w:val="0"/>
                <w:i w:val="0"/>
                <w:sz w:val="20"/>
              </w:rPr>
              <w:t>FT-DAT-003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BR-DAT-004</w:t>
            </w:r>
          </w:p>
        </w:tc>
        <w:tc>
          <w:tcPr>
            <w:tcW w:type="dxa" w:w="2498"/>
            <w:vAlign w:val="center"/>
            <w:shd w:fill="FFFFFF"/>
          </w:tcPr>
          <w:p>
            <w:pPr>
              <w:spacing w:after="20" w:before="20" w:line="247" w:lineRule="auto"/>
            </w:pPr>
            <w:r>
              <w:rPr>
                <w:b w:val="0"/>
                <w:i w:val="0"/>
                <w:sz w:val="20"/>
              </w:rPr>
              <w:t>FR-DAT-004</w:t>
            </w:r>
          </w:p>
        </w:tc>
        <w:tc>
          <w:tcPr>
            <w:tcW w:type="dxa" w:w="2798"/>
            <w:vAlign w:val="center"/>
            <w:shd w:fill="FFFFFF"/>
          </w:tcPr>
          <w:p>
            <w:pPr>
              <w:spacing w:after="20" w:before="20" w:line="247" w:lineRule="auto"/>
            </w:pPr>
            <w:r>
              <w:rPr>
                <w:b w:val="0"/>
                <w:i w:val="0"/>
                <w:sz w:val="20"/>
              </w:rPr>
              <w:t>FT-DAT-004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BR-DAT-005</w:t>
            </w:r>
          </w:p>
        </w:tc>
        <w:tc>
          <w:tcPr>
            <w:tcW w:type="dxa" w:w="2498"/>
            <w:vAlign w:val="center"/>
            <w:shd w:fill="F4F6F8"/>
          </w:tcPr>
          <w:p>
            <w:pPr>
              <w:spacing w:after="20" w:before="20" w:line="247" w:lineRule="auto"/>
            </w:pPr>
            <w:r>
              <w:rPr>
                <w:b w:val="0"/>
                <w:i w:val="0"/>
                <w:sz w:val="20"/>
              </w:rPr>
              <w:t>FR-DAT-005</w:t>
            </w:r>
          </w:p>
        </w:tc>
        <w:tc>
          <w:tcPr>
            <w:tcW w:type="dxa" w:w="2798"/>
            <w:vAlign w:val="center"/>
            <w:shd w:fill="F4F6F8"/>
          </w:tcPr>
          <w:p>
            <w:pPr>
              <w:spacing w:after="20" w:before="20" w:line="247" w:lineRule="auto"/>
            </w:pPr>
            <w:r>
              <w:rPr>
                <w:b w:val="0"/>
                <w:i w:val="0"/>
                <w:sz w:val="20"/>
              </w:rPr>
              <w:t>FT-DAT-005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BR-DAT-006</w:t>
            </w:r>
          </w:p>
        </w:tc>
        <w:tc>
          <w:tcPr>
            <w:tcW w:type="dxa" w:w="2498"/>
            <w:vAlign w:val="center"/>
            <w:shd w:fill="FFFFFF"/>
          </w:tcPr>
          <w:p>
            <w:pPr>
              <w:spacing w:after="20" w:before="20" w:line="247" w:lineRule="auto"/>
            </w:pPr>
            <w:r>
              <w:rPr>
                <w:b w:val="0"/>
                <w:i w:val="0"/>
                <w:sz w:val="20"/>
              </w:rPr>
              <w:t>FR-DAT-006</w:t>
            </w:r>
          </w:p>
        </w:tc>
        <w:tc>
          <w:tcPr>
            <w:tcW w:type="dxa" w:w="2798"/>
            <w:vAlign w:val="center"/>
            <w:shd w:fill="FFFFFF"/>
          </w:tcPr>
          <w:p>
            <w:pPr>
              <w:spacing w:after="20" w:before="20" w:line="247" w:lineRule="auto"/>
            </w:pPr>
            <w:r>
              <w:rPr>
                <w:b w:val="0"/>
                <w:i w:val="0"/>
                <w:sz w:val="20"/>
              </w:rPr>
              <w:t>FT-DAT-006</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BR-DAT-007</w:t>
            </w:r>
          </w:p>
        </w:tc>
        <w:tc>
          <w:tcPr>
            <w:tcW w:type="dxa" w:w="2498"/>
            <w:vAlign w:val="center"/>
            <w:shd w:fill="F4F6F8"/>
          </w:tcPr>
          <w:p>
            <w:pPr>
              <w:spacing w:after="20" w:before="20" w:line="247" w:lineRule="auto"/>
            </w:pPr>
            <w:r>
              <w:rPr>
                <w:b w:val="0"/>
                <w:i w:val="0"/>
                <w:sz w:val="20"/>
              </w:rPr>
              <w:t>FR-DAT-007</w:t>
            </w:r>
          </w:p>
        </w:tc>
        <w:tc>
          <w:tcPr>
            <w:tcW w:type="dxa" w:w="2798"/>
            <w:vAlign w:val="center"/>
            <w:shd w:fill="F4F6F8"/>
          </w:tcPr>
          <w:p>
            <w:pPr>
              <w:spacing w:after="20" w:before="20" w:line="247" w:lineRule="auto"/>
            </w:pPr>
            <w:r>
              <w:rPr>
                <w:b w:val="0"/>
                <w:i w:val="0"/>
                <w:sz w:val="20"/>
              </w:rPr>
              <w:t>FT-DAT-007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BR-DAT-008</w:t>
            </w:r>
          </w:p>
        </w:tc>
        <w:tc>
          <w:tcPr>
            <w:tcW w:type="dxa" w:w="2498"/>
            <w:vAlign w:val="center"/>
            <w:shd w:fill="FFFFFF"/>
          </w:tcPr>
          <w:p>
            <w:pPr>
              <w:spacing w:after="20" w:before="20" w:line="247" w:lineRule="auto"/>
            </w:pPr>
            <w:r>
              <w:rPr>
                <w:b w:val="0"/>
                <w:i w:val="0"/>
                <w:sz w:val="20"/>
              </w:rPr>
              <w:t>FR-DAT-008</w:t>
            </w:r>
          </w:p>
        </w:tc>
        <w:tc>
          <w:tcPr>
            <w:tcW w:type="dxa" w:w="2798"/>
            <w:vAlign w:val="center"/>
            <w:shd w:fill="FFFFFF"/>
          </w:tcPr>
          <w:p>
            <w:pPr>
              <w:spacing w:after="20" w:before="20" w:line="247" w:lineRule="auto"/>
            </w:pPr>
            <w:r>
              <w:rPr>
                <w:b w:val="0"/>
                <w:i w:val="0"/>
                <w:sz w:val="20"/>
              </w:rPr>
              <w:t>FT-DAT-008</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BR-DAT-009</w:t>
            </w:r>
          </w:p>
        </w:tc>
        <w:tc>
          <w:tcPr>
            <w:tcW w:type="dxa" w:w="2498"/>
            <w:vAlign w:val="center"/>
            <w:shd w:fill="F4F6F8"/>
          </w:tcPr>
          <w:p>
            <w:pPr>
              <w:spacing w:after="20" w:before="20" w:line="247" w:lineRule="auto"/>
            </w:pPr>
            <w:r>
              <w:rPr>
                <w:b w:val="0"/>
                <w:i w:val="0"/>
                <w:sz w:val="20"/>
              </w:rPr>
              <w:t>FR-DAT-009</w:t>
            </w:r>
          </w:p>
        </w:tc>
        <w:tc>
          <w:tcPr>
            <w:tcW w:type="dxa" w:w="2798"/>
            <w:vAlign w:val="center"/>
            <w:shd w:fill="F4F6F8"/>
          </w:tcPr>
          <w:p>
            <w:pPr>
              <w:spacing w:after="20" w:before="20" w:line="247" w:lineRule="auto"/>
            </w:pPr>
            <w:r>
              <w:rPr>
                <w:b w:val="0"/>
                <w:i w:val="0"/>
                <w:sz w:val="20"/>
              </w:rPr>
              <w:t>FT-DAT-009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BR-DAT-010</w:t>
            </w:r>
          </w:p>
        </w:tc>
        <w:tc>
          <w:tcPr>
            <w:tcW w:type="dxa" w:w="2498"/>
            <w:vAlign w:val="center"/>
            <w:shd w:fill="FFFFFF"/>
          </w:tcPr>
          <w:p>
            <w:pPr>
              <w:spacing w:after="20" w:before="20" w:line="247" w:lineRule="auto"/>
            </w:pPr>
            <w:r>
              <w:rPr>
                <w:b w:val="0"/>
                <w:i w:val="0"/>
                <w:sz w:val="20"/>
              </w:rPr>
              <w:t>FR-DAT-010</w:t>
            </w:r>
          </w:p>
        </w:tc>
        <w:tc>
          <w:tcPr>
            <w:tcW w:type="dxa" w:w="2798"/>
            <w:vAlign w:val="center"/>
            <w:shd w:fill="FFFFFF"/>
          </w:tcPr>
          <w:p>
            <w:pPr>
              <w:spacing w:after="20" w:before="20" w:line="247" w:lineRule="auto"/>
            </w:pPr>
            <w:r>
              <w:rPr>
                <w:b w:val="0"/>
                <w:i w:val="0"/>
                <w:sz w:val="20"/>
              </w:rPr>
              <w:t>FT-DAT-010</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BR-DAT-011</w:t>
            </w:r>
          </w:p>
        </w:tc>
        <w:tc>
          <w:tcPr>
            <w:tcW w:type="dxa" w:w="2498"/>
            <w:vAlign w:val="center"/>
            <w:shd w:fill="F4F6F8"/>
          </w:tcPr>
          <w:p>
            <w:pPr>
              <w:spacing w:after="20" w:before="20" w:line="247" w:lineRule="auto"/>
            </w:pPr>
            <w:r>
              <w:rPr>
                <w:b w:val="0"/>
                <w:i w:val="0"/>
                <w:sz w:val="20"/>
              </w:rPr>
              <w:t>FR-DAT-011</w:t>
            </w:r>
          </w:p>
        </w:tc>
        <w:tc>
          <w:tcPr>
            <w:tcW w:type="dxa" w:w="2798"/>
            <w:vAlign w:val="center"/>
            <w:shd w:fill="F4F6F8"/>
          </w:tcPr>
          <w:p>
            <w:pPr>
              <w:spacing w:after="20" w:before="20" w:line="247" w:lineRule="auto"/>
            </w:pPr>
            <w:r>
              <w:rPr>
                <w:b w:val="0"/>
                <w:i w:val="0"/>
                <w:sz w:val="20"/>
              </w:rPr>
              <w:t>FT-DAT-011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BR-DAT-012</w:t>
            </w:r>
          </w:p>
        </w:tc>
        <w:tc>
          <w:tcPr>
            <w:tcW w:type="dxa" w:w="2498"/>
            <w:vAlign w:val="center"/>
            <w:shd w:fill="FFFFFF"/>
          </w:tcPr>
          <w:p>
            <w:pPr>
              <w:spacing w:after="20" w:before="20" w:line="247" w:lineRule="auto"/>
            </w:pPr>
            <w:r>
              <w:rPr>
                <w:b w:val="0"/>
                <w:i w:val="0"/>
                <w:sz w:val="20"/>
              </w:rPr>
              <w:t>FR-DAT-012</w:t>
            </w:r>
          </w:p>
        </w:tc>
        <w:tc>
          <w:tcPr>
            <w:tcW w:type="dxa" w:w="2798"/>
            <w:vAlign w:val="center"/>
            <w:shd w:fill="FFFFFF"/>
          </w:tcPr>
          <w:p>
            <w:pPr>
              <w:spacing w:after="20" w:before="20" w:line="247" w:lineRule="auto"/>
            </w:pPr>
            <w:r>
              <w:rPr>
                <w:b w:val="0"/>
                <w:i w:val="0"/>
                <w:sz w:val="20"/>
              </w:rPr>
              <w:t>FT-DAT-012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BR-DQ-001</w:t>
            </w:r>
          </w:p>
        </w:tc>
        <w:tc>
          <w:tcPr>
            <w:tcW w:type="dxa" w:w="2498"/>
            <w:vAlign w:val="center"/>
            <w:shd w:fill="F4F6F8"/>
          </w:tcPr>
          <w:p>
            <w:pPr>
              <w:spacing w:after="20" w:before="20" w:line="247" w:lineRule="auto"/>
            </w:pPr>
            <w:r>
              <w:rPr>
                <w:b w:val="0"/>
                <w:i w:val="0"/>
                <w:sz w:val="20"/>
              </w:rPr>
              <w:t>FR-DQ-001</w:t>
            </w:r>
          </w:p>
        </w:tc>
        <w:tc>
          <w:tcPr>
            <w:tcW w:type="dxa" w:w="2798"/>
            <w:vAlign w:val="center"/>
            <w:shd w:fill="F4F6F8"/>
          </w:tcPr>
          <w:p>
            <w:pPr>
              <w:spacing w:after="20" w:before="20" w:line="247" w:lineRule="auto"/>
            </w:pPr>
            <w:r>
              <w:rPr>
                <w:b w:val="0"/>
                <w:i w:val="0"/>
                <w:sz w:val="20"/>
              </w:rPr>
              <w:t>FT-DQ-001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BR-DQ-002</w:t>
            </w:r>
          </w:p>
        </w:tc>
        <w:tc>
          <w:tcPr>
            <w:tcW w:type="dxa" w:w="2498"/>
            <w:vAlign w:val="center"/>
            <w:shd w:fill="FFFFFF"/>
          </w:tcPr>
          <w:p>
            <w:pPr>
              <w:spacing w:after="20" w:before="20" w:line="247" w:lineRule="auto"/>
            </w:pPr>
            <w:r>
              <w:rPr>
                <w:b w:val="0"/>
                <w:i w:val="0"/>
                <w:sz w:val="20"/>
              </w:rPr>
              <w:t>FR-DQ-002</w:t>
            </w:r>
          </w:p>
        </w:tc>
        <w:tc>
          <w:tcPr>
            <w:tcW w:type="dxa" w:w="2798"/>
            <w:vAlign w:val="center"/>
            <w:shd w:fill="FFFFFF"/>
          </w:tcPr>
          <w:p>
            <w:pPr>
              <w:spacing w:after="20" w:before="20" w:line="247" w:lineRule="auto"/>
            </w:pPr>
            <w:r>
              <w:rPr>
                <w:b w:val="0"/>
                <w:i w:val="0"/>
                <w:sz w:val="20"/>
              </w:rPr>
              <w:t>FT-DQ-002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BR-DQ-003</w:t>
            </w:r>
          </w:p>
        </w:tc>
        <w:tc>
          <w:tcPr>
            <w:tcW w:type="dxa" w:w="2498"/>
            <w:vAlign w:val="center"/>
            <w:shd w:fill="F4F6F8"/>
          </w:tcPr>
          <w:p>
            <w:pPr>
              <w:spacing w:after="20" w:before="20" w:line="247" w:lineRule="auto"/>
            </w:pPr>
            <w:r>
              <w:rPr>
                <w:b w:val="0"/>
                <w:i w:val="0"/>
                <w:sz w:val="20"/>
              </w:rPr>
              <w:t>FR-DQ-003</w:t>
            </w:r>
          </w:p>
        </w:tc>
        <w:tc>
          <w:tcPr>
            <w:tcW w:type="dxa" w:w="2798"/>
            <w:vAlign w:val="center"/>
            <w:shd w:fill="F4F6F8"/>
          </w:tcPr>
          <w:p>
            <w:pPr>
              <w:spacing w:after="20" w:before="20" w:line="247" w:lineRule="auto"/>
            </w:pPr>
            <w:r>
              <w:rPr>
                <w:b w:val="0"/>
                <w:i w:val="0"/>
                <w:sz w:val="20"/>
              </w:rPr>
              <w:t>FT-DQ-003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BR-DQ-004</w:t>
            </w:r>
          </w:p>
        </w:tc>
        <w:tc>
          <w:tcPr>
            <w:tcW w:type="dxa" w:w="2498"/>
            <w:vAlign w:val="center"/>
            <w:shd w:fill="FFFFFF"/>
          </w:tcPr>
          <w:p>
            <w:pPr>
              <w:spacing w:after="20" w:before="20" w:line="247" w:lineRule="auto"/>
            </w:pPr>
            <w:r>
              <w:rPr>
                <w:b w:val="0"/>
                <w:i w:val="0"/>
                <w:sz w:val="20"/>
              </w:rPr>
              <w:t>FR-DQ-004</w:t>
            </w:r>
          </w:p>
        </w:tc>
        <w:tc>
          <w:tcPr>
            <w:tcW w:type="dxa" w:w="2798"/>
            <w:vAlign w:val="center"/>
            <w:shd w:fill="FFFFFF"/>
          </w:tcPr>
          <w:p>
            <w:pPr>
              <w:spacing w:after="20" w:before="20" w:line="247" w:lineRule="auto"/>
            </w:pPr>
            <w:r>
              <w:rPr>
                <w:b w:val="0"/>
                <w:i w:val="0"/>
                <w:sz w:val="20"/>
              </w:rPr>
              <w:t>FT-DQ-004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BR-DQ-005</w:t>
            </w:r>
          </w:p>
        </w:tc>
        <w:tc>
          <w:tcPr>
            <w:tcW w:type="dxa" w:w="2498"/>
            <w:vAlign w:val="center"/>
            <w:shd w:fill="F4F6F8"/>
          </w:tcPr>
          <w:p>
            <w:pPr>
              <w:spacing w:after="20" w:before="20" w:line="247" w:lineRule="auto"/>
            </w:pPr>
            <w:r>
              <w:rPr>
                <w:b w:val="0"/>
                <w:i w:val="0"/>
                <w:sz w:val="20"/>
              </w:rPr>
              <w:t>FR-DQ-005</w:t>
            </w:r>
          </w:p>
        </w:tc>
        <w:tc>
          <w:tcPr>
            <w:tcW w:type="dxa" w:w="2798"/>
            <w:vAlign w:val="center"/>
            <w:shd w:fill="F4F6F8"/>
          </w:tcPr>
          <w:p>
            <w:pPr>
              <w:spacing w:after="20" w:before="20" w:line="247" w:lineRule="auto"/>
            </w:pPr>
            <w:r>
              <w:rPr>
                <w:b w:val="0"/>
                <w:i w:val="0"/>
                <w:sz w:val="20"/>
              </w:rPr>
              <w:t>FT-DQ-005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BR-DQ-006</w:t>
            </w:r>
          </w:p>
        </w:tc>
        <w:tc>
          <w:tcPr>
            <w:tcW w:type="dxa" w:w="2498"/>
            <w:vAlign w:val="center"/>
            <w:shd w:fill="FFFFFF"/>
          </w:tcPr>
          <w:p>
            <w:pPr>
              <w:spacing w:after="20" w:before="20" w:line="247" w:lineRule="auto"/>
            </w:pPr>
            <w:r>
              <w:rPr>
                <w:b w:val="0"/>
                <w:i w:val="0"/>
                <w:sz w:val="20"/>
              </w:rPr>
              <w:t>FR-DQ-006</w:t>
            </w:r>
          </w:p>
        </w:tc>
        <w:tc>
          <w:tcPr>
            <w:tcW w:type="dxa" w:w="2798"/>
            <w:vAlign w:val="center"/>
            <w:shd w:fill="FFFFFF"/>
          </w:tcPr>
          <w:p>
            <w:pPr>
              <w:spacing w:after="20" w:before="20" w:line="247" w:lineRule="auto"/>
            </w:pPr>
            <w:r>
              <w:rPr>
                <w:b w:val="0"/>
                <w:i w:val="0"/>
                <w:sz w:val="20"/>
              </w:rPr>
              <w:t>FT-DQ-006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BR-DQ-007</w:t>
            </w:r>
          </w:p>
        </w:tc>
        <w:tc>
          <w:tcPr>
            <w:tcW w:type="dxa" w:w="2498"/>
            <w:vAlign w:val="center"/>
            <w:shd w:fill="F4F6F8"/>
          </w:tcPr>
          <w:p>
            <w:pPr>
              <w:spacing w:after="20" w:before="20" w:line="247" w:lineRule="auto"/>
            </w:pPr>
            <w:r>
              <w:rPr>
                <w:b w:val="0"/>
                <w:i w:val="0"/>
                <w:sz w:val="20"/>
              </w:rPr>
              <w:t>FR-DQ-007</w:t>
            </w:r>
          </w:p>
        </w:tc>
        <w:tc>
          <w:tcPr>
            <w:tcW w:type="dxa" w:w="2798"/>
            <w:vAlign w:val="center"/>
            <w:shd w:fill="F4F6F8"/>
          </w:tcPr>
          <w:p>
            <w:pPr>
              <w:spacing w:after="20" w:before="20" w:line="247" w:lineRule="auto"/>
            </w:pPr>
            <w:r>
              <w:rPr>
                <w:b w:val="0"/>
                <w:i w:val="0"/>
                <w:sz w:val="20"/>
              </w:rPr>
              <w:t>FT-DQ-007</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BR-DQ-008</w:t>
            </w:r>
          </w:p>
        </w:tc>
        <w:tc>
          <w:tcPr>
            <w:tcW w:type="dxa" w:w="2498"/>
            <w:vAlign w:val="center"/>
            <w:shd w:fill="FFFFFF"/>
          </w:tcPr>
          <w:p>
            <w:pPr>
              <w:spacing w:after="20" w:before="20" w:line="247" w:lineRule="auto"/>
            </w:pPr>
            <w:r>
              <w:rPr>
                <w:b w:val="0"/>
                <w:i w:val="0"/>
                <w:sz w:val="20"/>
              </w:rPr>
              <w:t>FR-DQ-008</w:t>
            </w:r>
          </w:p>
        </w:tc>
        <w:tc>
          <w:tcPr>
            <w:tcW w:type="dxa" w:w="2798"/>
            <w:vAlign w:val="center"/>
            <w:shd w:fill="FFFFFF"/>
          </w:tcPr>
          <w:p>
            <w:pPr>
              <w:spacing w:after="20" w:before="20" w:line="247" w:lineRule="auto"/>
            </w:pPr>
            <w:r>
              <w:rPr>
                <w:b w:val="0"/>
                <w:i w:val="0"/>
                <w:sz w:val="20"/>
              </w:rPr>
              <w:t>FT-DQ-008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BR-PAR-001</w:t>
            </w:r>
          </w:p>
        </w:tc>
        <w:tc>
          <w:tcPr>
            <w:tcW w:type="dxa" w:w="2498"/>
            <w:vAlign w:val="center"/>
            <w:shd w:fill="F4F6F8"/>
          </w:tcPr>
          <w:p>
            <w:pPr>
              <w:spacing w:after="20" w:before="20" w:line="247" w:lineRule="auto"/>
            </w:pPr>
            <w:r>
              <w:rPr>
                <w:b w:val="0"/>
                <w:i w:val="0"/>
                <w:sz w:val="20"/>
              </w:rPr>
              <w:t>FR-PAR-001</w:t>
            </w:r>
          </w:p>
        </w:tc>
        <w:tc>
          <w:tcPr>
            <w:tcW w:type="dxa" w:w="2798"/>
            <w:vAlign w:val="center"/>
            <w:shd w:fill="F4F6F8"/>
          </w:tcPr>
          <w:p>
            <w:pPr>
              <w:spacing w:after="20" w:before="20" w:line="247" w:lineRule="auto"/>
            </w:pPr>
            <w:r>
              <w:rPr>
                <w:b w:val="0"/>
                <w:i w:val="0"/>
                <w:sz w:val="20"/>
              </w:rPr>
              <w:t>FT-PAR-001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BR-PAR-002</w:t>
            </w:r>
          </w:p>
        </w:tc>
        <w:tc>
          <w:tcPr>
            <w:tcW w:type="dxa" w:w="2498"/>
            <w:vAlign w:val="center"/>
            <w:shd w:fill="FFFFFF"/>
          </w:tcPr>
          <w:p>
            <w:pPr>
              <w:spacing w:after="20" w:before="20" w:line="247" w:lineRule="auto"/>
            </w:pPr>
            <w:r>
              <w:rPr>
                <w:b w:val="0"/>
                <w:i w:val="0"/>
                <w:sz w:val="20"/>
              </w:rPr>
              <w:t>FR-PAR-002</w:t>
            </w:r>
          </w:p>
        </w:tc>
        <w:tc>
          <w:tcPr>
            <w:tcW w:type="dxa" w:w="2798"/>
            <w:vAlign w:val="center"/>
            <w:shd w:fill="FFFFFF"/>
          </w:tcPr>
          <w:p>
            <w:pPr>
              <w:spacing w:after="20" w:before="20" w:line="247" w:lineRule="auto"/>
            </w:pPr>
            <w:r>
              <w:rPr>
                <w:b w:val="0"/>
                <w:i w:val="0"/>
                <w:sz w:val="20"/>
              </w:rPr>
              <w:t>FT-PAR-002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BR-PAR-003</w:t>
            </w:r>
          </w:p>
        </w:tc>
        <w:tc>
          <w:tcPr>
            <w:tcW w:type="dxa" w:w="2498"/>
            <w:vAlign w:val="center"/>
            <w:shd w:fill="F4F6F8"/>
          </w:tcPr>
          <w:p>
            <w:pPr>
              <w:spacing w:after="20" w:before="20" w:line="247" w:lineRule="auto"/>
            </w:pPr>
            <w:r>
              <w:rPr>
                <w:b w:val="0"/>
                <w:i w:val="0"/>
                <w:sz w:val="20"/>
              </w:rPr>
              <w:t>FR-PAR-003</w:t>
            </w:r>
          </w:p>
        </w:tc>
        <w:tc>
          <w:tcPr>
            <w:tcW w:type="dxa" w:w="2798"/>
            <w:vAlign w:val="center"/>
            <w:shd w:fill="F4F6F8"/>
          </w:tcPr>
          <w:p>
            <w:pPr>
              <w:spacing w:after="20" w:before="20" w:line="247" w:lineRule="auto"/>
            </w:pPr>
            <w:r>
              <w:rPr>
                <w:b w:val="0"/>
                <w:i w:val="0"/>
                <w:sz w:val="20"/>
              </w:rPr>
              <w:t>FT-PAR-003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BR-PAR-004</w:t>
            </w:r>
          </w:p>
        </w:tc>
        <w:tc>
          <w:tcPr>
            <w:tcW w:type="dxa" w:w="2498"/>
            <w:vAlign w:val="center"/>
            <w:shd w:fill="FFFFFF"/>
          </w:tcPr>
          <w:p>
            <w:pPr>
              <w:spacing w:after="20" w:before="20" w:line="247" w:lineRule="auto"/>
            </w:pPr>
            <w:r>
              <w:rPr>
                <w:b w:val="0"/>
                <w:i w:val="0"/>
                <w:sz w:val="20"/>
              </w:rPr>
              <w:t>FR-PAR-004</w:t>
            </w:r>
          </w:p>
        </w:tc>
        <w:tc>
          <w:tcPr>
            <w:tcW w:type="dxa" w:w="2798"/>
            <w:vAlign w:val="center"/>
            <w:shd w:fill="FFFFFF"/>
          </w:tcPr>
          <w:p>
            <w:pPr>
              <w:spacing w:after="20" w:before="20" w:line="247" w:lineRule="auto"/>
            </w:pPr>
            <w:r>
              <w:rPr>
                <w:b w:val="0"/>
                <w:i w:val="0"/>
                <w:sz w:val="20"/>
              </w:rPr>
              <w:t>FT-PAR-004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BR-PAR-005</w:t>
            </w:r>
          </w:p>
        </w:tc>
        <w:tc>
          <w:tcPr>
            <w:tcW w:type="dxa" w:w="2498"/>
            <w:vAlign w:val="center"/>
            <w:shd w:fill="F4F6F8"/>
          </w:tcPr>
          <w:p>
            <w:pPr>
              <w:spacing w:after="20" w:before="20" w:line="247" w:lineRule="auto"/>
            </w:pPr>
            <w:r>
              <w:rPr>
                <w:b w:val="0"/>
                <w:i w:val="0"/>
                <w:sz w:val="20"/>
              </w:rPr>
              <w:t>FR-PAR-005</w:t>
            </w:r>
          </w:p>
        </w:tc>
        <w:tc>
          <w:tcPr>
            <w:tcW w:type="dxa" w:w="2798"/>
            <w:vAlign w:val="center"/>
            <w:shd w:fill="F4F6F8"/>
          </w:tcPr>
          <w:p>
            <w:pPr>
              <w:spacing w:after="20" w:before="20" w:line="247" w:lineRule="auto"/>
            </w:pPr>
            <w:r>
              <w:rPr>
                <w:b w:val="0"/>
                <w:i w:val="0"/>
                <w:sz w:val="20"/>
              </w:rPr>
              <w:t>FT-PAR-005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BR-PAR-006</w:t>
            </w:r>
          </w:p>
        </w:tc>
        <w:tc>
          <w:tcPr>
            <w:tcW w:type="dxa" w:w="2498"/>
            <w:vAlign w:val="center"/>
            <w:shd w:fill="FFFFFF"/>
          </w:tcPr>
          <w:p>
            <w:pPr>
              <w:spacing w:after="20" w:before="20" w:line="247" w:lineRule="auto"/>
            </w:pPr>
            <w:r>
              <w:rPr>
                <w:b w:val="0"/>
                <w:i w:val="0"/>
                <w:sz w:val="20"/>
              </w:rPr>
              <w:t>FR-PAR-006</w:t>
            </w:r>
          </w:p>
        </w:tc>
        <w:tc>
          <w:tcPr>
            <w:tcW w:type="dxa" w:w="2798"/>
            <w:vAlign w:val="center"/>
            <w:shd w:fill="FFFFFF"/>
          </w:tcPr>
          <w:p>
            <w:pPr>
              <w:spacing w:after="20" w:before="20" w:line="247" w:lineRule="auto"/>
            </w:pPr>
            <w:r>
              <w:rPr>
                <w:b w:val="0"/>
                <w:i w:val="0"/>
                <w:sz w:val="20"/>
              </w:rPr>
              <w:t>FT-PAR-006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BR-PAR-007</w:t>
            </w:r>
          </w:p>
        </w:tc>
        <w:tc>
          <w:tcPr>
            <w:tcW w:type="dxa" w:w="2498"/>
            <w:vAlign w:val="center"/>
            <w:shd w:fill="F4F6F8"/>
          </w:tcPr>
          <w:p>
            <w:pPr>
              <w:spacing w:after="20" w:before="20" w:line="247" w:lineRule="auto"/>
            </w:pPr>
            <w:r>
              <w:rPr>
                <w:b w:val="0"/>
                <w:i w:val="0"/>
                <w:sz w:val="20"/>
              </w:rPr>
              <w:t>FR-PAR-007</w:t>
            </w:r>
          </w:p>
        </w:tc>
        <w:tc>
          <w:tcPr>
            <w:tcW w:type="dxa" w:w="2798"/>
            <w:vAlign w:val="center"/>
            <w:shd w:fill="F4F6F8"/>
          </w:tcPr>
          <w:p>
            <w:pPr>
              <w:spacing w:after="20" w:before="20" w:line="247" w:lineRule="auto"/>
            </w:pPr>
            <w:r>
              <w:rPr>
                <w:b w:val="0"/>
                <w:i w:val="0"/>
                <w:sz w:val="20"/>
              </w:rPr>
              <w:t>FT-PAR-007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BR-PAR-008</w:t>
            </w:r>
          </w:p>
        </w:tc>
        <w:tc>
          <w:tcPr>
            <w:tcW w:type="dxa" w:w="2498"/>
            <w:vAlign w:val="center"/>
            <w:shd w:fill="FFFFFF"/>
          </w:tcPr>
          <w:p>
            <w:pPr>
              <w:spacing w:after="20" w:before="20" w:line="247" w:lineRule="auto"/>
            </w:pPr>
            <w:r>
              <w:rPr>
                <w:b w:val="0"/>
                <w:i w:val="0"/>
                <w:sz w:val="20"/>
              </w:rPr>
              <w:t>FR-PAR-008</w:t>
            </w:r>
          </w:p>
        </w:tc>
        <w:tc>
          <w:tcPr>
            <w:tcW w:type="dxa" w:w="2798"/>
            <w:vAlign w:val="center"/>
            <w:shd w:fill="FFFFFF"/>
          </w:tcPr>
          <w:p>
            <w:pPr>
              <w:spacing w:after="20" w:before="20" w:line="247" w:lineRule="auto"/>
            </w:pPr>
            <w:r>
              <w:rPr>
                <w:b w:val="0"/>
                <w:i w:val="0"/>
                <w:sz w:val="20"/>
              </w:rPr>
              <w:t>FT-PAR-008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BR-EVD-001</w:t>
            </w:r>
          </w:p>
        </w:tc>
        <w:tc>
          <w:tcPr>
            <w:tcW w:type="dxa" w:w="2498"/>
            <w:vAlign w:val="center"/>
            <w:shd w:fill="F4F6F8"/>
          </w:tcPr>
          <w:p>
            <w:pPr>
              <w:spacing w:after="20" w:before="20" w:line="247" w:lineRule="auto"/>
            </w:pPr>
            <w:r>
              <w:rPr>
                <w:b w:val="0"/>
                <w:i w:val="0"/>
                <w:sz w:val="20"/>
              </w:rPr>
              <w:t>FR-EVD-001</w:t>
            </w:r>
          </w:p>
        </w:tc>
        <w:tc>
          <w:tcPr>
            <w:tcW w:type="dxa" w:w="2798"/>
            <w:vAlign w:val="center"/>
            <w:shd w:fill="F4F6F8"/>
          </w:tcPr>
          <w:p>
            <w:pPr>
              <w:spacing w:after="20" w:before="20" w:line="247" w:lineRule="auto"/>
            </w:pPr>
            <w:r>
              <w:rPr>
                <w:b w:val="0"/>
                <w:i w:val="0"/>
                <w:sz w:val="20"/>
              </w:rPr>
              <w:t>FT-EVD-001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BR-EVD-002</w:t>
            </w:r>
          </w:p>
        </w:tc>
        <w:tc>
          <w:tcPr>
            <w:tcW w:type="dxa" w:w="2498"/>
            <w:vAlign w:val="center"/>
            <w:shd w:fill="FFFFFF"/>
          </w:tcPr>
          <w:p>
            <w:pPr>
              <w:spacing w:after="20" w:before="20" w:line="247" w:lineRule="auto"/>
            </w:pPr>
            <w:r>
              <w:rPr>
                <w:b w:val="0"/>
                <w:i w:val="0"/>
                <w:sz w:val="20"/>
              </w:rPr>
              <w:t>FR-EVD-002</w:t>
            </w:r>
          </w:p>
        </w:tc>
        <w:tc>
          <w:tcPr>
            <w:tcW w:type="dxa" w:w="2798"/>
            <w:vAlign w:val="center"/>
            <w:shd w:fill="FFFFFF"/>
          </w:tcPr>
          <w:p>
            <w:pPr>
              <w:spacing w:after="20" w:before="20" w:line="247" w:lineRule="auto"/>
            </w:pPr>
            <w:r>
              <w:rPr>
                <w:b w:val="0"/>
                <w:i w:val="0"/>
                <w:sz w:val="20"/>
              </w:rPr>
              <w:t>FT-EVD-002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BR-EVD-003</w:t>
            </w:r>
          </w:p>
        </w:tc>
        <w:tc>
          <w:tcPr>
            <w:tcW w:type="dxa" w:w="2498"/>
            <w:vAlign w:val="center"/>
            <w:shd w:fill="F4F6F8"/>
          </w:tcPr>
          <w:p>
            <w:pPr>
              <w:spacing w:after="20" w:before="20" w:line="247" w:lineRule="auto"/>
            </w:pPr>
            <w:r>
              <w:rPr>
                <w:b w:val="0"/>
                <w:i w:val="0"/>
                <w:sz w:val="20"/>
              </w:rPr>
              <w:t>FR-EVD-003</w:t>
            </w:r>
          </w:p>
        </w:tc>
        <w:tc>
          <w:tcPr>
            <w:tcW w:type="dxa" w:w="2798"/>
            <w:vAlign w:val="center"/>
            <w:shd w:fill="F4F6F8"/>
          </w:tcPr>
          <w:p>
            <w:pPr>
              <w:spacing w:after="20" w:before="20" w:line="247" w:lineRule="auto"/>
            </w:pPr>
            <w:r>
              <w:rPr>
                <w:b w:val="0"/>
                <w:i w:val="0"/>
                <w:sz w:val="20"/>
              </w:rPr>
              <w:t>FT-EVD-003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BR-EVD-004</w:t>
            </w:r>
          </w:p>
        </w:tc>
        <w:tc>
          <w:tcPr>
            <w:tcW w:type="dxa" w:w="2498"/>
            <w:vAlign w:val="center"/>
            <w:shd w:fill="FFFFFF"/>
          </w:tcPr>
          <w:p>
            <w:pPr>
              <w:spacing w:after="20" w:before="20" w:line="247" w:lineRule="auto"/>
            </w:pPr>
            <w:r>
              <w:rPr>
                <w:b w:val="0"/>
                <w:i w:val="0"/>
                <w:sz w:val="20"/>
              </w:rPr>
              <w:t>FR-EVD-004</w:t>
            </w:r>
          </w:p>
        </w:tc>
        <w:tc>
          <w:tcPr>
            <w:tcW w:type="dxa" w:w="2798"/>
            <w:vAlign w:val="center"/>
            <w:shd w:fill="FFFFFF"/>
          </w:tcPr>
          <w:p>
            <w:pPr>
              <w:spacing w:after="20" w:before="20" w:line="247" w:lineRule="auto"/>
            </w:pPr>
            <w:r>
              <w:rPr>
                <w:b w:val="0"/>
                <w:i w:val="0"/>
                <w:sz w:val="20"/>
              </w:rPr>
              <w:t>FT-EVD-004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BR-EVD-005</w:t>
            </w:r>
          </w:p>
        </w:tc>
        <w:tc>
          <w:tcPr>
            <w:tcW w:type="dxa" w:w="2498"/>
            <w:vAlign w:val="center"/>
            <w:shd w:fill="F4F6F8"/>
          </w:tcPr>
          <w:p>
            <w:pPr>
              <w:spacing w:after="20" w:before="20" w:line="247" w:lineRule="auto"/>
            </w:pPr>
            <w:r>
              <w:rPr>
                <w:b w:val="0"/>
                <w:i w:val="0"/>
                <w:sz w:val="20"/>
              </w:rPr>
              <w:t>FR-EVD-005</w:t>
            </w:r>
          </w:p>
        </w:tc>
        <w:tc>
          <w:tcPr>
            <w:tcW w:type="dxa" w:w="2798"/>
            <w:vAlign w:val="center"/>
            <w:shd w:fill="F4F6F8"/>
          </w:tcPr>
          <w:p>
            <w:pPr>
              <w:spacing w:after="20" w:before="20" w:line="247" w:lineRule="auto"/>
            </w:pPr>
            <w:r>
              <w:rPr>
                <w:b w:val="0"/>
                <w:i w:val="0"/>
                <w:sz w:val="20"/>
              </w:rPr>
              <w:t>FT-EVD-005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BR-EVD-006</w:t>
            </w:r>
          </w:p>
        </w:tc>
        <w:tc>
          <w:tcPr>
            <w:tcW w:type="dxa" w:w="2498"/>
            <w:vAlign w:val="center"/>
            <w:shd w:fill="FFFFFF"/>
          </w:tcPr>
          <w:p>
            <w:pPr>
              <w:spacing w:after="20" w:before="20" w:line="247" w:lineRule="auto"/>
            </w:pPr>
            <w:r>
              <w:rPr>
                <w:b w:val="0"/>
                <w:i w:val="0"/>
                <w:sz w:val="20"/>
              </w:rPr>
              <w:t>FR-EVD-006</w:t>
            </w:r>
          </w:p>
        </w:tc>
        <w:tc>
          <w:tcPr>
            <w:tcW w:type="dxa" w:w="2798"/>
            <w:vAlign w:val="center"/>
            <w:shd w:fill="FFFFFF"/>
          </w:tcPr>
          <w:p>
            <w:pPr>
              <w:spacing w:after="20" w:before="20" w:line="247" w:lineRule="auto"/>
            </w:pPr>
            <w:r>
              <w:rPr>
                <w:b w:val="0"/>
                <w:i w:val="0"/>
                <w:sz w:val="20"/>
              </w:rPr>
              <w:t>FT-EVD-006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BR-EVD-007</w:t>
            </w:r>
          </w:p>
        </w:tc>
        <w:tc>
          <w:tcPr>
            <w:tcW w:type="dxa" w:w="2498"/>
            <w:vAlign w:val="center"/>
            <w:shd w:fill="F4F6F8"/>
          </w:tcPr>
          <w:p>
            <w:pPr>
              <w:spacing w:after="20" w:before="20" w:line="247" w:lineRule="auto"/>
            </w:pPr>
            <w:r>
              <w:rPr>
                <w:b w:val="0"/>
                <w:i w:val="0"/>
                <w:sz w:val="20"/>
              </w:rPr>
              <w:t>FR-EVD-007</w:t>
            </w:r>
          </w:p>
        </w:tc>
        <w:tc>
          <w:tcPr>
            <w:tcW w:type="dxa" w:w="2798"/>
            <w:vAlign w:val="center"/>
            <w:shd w:fill="F4F6F8"/>
          </w:tcPr>
          <w:p>
            <w:pPr>
              <w:spacing w:after="20" w:before="20" w:line="247" w:lineRule="auto"/>
            </w:pPr>
            <w:r>
              <w:rPr>
                <w:b w:val="0"/>
                <w:i w:val="0"/>
                <w:sz w:val="20"/>
              </w:rPr>
              <w:t>FT-EVD-007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BR-EVD-008</w:t>
            </w:r>
          </w:p>
        </w:tc>
        <w:tc>
          <w:tcPr>
            <w:tcW w:type="dxa" w:w="2498"/>
            <w:vAlign w:val="center"/>
            <w:shd w:fill="FFFFFF"/>
          </w:tcPr>
          <w:p>
            <w:pPr>
              <w:spacing w:after="20" w:before="20" w:line="247" w:lineRule="auto"/>
            </w:pPr>
            <w:r>
              <w:rPr>
                <w:b w:val="0"/>
                <w:i w:val="0"/>
                <w:sz w:val="20"/>
              </w:rPr>
              <w:t>FR-EVD-008</w:t>
            </w:r>
          </w:p>
        </w:tc>
        <w:tc>
          <w:tcPr>
            <w:tcW w:type="dxa" w:w="2798"/>
            <w:vAlign w:val="center"/>
            <w:shd w:fill="FFFFFF"/>
          </w:tcPr>
          <w:p>
            <w:pPr>
              <w:spacing w:after="20" w:before="20" w:line="247" w:lineRule="auto"/>
            </w:pPr>
            <w:r>
              <w:rPr>
                <w:b w:val="0"/>
                <w:i w:val="0"/>
                <w:sz w:val="20"/>
              </w:rPr>
              <w:t>FT-EVD-008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BR-EVA-001</w:t>
            </w:r>
          </w:p>
        </w:tc>
        <w:tc>
          <w:tcPr>
            <w:tcW w:type="dxa" w:w="2498"/>
            <w:vAlign w:val="center"/>
            <w:shd w:fill="F4F6F8"/>
          </w:tcPr>
          <w:p>
            <w:pPr>
              <w:spacing w:after="20" w:before="20" w:line="247" w:lineRule="auto"/>
            </w:pPr>
            <w:r>
              <w:rPr>
                <w:b w:val="0"/>
                <w:i w:val="0"/>
                <w:sz w:val="20"/>
              </w:rPr>
              <w:t>FR-EVA-001</w:t>
            </w:r>
          </w:p>
        </w:tc>
        <w:tc>
          <w:tcPr>
            <w:tcW w:type="dxa" w:w="2798"/>
            <w:vAlign w:val="center"/>
            <w:shd w:fill="F4F6F8"/>
          </w:tcPr>
          <w:p>
            <w:pPr>
              <w:spacing w:after="20" w:before="20" w:line="247" w:lineRule="auto"/>
            </w:pPr>
            <w:r>
              <w:rPr>
                <w:b w:val="0"/>
                <w:i w:val="0"/>
                <w:sz w:val="20"/>
              </w:rPr>
              <w:t>FT-EVA-001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BR-EVA-002</w:t>
            </w:r>
          </w:p>
        </w:tc>
        <w:tc>
          <w:tcPr>
            <w:tcW w:type="dxa" w:w="2498"/>
            <w:vAlign w:val="center"/>
            <w:shd w:fill="FFFFFF"/>
          </w:tcPr>
          <w:p>
            <w:pPr>
              <w:spacing w:after="20" w:before="20" w:line="247" w:lineRule="auto"/>
            </w:pPr>
            <w:r>
              <w:rPr>
                <w:b w:val="0"/>
                <w:i w:val="0"/>
                <w:sz w:val="20"/>
              </w:rPr>
              <w:t>FR-EVA-002</w:t>
            </w:r>
          </w:p>
        </w:tc>
        <w:tc>
          <w:tcPr>
            <w:tcW w:type="dxa" w:w="2798"/>
            <w:vAlign w:val="center"/>
            <w:shd w:fill="FFFFFF"/>
          </w:tcPr>
          <w:p>
            <w:pPr>
              <w:spacing w:after="20" w:before="20" w:line="247" w:lineRule="auto"/>
            </w:pPr>
            <w:r>
              <w:rPr>
                <w:b w:val="0"/>
                <w:i w:val="0"/>
                <w:sz w:val="20"/>
              </w:rPr>
              <w:t>FT-EVA-002</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BR-EVA-003</w:t>
            </w:r>
          </w:p>
        </w:tc>
        <w:tc>
          <w:tcPr>
            <w:tcW w:type="dxa" w:w="2498"/>
            <w:vAlign w:val="center"/>
            <w:shd w:fill="F4F6F8"/>
          </w:tcPr>
          <w:p>
            <w:pPr>
              <w:spacing w:after="20" w:before="20" w:line="247" w:lineRule="auto"/>
            </w:pPr>
            <w:r>
              <w:rPr>
                <w:b w:val="0"/>
                <w:i w:val="0"/>
                <w:sz w:val="20"/>
              </w:rPr>
              <w:t>FR-EVA-003</w:t>
            </w:r>
          </w:p>
        </w:tc>
        <w:tc>
          <w:tcPr>
            <w:tcW w:type="dxa" w:w="2798"/>
            <w:vAlign w:val="center"/>
            <w:shd w:fill="F4F6F8"/>
          </w:tcPr>
          <w:p>
            <w:pPr>
              <w:spacing w:after="20" w:before="20" w:line="247" w:lineRule="auto"/>
            </w:pPr>
            <w:r>
              <w:rPr>
                <w:b w:val="0"/>
                <w:i w:val="0"/>
                <w:sz w:val="20"/>
              </w:rPr>
              <w:t>FT-EVA-003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BR-EVA-004</w:t>
            </w:r>
          </w:p>
        </w:tc>
        <w:tc>
          <w:tcPr>
            <w:tcW w:type="dxa" w:w="2498"/>
            <w:vAlign w:val="center"/>
            <w:shd w:fill="FFFFFF"/>
          </w:tcPr>
          <w:p>
            <w:pPr>
              <w:spacing w:after="20" w:before="20" w:line="247" w:lineRule="auto"/>
            </w:pPr>
            <w:r>
              <w:rPr>
                <w:b w:val="0"/>
                <w:i w:val="0"/>
                <w:sz w:val="20"/>
              </w:rPr>
              <w:t>FR-EVA-004</w:t>
            </w:r>
          </w:p>
        </w:tc>
        <w:tc>
          <w:tcPr>
            <w:tcW w:type="dxa" w:w="2798"/>
            <w:vAlign w:val="center"/>
            <w:shd w:fill="FFFFFF"/>
          </w:tcPr>
          <w:p>
            <w:pPr>
              <w:spacing w:after="20" w:before="20" w:line="247" w:lineRule="auto"/>
            </w:pPr>
            <w:r>
              <w:rPr>
                <w:b w:val="0"/>
                <w:i w:val="0"/>
                <w:sz w:val="20"/>
              </w:rPr>
              <w:t>FT-EVA-004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BR-EVA-005</w:t>
            </w:r>
          </w:p>
        </w:tc>
        <w:tc>
          <w:tcPr>
            <w:tcW w:type="dxa" w:w="2498"/>
            <w:vAlign w:val="center"/>
            <w:shd w:fill="F4F6F8"/>
          </w:tcPr>
          <w:p>
            <w:pPr>
              <w:spacing w:after="20" w:before="20" w:line="247" w:lineRule="auto"/>
            </w:pPr>
            <w:r>
              <w:rPr>
                <w:b w:val="0"/>
                <w:i w:val="0"/>
                <w:sz w:val="20"/>
              </w:rPr>
              <w:t>FR-EVA-005</w:t>
            </w:r>
          </w:p>
        </w:tc>
        <w:tc>
          <w:tcPr>
            <w:tcW w:type="dxa" w:w="2798"/>
            <w:vAlign w:val="center"/>
            <w:shd w:fill="F4F6F8"/>
          </w:tcPr>
          <w:p>
            <w:pPr>
              <w:spacing w:after="20" w:before="20" w:line="247" w:lineRule="auto"/>
            </w:pPr>
            <w:r>
              <w:rPr>
                <w:b w:val="0"/>
                <w:i w:val="0"/>
                <w:sz w:val="20"/>
              </w:rPr>
              <w:t>FT-EVA-005</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BR-EVA-006</w:t>
            </w:r>
          </w:p>
        </w:tc>
        <w:tc>
          <w:tcPr>
            <w:tcW w:type="dxa" w:w="2498"/>
            <w:vAlign w:val="center"/>
            <w:shd w:fill="FFFFFF"/>
          </w:tcPr>
          <w:p>
            <w:pPr>
              <w:spacing w:after="20" w:before="20" w:line="247" w:lineRule="auto"/>
            </w:pPr>
            <w:r>
              <w:rPr>
                <w:b w:val="0"/>
                <w:i w:val="0"/>
                <w:sz w:val="20"/>
              </w:rPr>
              <w:t>FR-EVA-006</w:t>
            </w:r>
          </w:p>
        </w:tc>
        <w:tc>
          <w:tcPr>
            <w:tcW w:type="dxa" w:w="2798"/>
            <w:vAlign w:val="center"/>
            <w:shd w:fill="FFFFFF"/>
          </w:tcPr>
          <w:p>
            <w:pPr>
              <w:spacing w:after="20" w:before="20" w:line="247" w:lineRule="auto"/>
            </w:pPr>
            <w:r>
              <w:rPr>
                <w:b w:val="0"/>
                <w:i w:val="0"/>
                <w:sz w:val="20"/>
              </w:rPr>
              <w:t>FT-EVA-006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BR-EVA-007</w:t>
            </w:r>
          </w:p>
        </w:tc>
        <w:tc>
          <w:tcPr>
            <w:tcW w:type="dxa" w:w="2498"/>
            <w:vAlign w:val="center"/>
            <w:shd w:fill="F4F6F8"/>
          </w:tcPr>
          <w:p>
            <w:pPr>
              <w:spacing w:after="20" w:before="20" w:line="247" w:lineRule="auto"/>
            </w:pPr>
            <w:r>
              <w:rPr>
                <w:b w:val="0"/>
                <w:i w:val="0"/>
                <w:sz w:val="20"/>
              </w:rPr>
              <w:t>FR-EVA-007</w:t>
            </w:r>
          </w:p>
        </w:tc>
        <w:tc>
          <w:tcPr>
            <w:tcW w:type="dxa" w:w="2798"/>
            <w:vAlign w:val="center"/>
            <w:shd w:fill="F4F6F8"/>
          </w:tcPr>
          <w:p>
            <w:pPr>
              <w:spacing w:after="20" w:before="20" w:line="247" w:lineRule="auto"/>
            </w:pPr>
            <w:r>
              <w:rPr>
                <w:b w:val="0"/>
                <w:i w:val="0"/>
                <w:sz w:val="20"/>
              </w:rPr>
              <w:t>FT-EVA-007</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BR-EVA-008</w:t>
            </w:r>
          </w:p>
        </w:tc>
        <w:tc>
          <w:tcPr>
            <w:tcW w:type="dxa" w:w="2498"/>
            <w:vAlign w:val="center"/>
            <w:shd w:fill="FFFFFF"/>
          </w:tcPr>
          <w:p>
            <w:pPr>
              <w:spacing w:after="20" w:before="20" w:line="247" w:lineRule="auto"/>
            </w:pPr>
            <w:r>
              <w:rPr>
                <w:b w:val="0"/>
                <w:i w:val="0"/>
                <w:sz w:val="20"/>
              </w:rPr>
              <w:t>FR-EVA-008</w:t>
            </w:r>
          </w:p>
        </w:tc>
        <w:tc>
          <w:tcPr>
            <w:tcW w:type="dxa" w:w="2798"/>
            <w:vAlign w:val="center"/>
            <w:shd w:fill="FFFFFF"/>
          </w:tcPr>
          <w:p>
            <w:pPr>
              <w:spacing w:after="20" w:before="20" w:line="247" w:lineRule="auto"/>
            </w:pPr>
            <w:r>
              <w:rPr>
                <w:b w:val="0"/>
                <w:i w:val="0"/>
                <w:sz w:val="20"/>
              </w:rPr>
              <w:t>FT-EVA-008</w:t>
            </w:r>
          </w:p>
        </w:tc>
        <w:tc>
          <w:tcPr>
            <w:tcW w:type="dxa" w:w="2199"/>
            <w:vAlign w:val="center"/>
            <w:shd w:fill="FFFFFF"/>
          </w:tcPr>
          <w:p>
            <w:pPr>
              <w:spacing w:after="20" w:before="20" w:line="247" w:lineRule="auto"/>
            </w:pPr>
            <w:r>
              <w:rPr>
                <w:b w:val="0"/>
                <w:i w:val="0"/>
                <w:sz w:val="20"/>
              </w:rPr>
              <w:t>P2 R3</w:t>
            </w:r>
          </w:p>
        </w:tc>
      </w:tr>
      <w:tr>
        <w:trPr>
          <w:cantSplit/>
        </w:trPr>
        <w:tc>
          <w:tcPr>
            <w:tcW w:type="dxa" w:w="2498"/>
            <w:vAlign w:val="center"/>
            <w:shd w:fill="F4F6F8"/>
          </w:tcPr>
          <w:p>
            <w:pPr>
              <w:spacing w:after="20" w:before="20" w:line="247" w:lineRule="auto"/>
            </w:pPr>
            <w:r>
              <w:rPr>
                <w:b w:val="0"/>
                <w:i w:val="0"/>
                <w:sz w:val="20"/>
              </w:rPr>
              <w:t>BR-WFL-001</w:t>
            </w:r>
          </w:p>
        </w:tc>
        <w:tc>
          <w:tcPr>
            <w:tcW w:type="dxa" w:w="2498"/>
            <w:vAlign w:val="center"/>
            <w:shd w:fill="F4F6F8"/>
          </w:tcPr>
          <w:p>
            <w:pPr>
              <w:spacing w:after="20" w:before="20" w:line="247" w:lineRule="auto"/>
            </w:pPr>
            <w:r>
              <w:rPr>
                <w:b w:val="0"/>
                <w:i w:val="0"/>
                <w:sz w:val="20"/>
              </w:rPr>
              <w:t>FR-WFL-001</w:t>
            </w:r>
          </w:p>
        </w:tc>
        <w:tc>
          <w:tcPr>
            <w:tcW w:type="dxa" w:w="2798"/>
            <w:vAlign w:val="center"/>
            <w:shd w:fill="F4F6F8"/>
          </w:tcPr>
          <w:p>
            <w:pPr>
              <w:spacing w:after="20" w:before="20" w:line="247" w:lineRule="auto"/>
            </w:pPr>
            <w:r>
              <w:rPr>
                <w:b w:val="0"/>
                <w:i w:val="0"/>
                <w:sz w:val="20"/>
              </w:rPr>
              <w:t>FT-WFL-001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BR-WFL-002</w:t>
            </w:r>
          </w:p>
        </w:tc>
        <w:tc>
          <w:tcPr>
            <w:tcW w:type="dxa" w:w="2498"/>
            <w:vAlign w:val="center"/>
            <w:shd w:fill="FFFFFF"/>
          </w:tcPr>
          <w:p>
            <w:pPr>
              <w:spacing w:after="20" w:before="20" w:line="247" w:lineRule="auto"/>
            </w:pPr>
            <w:r>
              <w:rPr>
                <w:b w:val="0"/>
                <w:i w:val="0"/>
                <w:sz w:val="20"/>
              </w:rPr>
              <w:t>FR-WFL-002</w:t>
            </w:r>
          </w:p>
        </w:tc>
        <w:tc>
          <w:tcPr>
            <w:tcW w:type="dxa" w:w="2798"/>
            <w:vAlign w:val="center"/>
            <w:shd w:fill="FFFFFF"/>
          </w:tcPr>
          <w:p>
            <w:pPr>
              <w:spacing w:after="20" w:before="20" w:line="247" w:lineRule="auto"/>
            </w:pPr>
            <w:r>
              <w:rPr>
                <w:b w:val="0"/>
                <w:i w:val="0"/>
                <w:sz w:val="20"/>
              </w:rPr>
              <w:t>FT-WFL-002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BR-WFL-003</w:t>
            </w:r>
          </w:p>
        </w:tc>
        <w:tc>
          <w:tcPr>
            <w:tcW w:type="dxa" w:w="2498"/>
            <w:vAlign w:val="center"/>
            <w:shd w:fill="F4F6F8"/>
          </w:tcPr>
          <w:p>
            <w:pPr>
              <w:spacing w:after="20" w:before="20" w:line="247" w:lineRule="auto"/>
            </w:pPr>
            <w:r>
              <w:rPr>
                <w:b w:val="0"/>
                <w:i w:val="0"/>
                <w:sz w:val="20"/>
              </w:rPr>
              <w:t>FR-WFL-003</w:t>
            </w:r>
          </w:p>
        </w:tc>
        <w:tc>
          <w:tcPr>
            <w:tcW w:type="dxa" w:w="2798"/>
            <w:vAlign w:val="center"/>
            <w:shd w:fill="F4F6F8"/>
          </w:tcPr>
          <w:p>
            <w:pPr>
              <w:spacing w:after="20" w:before="20" w:line="247" w:lineRule="auto"/>
            </w:pPr>
            <w:r>
              <w:rPr>
                <w:b w:val="0"/>
                <w:i w:val="0"/>
                <w:sz w:val="20"/>
              </w:rPr>
              <w:t>FT-WFL-003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BR-WFL-004</w:t>
            </w:r>
          </w:p>
        </w:tc>
        <w:tc>
          <w:tcPr>
            <w:tcW w:type="dxa" w:w="2498"/>
            <w:vAlign w:val="center"/>
            <w:shd w:fill="FFFFFF"/>
          </w:tcPr>
          <w:p>
            <w:pPr>
              <w:spacing w:after="20" w:before="20" w:line="247" w:lineRule="auto"/>
            </w:pPr>
            <w:r>
              <w:rPr>
                <w:b w:val="0"/>
                <w:i w:val="0"/>
                <w:sz w:val="20"/>
              </w:rPr>
              <w:t>FR-WFL-004</w:t>
            </w:r>
          </w:p>
        </w:tc>
        <w:tc>
          <w:tcPr>
            <w:tcW w:type="dxa" w:w="2798"/>
            <w:vAlign w:val="center"/>
            <w:shd w:fill="FFFFFF"/>
          </w:tcPr>
          <w:p>
            <w:pPr>
              <w:spacing w:after="20" w:before="20" w:line="247" w:lineRule="auto"/>
            </w:pPr>
            <w:r>
              <w:rPr>
                <w:b w:val="0"/>
                <w:i w:val="0"/>
                <w:sz w:val="20"/>
              </w:rPr>
              <w:t>FT-WFL-004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BR-WFL-005</w:t>
            </w:r>
          </w:p>
        </w:tc>
        <w:tc>
          <w:tcPr>
            <w:tcW w:type="dxa" w:w="2498"/>
            <w:vAlign w:val="center"/>
            <w:shd w:fill="F4F6F8"/>
          </w:tcPr>
          <w:p>
            <w:pPr>
              <w:spacing w:after="20" w:before="20" w:line="247" w:lineRule="auto"/>
            </w:pPr>
            <w:r>
              <w:rPr>
                <w:b w:val="0"/>
                <w:i w:val="0"/>
                <w:sz w:val="20"/>
              </w:rPr>
              <w:t>FR-WFL-005</w:t>
            </w:r>
          </w:p>
        </w:tc>
        <w:tc>
          <w:tcPr>
            <w:tcW w:type="dxa" w:w="2798"/>
            <w:vAlign w:val="center"/>
            <w:shd w:fill="F4F6F8"/>
          </w:tcPr>
          <w:p>
            <w:pPr>
              <w:spacing w:after="20" w:before="20" w:line="247" w:lineRule="auto"/>
            </w:pPr>
            <w:r>
              <w:rPr>
                <w:b w:val="0"/>
                <w:i w:val="0"/>
                <w:sz w:val="20"/>
              </w:rPr>
              <w:t>FT-WFL-005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BR-WFL-006</w:t>
            </w:r>
          </w:p>
        </w:tc>
        <w:tc>
          <w:tcPr>
            <w:tcW w:type="dxa" w:w="2498"/>
            <w:vAlign w:val="center"/>
            <w:shd w:fill="FFFFFF"/>
          </w:tcPr>
          <w:p>
            <w:pPr>
              <w:spacing w:after="20" w:before="20" w:line="247" w:lineRule="auto"/>
            </w:pPr>
            <w:r>
              <w:rPr>
                <w:b w:val="0"/>
                <w:i w:val="0"/>
                <w:sz w:val="20"/>
              </w:rPr>
              <w:t>FR-WFL-006</w:t>
            </w:r>
          </w:p>
        </w:tc>
        <w:tc>
          <w:tcPr>
            <w:tcW w:type="dxa" w:w="2798"/>
            <w:vAlign w:val="center"/>
            <w:shd w:fill="FFFFFF"/>
          </w:tcPr>
          <w:p>
            <w:pPr>
              <w:spacing w:after="20" w:before="20" w:line="247" w:lineRule="auto"/>
            </w:pPr>
            <w:r>
              <w:rPr>
                <w:b w:val="0"/>
                <w:i w:val="0"/>
                <w:sz w:val="20"/>
              </w:rPr>
              <w:t>FT-WFL-006</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BR-WFL-007</w:t>
            </w:r>
          </w:p>
        </w:tc>
        <w:tc>
          <w:tcPr>
            <w:tcW w:type="dxa" w:w="2498"/>
            <w:vAlign w:val="center"/>
            <w:shd w:fill="F4F6F8"/>
          </w:tcPr>
          <w:p>
            <w:pPr>
              <w:spacing w:after="20" w:before="20" w:line="247" w:lineRule="auto"/>
            </w:pPr>
            <w:r>
              <w:rPr>
                <w:b w:val="0"/>
                <w:i w:val="0"/>
                <w:sz w:val="20"/>
              </w:rPr>
              <w:t>FR-WFL-007</w:t>
            </w:r>
          </w:p>
        </w:tc>
        <w:tc>
          <w:tcPr>
            <w:tcW w:type="dxa" w:w="2798"/>
            <w:vAlign w:val="center"/>
            <w:shd w:fill="F4F6F8"/>
          </w:tcPr>
          <w:p>
            <w:pPr>
              <w:spacing w:after="20" w:before="20" w:line="247" w:lineRule="auto"/>
            </w:pPr>
            <w:r>
              <w:rPr>
                <w:b w:val="0"/>
                <w:i w:val="0"/>
                <w:sz w:val="20"/>
              </w:rPr>
              <w:t>FT-WFL-007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BR-WFL-008</w:t>
            </w:r>
          </w:p>
        </w:tc>
        <w:tc>
          <w:tcPr>
            <w:tcW w:type="dxa" w:w="2498"/>
            <w:vAlign w:val="center"/>
            <w:shd w:fill="FFFFFF"/>
          </w:tcPr>
          <w:p>
            <w:pPr>
              <w:spacing w:after="20" w:before="20" w:line="247" w:lineRule="auto"/>
            </w:pPr>
            <w:r>
              <w:rPr>
                <w:b w:val="0"/>
                <w:i w:val="0"/>
                <w:sz w:val="20"/>
              </w:rPr>
              <w:t>FR-WFL-008</w:t>
            </w:r>
          </w:p>
        </w:tc>
        <w:tc>
          <w:tcPr>
            <w:tcW w:type="dxa" w:w="2798"/>
            <w:vAlign w:val="center"/>
            <w:shd w:fill="FFFFFF"/>
          </w:tcPr>
          <w:p>
            <w:pPr>
              <w:spacing w:after="20" w:before="20" w:line="247" w:lineRule="auto"/>
            </w:pPr>
            <w:r>
              <w:rPr>
                <w:b w:val="0"/>
                <w:i w:val="0"/>
                <w:sz w:val="20"/>
              </w:rPr>
              <w:t>FT-WFL-008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BR-WFL-009</w:t>
            </w:r>
          </w:p>
        </w:tc>
        <w:tc>
          <w:tcPr>
            <w:tcW w:type="dxa" w:w="2498"/>
            <w:vAlign w:val="center"/>
            <w:shd w:fill="F4F6F8"/>
          </w:tcPr>
          <w:p>
            <w:pPr>
              <w:spacing w:after="20" w:before="20" w:line="247" w:lineRule="auto"/>
            </w:pPr>
            <w:r>
              <w:rPr>
                <w:b w:val="0"/>
                <w:i w:val="0"/>
                <w:sz w:val="20"/>
              </w:rPr>
              <w:t>FR-WFL-009</w:t>
            </w:r>
          </w:p>
        </w:tc>
        <w:tc>
          <w:tcPr>
            <w:tcW w:type="dxa" w:w="2798"/>
            <w:vAlign w:val="center"/>
            <w:shd w:fill="F4F6F8"/>
          </w:tcPr>
          <w:p>
            <w:pPr>
              <w:spacing w:after="20" w:before="20" w:line="247" w:lineRule="auto"/>
            </w:pPr>
            <w:r>
              <w:rPr>
                <w:b w:val="0"/>
                <w:i w:val="0"/>
                <w:sz w:val="20"/>
              </w:rPr>
              <w:t>FT-WFL-009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BR-WFL-010</w:t>
            </w:r>
          </w:p>
        </w:tc>
        <w:tc>
          <w:tcPr>
            <w:tcW w:type="dxa" w:w="2498"/>
            <w:vAlign w:val="center"/>
            <w:shd w:fill="FFFFFF"/>
          </w:tcPr>
          <w:p>
            <w:pPr>
              <w:spacing w:after="20" w:before="20" w:line="247" w:lineRule="auto"/>
            </w:pPr>
            <w:r>
              <w:rPr>
                <w:b w:val="0"/>
                <w:i w:val="0"/>
                <w:sz w:val="20"/>
              </w:rPr>
              <w:t>FR-WFL-010</w:t>
            </w:r>
          </w:p>
        </w:tc>
        <w:tc>
          <w:tcPr>
            <w:tcW w:type="dxa" w:w="2798"/>
            <w:vAlign w:val="center"/>
            <w:shd w:fill="FFFFFF"/>
          </w:tcPr>
          <w:p>
            <w:pPr>
              <w:spacing w:after="20" w:before="20" w:line="247" w:lineRule="auto"/>
            </w:pPr>
            <w:r>
              <w:rPr>
                <w:b w:val="0"/>
                <w:i w:val="0"/>
                <w:sz w:val="20"/>
              </w:rPr>
              <w:t>FT-WFL-010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BR-ANA-001</w:t>
            </w:r>
          </w:p>
        </w:tc>
        <w:tc>
          <w:tcPr>
            <w:tcW w:type="dxa" w:w="2498"/>
            <w:vAlign w:val="center"/>
            <w:shd w:fill="F4F6F8"/>
          </w:tcPr>
          <w:p>
            <w:pPr>
              <w:spacing w:after="20" w:before="20" w:line="247" w:lineRule="auto"/>
            </w:pPr>
            <w:r>
              <w:rPr>
                <w:b w:val="0"/>
                <w:i w:val="0"/>
                <w:sz w:val="20"/>
              </w:rPr>
              <w:t>FR-ANA-001</w:t>
            </w:r>
          </w:p>
        </w:tc>
        <w:tc>
          <w:tcPr>
            <w:tcW w:type="dxa" w:w="2798"/>
            <w:vAlign w:val="center"/>
            <w:shd w:fill="F4F6F8"/>
          </w:tcPr>
          <w:p>
            <w:pPr>
              <w:spacing w:after="20" w:before="20" w:line="247" w:lineRule="auto"/>
            </w:pPr>
            <w:r>
              <w:rPr>
                <w:b w:val="0"/>
                <w:i w:val="0"/>
                <w:sz w:val="20"/>
              </w:rPr>
              <w:t>FT-ANA-001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BR-ANA-002</w:t>
            </w:r>
          </w:p>
        </w:tc>
        <w:tc>
          <w:tcPr>
            <w:tcW w:type="dxa" w:w="2498"/>
            <w:vAlign w:val="center"/>
            <w:shd w:fill="FFFFFF"/>
          </w:tcPr>
          <w:p>
            <w:pPr>
              <w:spacing w:after="20" w:before="20" w:line="247" w:lineRule="auto"/>
            </w:pPr>
            <w:r>
              <w:rPr>
                <w:b w:val="0"/>
                <w:i w:val="0"/>
                <w:sz w:val="20"/>
              </w:rPr>
              <w:t>FR-ANA-002</w:t>
            </w:r>
          </w:p>
        </w:tc>
        <w:tc>
          <w:tcPr>
            <w:tcW w:type="dxa" w:w="2798"/>
            <w:vAlign w:val="center"/>
            <w:shd w:fill="FFFFFF"/>
          </w:tcPr>
          <w:p>
            <w:pPr>
              <w:spacing w:after="20" w:before="20" w:line="247" w:lineRule="auto"/>
            </w:pPr>
            <w:r>
              <w:rPr>
                <w:b w:val="0"/>
                <w:i w:val="0"/>
                <w:sz w:val="20"/>
              </w:rPr>
              <w:t>FT-ANA-002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BR-ANA-003</w:t>
            </w:r>
          </w:p>
        </w:tc>
        <w:tc>
          <w:tcPr>
            <w:tcW w:type="dxa" w:w="2498"/>
            <w:vAlign w:val="center"/>
            <w:shd w:fill="F4F6F8"/>
          </w:tcPr>
          <w:p>
            <w:pPr>
              <w:spacing w:after="20" w:before="20" w:line="247" w:lineRule="auto"/>
            </w:pPr>
            <w:r>
              <w:rPr>
                <w:b w:val="0"/>
                <w:i w:val="0"/>
                <w:sz w:val="20"/>
              </w:rPr>
              <w:t>FR-ANA-003</w:t>
            </w:r>
          </w:p>
        </w:tc>
        <w:tc>
          <w:tcPr>
            <w:tcW w:type="dxa" w:w="2798"/>
            <w:vAlign w:val="center"/>
            <w:shd w:fill="F4F6F8"/>
          </w:tcPr>
          <w:p>
            <w:pPr>
              <w:spacing w:after="20" w:before="20" w:line="247" w:lineRule="auto"/>
            </w:pPr>
            <w:r>
              <w:rPr>
                <w:b w:val="0"/>
                <w:i w:val="0"/>
                <w:sz w:val="20"/>
              </w:rPr>
              <w:t>FT-ANA-003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BR-ANA-004</w:t>
            </w:r>
          </w:p>
        </w:tc>
        <w:tc>
          <w:tcPr>
            <w:tcW w:type="dxa" w:w="2498"/>
            <w:vAlign w:val="center"/>
            <w:shd w:fill="FFFFFF"/>
          </w:tcPr>
          <w:p>
            <w:pPr>
              <w:spacing w:after="20" w:before="20" w:line="247" w:lineRule="auto"/>
            </w:pPr>
            <w:r>
              <w:rPr>
                <w:b w:val="0"/>
                <w:i w:val="0"/>
                <w:sz w:val="20"/>
              </w:rPr>
              <w:t>FR-ANA-004</w:t>
            </w:r>
          </w:p>
        </w:tc>
        <w:tc>
          <w:tcPr>
            <w:tcW w:type="dxa" w:w="2798"/>
            <w:vAlign w:val="center"/>
            <w:shd w:fill="FFFFFF"/>
          </w:tcPr>
          <w:p>
            <w:pPr>
              <w:spacing w:after="20" w:before="20" w:line="247" w:lineRule="auto"/>
            </w:pPr>
            <w:r>
              <w:rPr>
                <w:b w:val="0"/>
                <w:i w:val="0"/>
                <w:sz w:val="20"/>
              </w:rPr>
              <w:t>FT-ANA-004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BR-ANA-005</w:t>
            </w:r>
          </w:p>
        </w:tc>
        <w:tc>
          <w:tcPr>
            <w:tcW w:type="dxa" w:w="2498"/>
            <w:vAlign w:val="center"/>
            <w:shd w:fill="F4F6F8"/>
          </w:tcPr>
          <w:p>
            <w:pPr>
              <w:spacing w:after="20" w:before="20" w:line="247" w:lineRule="auto"/>
            </w:pPr>
            <w:r>
              <w:rPr>
                <w:b w:val="0"/>
                <w:i w:val="0"/>
                <w:sz w:val="20"/>
              </w:rPr>
              <w:t>FR-ANA-005</w:t>
            </w:r>
          </w:p>
        </w:tc>
        <w:tc>
          <w:tcPr>
            <w:tcW w:type="dxa" w:w="2798"/>
            <w:vAlign w:val="center"/>
            <w:shd w:fill="F4F6F8"/>
          </w:tcPr>
          <w:p>
            <w:pPr>
              <w:spacing w:after="20" w:before="20" w:line="247" w:lineRule="auto"/>
            </w:pPr>
            <w:r>
              <w:rPr>
                <w:b w:val="0"/>
                <w:i w:val="0"/>
                <w:sz w:val="20"/>
              </w:rPr>
              <w:t>FT-ANA-005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BR-ANA-006</w:t>
            </w:r>
          </w:p>
        </w:tc>
        <w:tc>
          <w:tcPr>
            <w:tcW w:type="dxa" w:w="2498"/>
            <w:vAlign w:val="center"/>
            <w:shd w:fill="FFFFFF"/>
          </w:tcPr>
          <w:p>
            <w:pPr>
              <w:spacing w:after="20" w:before="20" w:line="247" w:lineRule="auto"/>
            </w:pPr>
            <w:r>
              <w:rPr>
                <w:b w:val="0"/>
                <w:i w:val="0"/>
                <w:sz w:val="20"/>
              </w:rPr>
              <w:t>FR-ANA-006</w:t>
            </w:r>
          </w:p>
        </w:tc>
        <w:tc>
          <w:tcPr>
            <w:tcW w:type="dxa" w:w="2798"/>
            <w:vAlign w:val="center"/>
            <w:shd w:fill="FFFFFF"/>
          </w:tcPr>
          <w:p>
            <w:pPr>
              <w:spacing w:after="20" w:before="20" w:line="247" w:lineRule="auto"/>
            </w:pPr>
            <w:r>
              <w:rPr>
                <w:b w:val="0"/>
                <w:i w:val="0"/>
                <w:sz w:val="20"/>
              </w:rPr>
              <w:t>FT-ANA-006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BR-ANA-007</w:t>
            </w:r>
          </w:p>
        </w:tc>
        <w:tc>
          <w:tcPr>
            <w:tcW w:type="dxa" w:w="2498"/>
            <w:vAlign w:val="center"/>
            <w:shd w:fill="F4F6F8"/>
          </w:tcPr>
          <w:p>
            <w:pPr>
              <w:spacing w:after="20" w:before="20" w:line="247" w:lineRule="auto"/>
            </w:pPr>
            <w:r>
              <w:rPr>
                <w:b w:val="0"/>
                <w:i w:val="0"/>
                <w:sz w:val="20"/>
              </w:rPr>
              <w:t>FR-ANA-007</w:t>
            </w:r>
          </w:p>
        </w:tc>
        <w:tc>
          <w:tcPr>
            <w:tcW w:type="dxa" w:w="2798"/>
            <w:vAlign w:val="center"/>
            <w:shd w:fill="F4F6F8"/>
          </w:tcPr>
          <w:p>
            <w:pPr>
              <w:spacing w:after="20" w:before="20" w:line="247" w:lineRule="auto"/>
            </w:pPr>
            <w:r>
              <w:rPr>
                <w:b w:val="0"/>
                <w:i w:val="0"/>
                <w:sz w:val="20"/>
              </w:rPr>
              <w:t>FT-ANA-007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BR-ANA-008</w:t>
            </w:r>
          </w:p>
        </w:tc>
        <w:tc>
          <w:tcPr>
            <w:tcW w:type="dxa" w:w="2498"/>
            <w:vAlign w:val="center"/>
            <w:shd w:fill="FFFFFF"/>
          </w:tcPr>
          <w:p>
            <w:pPr>
              <w:spacing w:after="20" w:before="20" w:line="247" w:lineRule="auto"/>
            </w:pPr>
            <w:r>
              <w:rPr>
                <w:b w:val="0"/>
                <w:i w:val="0"/>
                <w:sz w:val="20"/>
              </w:rPr>
              <w:t>FR-ANA-008</w:t>
            </w:r>
          </w:p>
        </w:tc>
        <w:tc>
          <w:tcPr>
            <w:tcW w:type="dxa" w:w="2798"/>
            <w:vAlign w:val="center"/>
            <w:shd w:fill="FFFFFF"/>
          </w:tcPr>
          <w:p>
            <w:pPr>
              <w:spacing w:after="20" w:before="20" w:line="247" w:lineRule="auto"/>
            </w:pPr>
            <w:r>
              <w:rPr>
                <w:b w:val="0"/>
                <w:i w:val="0"/>
                <w:sz w:val="20"/>
              </w:rPr>
              <w:t>FT-ANA-008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BR-ANA-009</w:t>
            </w:r>
          </w:p>
        </w:tc>
        <w:tc>
          <w:tcPr>
            <w:tcW w:type="dxa" w:w="2498"/>
            <w:vAlign w:val="center"/>
            <w:shd w:fill="F4F6F8"/>
          </w:tcPr>
          <w:p>
            <w:pPr>
              <w:spacing w:after="20" w:before="20" w:line="247" w:lineRule="auto"/>
            </w:pPr>
            <w:r>
              <w:rPr>
                <w:b w:val="0"/>
                <w:i w:val="0"/>
                <w:sz w:val="20"/>
              </w:rPr>
              <w:t>FR-ANA-009</w:t>
            </w:r>
          </w:p>
        </w:tc>
        <w:tc>
          <w:tcPr>
            <w:tcW w:type="dxa" w:w="2798"/>
            <w:vAlign w:val="center"/>
            <w:shd w:fill="F4F6F8"/>
          </w:tcPr>
          <w:p>
            <w:pPr>
              <w:spacing w:after="20" w:before="20" w:line="247" w:lineRule="auto"/>
            </w:pPr>
            <w:r>
              <w:rPr>
                <w:b w:val="0"/>
                <w:i w:val="0"/>
                <w:sz w:val="20"/>
              </w:rPr>
              <w:t>FT-ANA-009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BR-ANA-010</w:t>
            </w:r>
          </w:p>
        </w:tc>
        <w:tc>
          <w:tcPr>
            <w:tcW w:type="dxa" w:w="2498"/>
            <w:vAlign w:val="center"/>
            <w:shd w:fill="FFFFFF"/>
          </w:tcPr>
          <w:p>
            <w:pPr>
              <w:spacing w:after="20" w:before="20" w:line="247" w:lineRule="auto"/>
            </w:pPr>
            <w:r>
              <w:rPr>
                <w:b w:val="0"/>
                <w:i w:val="0"/>
                <w:sz w:val="20"/>
              </w:rPr>
              <w:t>FR-ANA-010</w:t>
            </w:r>
          </w:p>
        </w:tc>
        <w:tc>
          <w:tcPr>
            <w:tcW w:type="dxa" w:w="2798"/>
            <w:vAlign w:val="center"/>
            <w:shd w:fill="FFFFFF"/>
          </w:tcPr>
          <w:p>
            <w:pPr>
              <w:spacing w:after="20" w:before="20" w:line="247" w:lineRule="auto"/>
            </w:pPr>
            <w:r>
              <w:rPr>
                <w:b w:val="0"/>
                <w:i w:val="0"/>
                <w:sz w:val="20"/>
              </w:rPr>
              <w:t>FT-ANA-010</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BR-RPT-001</w:t>
            </w:r>
          </w:p>
        </w:tc>
        <w:tc>
          <w:tcPr>
            <w:tcW w:type="dxa" w:w="2498"/>
            <w:vAlign w:val="center"/>
            <w:shd w:fill="F4F6F8"/>
          </w:tcPr>
          <w:p>
            <w:pPr>
              <w:spacing w:after="20" w:before="20" w:line="247" w:lineRule="auto"/>
            </w:pPr>
            <w:r>
              <w:rPr>
                <w:b w:val="0"/>
                <w:i w:val="0"/>
                <w:sz w:val="20"/>
              </w:rPr>
              <w:t>FR-RPT-001</w:t>
            </w:r>
          </w:p>
        </w:tc>
        <w:tc>
          <w:tcPr>
            <w:tcW w:type="dxa" w:w="2798"/>
            <w:vAlign w:val="center"/>
            <w:shd w:fill="F4F6F8"/>
          </w:tcPr>
          <w:p>
            <w:pPr>
              <w:spacing w:after="20" w:before="20" w:line="247" w:lineRule="auto"/>
            </w:pPr>
            <w:r>
              <w:rPr>
                <w:b w:val="0"/>
                <w:i w:val="0"/>
                <w:sz w:val="20"/>
              </w:rPr>
              <w:t>FT-RPT-001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BR-RPT-002</w:t>
            </w:r>
          </w:p>
        </w:tc>
        <w:tc>
          <w:tcPr>
            <w:tcW w:type="dxa" w:w="2498"/>
            <w:vAlign w:val="center"/>
            <w:shd w:fill="FFFFFF"/>
          </w:tcPr>
          <w:p>
            <w:pPr>
              <w:spacing w:after="20" w:before="20" w:line="247" w:lineRule="auto"/>
            </w:pPr>
            <w:r>
              <w:rPr>
                <w:b w:val="0"/>
                <w:i w:val="0"/>
                <w:sz w:val="20"/>
              </w:rPr>
              <w:t>FR-RPT-002</w:t>
            </w:r>
          </w:p>
        </w:tc>
        <w:tc>
          <w:tcPr>
            <w:tcW w:type="dxa" w:w="2798"/>
            <w:vAlign w:val="center"/>
            <w:shd w:fill="FFFFFF"/>
          </w:tcPr>
          <w:p>
            <w:pPr>
              <w:spacing w:after="20" w:before="20" w:line="247" w:lineRule="auto"/>
            </w:pPr>
            <w:r>
              <w:rPr>
                <w:b w:val="0"/>
                <w:i w:val="0"/>
                <w:sz w:val="20"/>
              </w:rPr>
              <w:t>FT-RPT-002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BR-RPT-003</w:t>
            </w:r>
          </w:p>
        </w:tc>
        <w:tc>
          <w:tcPr>
            <w:tcW w:type="dxa" w:w="2498"/>
            <w:vAlign w:val="center"/>
            <w:shd w:fill="F4F6F8"/>
          </w:tcPr>
          <w:p>
            <w:pPr>
              <w:spacing w:after="20" w:before="20" w:line="247" w:lineRule="auto"/>
            </w:pPr>
            <w:r>
              <w:rPr>
                <w:b w:val="0"/>
                <w:i w:val="0"/>
                <w:sz w:val="20"/>
              </w:rPr>
              <w:t>FR-RPT-003</w:t>
            </w:r>
          </w:p>
        </w:tc>
        <w:tc>
          <w:tcPr>
            <w:tcW w:type="dxa" w:w="2798"/>
            <w:vAlign w:val="center"/>
            <w:shd w:fill="F4F6F8"/>
          </w:tcPr>
          <w:p>
            <w:pPr>
              <w:spacing w:after="20" w:before="20" w:line="247" w:lineRule="auto"/>
            </w:pPr>
            <w:r>
              <w:rPr>
                <w:b w:val="0"/>
                <w:i w:val="0"/>
                <w:sz w:val="20"/>
              </w:rPr>
              <w:t>FT-RPT-003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BR-RPT-004</w:t>
            </w:r>
          </w:p>
        </w:tc>
        <w:tc>
          <w:tcPr>
            <w:tcW w:type="dxa" w:w="2498"/>
            <w:vAlign w:val="center"/>
            <w:shd w:fill="FFFFFF"/>
          </w:tcPr>
          <w:p>
            <w:pPr>
              <w:spacing w:after="20" w:before="20" w:line="247" w:lineRule="auto"/>
            </w:pPr>
            <w:r>
              <w:rPr>
                <w:b w:val="0"/>
                <w:i w:val="0"/>
                <w:sz w:val="20"/>
              </w:rPr>
              <w:t>FR-RPT-004</w:t>
            </w:r>
          </w:p>
        </w:tc>
        <w:tc>
          <w:tcPr>
            <w:tcW w:type="dxa" w:w="2798"/>
            <w:vAlign w:val="center"/>
            <w:shd w:fill="FFFFFF"/>
          </w:tcPr>
          <w:p>
            <w:pPr>
              <w:spacing w:after="20" w:before="20" w:line="247" w:lineRule="auto"/>
            </w:pPr>
            <w:r>
              <w:rPr>
                <w:b w:val="0"/>
                <w:i w:val="0"/>
                <w:sz w:val="20"/>
              </w:rPr>
              <w:t>FT-RPT-004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BR-RPT-005</w:t>
            </w:r>
          </w:p>
        </w:tc>
        <w:tc>
          <w:tcPr>
            <w:tcW w:type="dxa" w:w="2498"/>
            <w:vAlign w:val="center"/>
            <w:shd w:fill="F4F6F8"/>
          </w:tcPr>
          <w:p>
            <w:pPr>
              <w:spacing w:after="20" w:before="20" w:line="247" w:lineRule="auto"/>
            </w:pPr>
            <w:r>
              <w:rPr>
                <w:b w:val="0"/>
                <w:i w:val="0"/>
                <w:sz w:val="20"/>
              </w:rPr>
              <w:t>FR-RPT-005</w:t>
            </w:r>
          </w:p>
        </w:tc>
        <w:tc>
          <w:tcPr>
            <w:tcW w:type="dxa" w:w="2798"/>
            <w:vAlign w:val="center"/>
            <w:shd w:fill="F4F6F8"/>
          </w:tcPr>
          <w:p>
            <w:pPr>
              <w:spacing w:after="20" w:before="20" w:line="247" w:lineRule="auto"/>
            </w:pPr>
            <w:r>
              <w:rPr>
                <w:b w:val="0"/>
                <w:i w:val="0"/>
                <w:sz w:val="20"/>
              </w:rPr>
              <w:t>FT-RPT-005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BR-RPT-006</w:t>
            </w:r>
          </w:p>
        </w:tc>
        <w:tc>
          <w:tcPr>
            <w:tcW w:type="dxa" w:w="2498"/>
            <w:vAlign w:val="center"/>
            <w:shd w:fill="FFFFFF"/>
          </w:tcPr>
          <w:p>
            <w:pPr>
              <w:spacing w:after="20" w:before="20" w:line="247" w:lineRule="auto"/>
            </w:pPr>
            <w:r>
              <w:rPr>
                <w:b w:val="0"/>
                <w:i w:val="0"/>
                <w:sz w:val="20"/>
              </w:rPr>
              <w:t>FR-RPT-006</w:t>
            </w:r>
          </w:p>
        </w:tc>
        <w:tc>
          <w:tcPr>
            <w:tcW w:type="dxa" w:w="2798"/>
            <w:vAlign w:val="center"/>
            <w:shd w:fill="FFFFFF"/>
          </w:tcPr>
          <w:p>
            <w:pPr>
              <w:spacing w:after="20" w:before="20" w:line="247" w:lineRule="auto"/>
            </w:pPr>
            <w:r>
              <w:rPr>
                <w:b w:val="0"/>
                <w:i w:val="0"/>
                <w:sz w:val="20"/>
              </w:rPr>
              <w:t>FT-RPT-006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BR-RPT-007</w:t>
            </w:r>
          </w:p>
        </w:tc>
        <w:tc>
          <w:tcPr>
            <w:tcW w:type="dxa" w:w="2498"/>
            <w:vAlign w:val="center"/>
            <w:shd w:fill="F4F6F8"/>
          </w:tcPr>
          <w:p>
            <w:pPr>
              <w:spacing w:after="20" w:before="20" w:line="247" w:lineRule="auto"/>
            </w:pPr>
            <w:r>
              <w:rPr>
                <w:b w:val="0"/>
                <w:i w:val="0"/>
                <w:sz w:val="20"/>
              </w:rPr>
              <w:t>FR-RPT-007</w:t>
            </w:r>
          </w:p>
        </w:tc>
        <w:tc>
          <w:tcPr>
            <w:tcW w:type="dxa" w:w="2798"/>
            <w:vAlign w:val="center"/>
            <w:shd w:fill="F4F6F8"/>
          </w:tcPr>
          <w:p>
            <w:pPr>
              <w:spacing w:after="20" w:before="20" w:line="247" w:lineRule="auto"/>
            </w:pPr>
            <w:r>
              <w:rPr>
                <w:b w:val="0"/>
                <w:i w:val="0"/>
                <w:sz w:val="20"/>
              </w:rPr>
              <w:t>FT-RPT-007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BR-RPT-008</w:t>
            </w:r>
          </w:p>
        </w:tc>
        <w:tc>
          <w:tcPr>
            <w:tcW w:type="dxa" w:w="2498"/>
            <w:vAlign w:val="center"/>
            <w:shd w:fill="FFFFFF"/>
          </w:tcPr>
          <w:p>
            <w:pPr>
              <w:spacing w:after="20" w:before="20" w:line="247" w:lineRule="auto"/>
            </w:pPr>
            <w:r>
              <w:rPr>
                <w:b w:val="0"/>
                <w:i w:val="0"/>
                <w:sz w:val="20"/>
              </w:rPr>
              <w:t>FR-RPT-008</w:t>
            </w:r>
          </w:p>
        </w:tc>
        <w:tc>
          <w:tcPr>
            <w:tcW w:type="dxa" w:w="2798"/>
            <w:vAlign w:val="center"/>
            <w:shd w:fill="FFFFFF"/>
          </w:tcPr>
          <w:p>
            <w:pPr>
              <w:spacing w:after="20" w:before="20" w:line="247" w:lineRule="auto"/>
            </w:pPr>
            <w:r>
              <w:rPr>
                <w:b w:val="0"/>
                <w:i w:val="0"/>
                <w:sz w:val="20"/>
              </w:rPr>
              <w:t>FT-RPT-008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BR-RPT-009</w:t>
            </w:r>
          </w:p>
        </w:tc>
        <w:tc>
          <w:tcPr>
            <w:tcW w:type="dxa" w:w="2498"/>
            <w:vAlign w:val="center"/>
            <w:shd w:fill="F4F6F8"/>
          </w:tcPr>
          <w:p>
            <w:pPr>
              <w:spacing w:after="20" w:before="20" w:line="247" w:lineRule="auto"/>
            </w:pPr>
            <w:r>
              <w:rPr>
                <w:b w:val="0"/>
                <w:i w:val="0"/>
                <w:sz w:val="20"/>
              </w:rPr>
              <w:t>FR-RPT-009</w:t>
            </w:r>
          </w:p>
        </w:tc>
        <w:tc>
          <w:tcPr>
            <w:tcW w:type="dxa" w:w="2798"/>
            <w:vAlign w:val="center"/>
            <w:shd w:fill="F4F6F8"/>
          </w:tcPr>
          <w:p>
            <w:pPr>
              <w:spacing w:after="20" w:before="20" w:line="247" w:lineRule="auto"/>
            </w:pPr>
            <w:r>
              <w:rPr>
                <w:b w:val="0"/>
                <w:i w:val="0"/>
                <w:sz w:val="20"/>
              </w:rPr>
              <w:t>FT-RPT-009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BR-RPT-010</w:t>
            </w:r>
          </w:p>
        </w:tc>
        <w:tc>
          <w:tcPr>
            <w:tcW w:type="dxa" w:w="2498"/>
            <w:vAlign w:val="center"/>
            <w:shd w:fill="FFFFFF"/>
          </w:tcPr>
          <w:p>
            <w:pPr>
              <w:spacing w:after="20" w:before="20" w:line="247" w:lineRule="auto"/>
            </w:pPr>
            <w:r>
              <w:rPr>
                <w:b w:val="0"/>
                <w:i w:val="0"/>
                <w:sz w:val="20"/>
              </w:rPr>
              <w:t>FR-RPT-010</w:t>
            </w:r>
          </w:p>
        </w:tc>
        <w:tc>
          <w:tcPr>
            <w:tcW w:type="dxa" w:w="2798"/>
            <w:vAlign w:val="center"/>
            <w:shd w:fill="FFFFFF"/>
          </w:tcPr>
          <w:p>
            <w:pPr>
              <w:spacing w:after="20" w:before="20" w:line="247" w:lineRule="auto"/>
            </w:pPr>
            <w:r>
              <w:rPr>
                <w:b w:val="0"/>
                <w:i w:val="0"/>
                <w:sz w:val="20"/>
              </w:rPr>
              <w:t>FT-RPT-010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BR-RPT-011</w:t>
            </w:r>
          </w:p>
        </w:tc>
        <w:tc>
          <w:tcPr>
            <w:tcW w:type="dxa" w:w="2498"/>
            <w:vAlign w:val="center"/>
            <w:shd w:fill="F4F6F8"/>
          </w:tcPr>
          <w:p>
            <w:pPr>
              <w:spacing w:after="20" w:before="20" w:line="247" w:lineRule="auto"/>
            </w:pPr>
            <w:r>
              <w:rPr>
                <w:b w:val="0"/>
                <w:i w:val="0"/>
                <w:sz w:val="20"/>
              </w:rPr>
              <w:t>FR-RPT-011</w:t>
            </w:r>
          </w:p>
        </w:tc>
        <w:tc>
          <w:tcPr>
            <w:tcW w:type="dxa" w:w="2798"/>
            <w:vAlign w:val="center"/>
            <w:shd w:fill="F4F6F8"/>
          </w:tcPr>
          <w:p>
            <w:pPr>
              <w:spacing w:after="20" w:before="20" w:line="247" w:lineRule="auto"/>
            </w:pPr>
            <w:r>
              <w:rPr>
                <w:b w:val="0"/>
                <w:i w:val="0"/>
                <w:sz w:val="20"/>
              </w:rPr>
              <w:t>FT-RPT-011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BR-RPT-012</w:t>
            </w:r>
          </w:p>
        </w:tc>
        <w:tc>
          <w:tcPr>
            <w:tcW w:type="dxa" w:w="2498"/>
            <w:vAlign w:val="center"/>
            <w:shd w:fill="FFFFFF"/>
          </w:tcPr>
          <w:p>
            <w:pPr>
              <w:spacing w:after="20" w:before="20" w:line="247" w:lineRule="auto"/>
            </w:pPr>
            <w:r>
              <w:rPr>
                <w:b w:val="0"/>
                <w:i w:val="0"/>
                <w:sz w:val="20"/>
              </w:rPr>
              <w:t>FR-RPT-012</w:t>
            </w:r>
          </w:p>
        </w:tc>
        <w:tc>
          <w:tcPr>
            <w:tcW w:type="dxa" w:w="2798"/>
            <w:vAlign w:val="center"/>
            <w:shd w:fill="FFFFFF"/>
          </w:tcPr>
          <w:p>
            <w:pPr>
              <w:spacing w:after="20" w:before="20" w:line="247" w:lineRule="auto"/>
            </w:pPr>
            <w:r>
              <w:rPr>
                <w:b w:val="0"/>
                <w:i w:val="0"/>
                <w:sz w:val="20"/>
              </w:rPr>
              <w:t>FT-RPT-012</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BR-FIN-001</w:t>
            </w:r>
          </w:p>
        </w:tc>
        <w:tc>
          <w:tcPr>
            <w:tcW w:type="dxa" w:w="2498"/>
            <w:vAlign w:val="center"/>
            <w:shd w:fill="F4F6F8"/>
          </w:tcPr>
          <w:p>
            <w:pPr>
              <w:spacing w:after="20" w:before="20" w:line="247" w:lineRule="auto"/>
            </w:pPr>
            <w:r>
              <w:rPr>
                <w:b w:val="0"/>
                <w:i w:val="0"/>
                <w:sz w:val="20"/>
              </w:rPr>
              <w:t>FR-FIN-001</w:t>
            </w:r>
          </w:p>
        </w:tc>
        <w:tc>
          <w:tcPr>
            <w:tcW w:type="dxa" w:w="2798"/>
            <w:vAlign w:val="center"/>
            <w:shd w:fill="F4F6F8"/>
          </w:tcPr>
          <w:p>
            <w:pPr>
              <w:spacing w:after="20" w:before="20" w:line="247" w:lineRule="auto"/>
            </w:pPr>
            <w:r>
              <w:rPr>
                <w:b w:val="0"/>
                <w:i w:val="0"/>
                <w:sz w:val="20"/>
              </w:rPr>
              <w:t>FT-FIN-001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BR-FIN-002</w:t>
            </w:r>
          </w:p>
        </w:tc>
        <w:tc>
          <w:tcPr>
            <w:tcW w:type="dxa" w:w="2498"/>
            <w:vAlign w:val="center"/>
            <w:shd w:fill="FFFFFF"/>
          </w:tcPr>
          <w:p>
            <w:pPr>
              <w:spacing w:after="20" w:before="20" w:line="247" w:lineRule="auto"/>
            </w:pPr>
            <w:r>
              <w:rPr>
                <w:b w:val="0"/>
                <w:i w:val="0"/>
                <w:sz w:val="20"/>
              </w:rPr>
              <w:t>FR-FIN-002</w:t>
            </w:r>
          </w:p>
        </w:tc>
        <w:tc>
          <w:tcPr>
            <w:tcW w:type="dxa" w:w="2798"/>
            <w:vAlign w:val="center"/>
            <w:shd w:fill="FFFFFF"/>
          </w:tcPr>
          <w:p>
            <w:pPr>
              <w:spacing w:after="20" w:before="20" w:line="247" w:lineRule="auto"/>
            </w:pPr>
            <w:r>
              <w:rPr>
                <w:b w:val="0"/>
                <w:i w:val="0"/>
                <w:sz w:val="20"/>
              </w:rPr>
              <w:t>FT-FIN-002</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BR-FIN-003</w:t>
            </w:r>
          </w:p>
        </w:tc>
        <w:tc>
          <w:tcPr>
            <w:tcW w:type="dxa" w:w="2498"/>
            <w:vAlign w:val="center"/>
            <w:shd w:fill="F4F6F8"/>
          </w:tcPr>
          <w:p>
            <w:pPr>
              <w:spacing w:after="20" w:before="20" w:line="247" w:lineRule="auto"/>
            </w:pPr>
            <w:r>
              <w:rPr>
                <w:b w:val="0"/>
                <w:i w:val="0"/>
                <w:sz w:val="20"/>
              </w:rPr>
              <w:t>FR-FIN-003</w:t>
            </w:r>
          </w:p>
        </w:tc>
        <w:tc>
          <w:tcPr>
            <w:tcW w:type="dxa" w:w="2798"/>
            <w:vAlign w:val="center"/>
            <w:shd w:fill="F4F6F8"/>
          </w:tcPr>
          <w:p>
            <w:pPr>
              <w:spacing w:after="20" w:before="20" w:line="247" w:lineRule="auto"/>
            </w:pPr>
            <w:r>
              <w:rPr>
                <w:b w:val="0"/>
                <w:i w:val="0"/>
                <w:sz w:val="20"/>
              </w:rPr>
              <w:t>FT-FIN-003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BR-FIN-004</w:t>
            </w:r>
          </w:p>
        </w:tc>
        <w:tc>
          <w:tcPr>
            <w:tcW w:type="dxa" w:w="2498"/>
            <w:vAlign w:val="center"/>
            <w:shd w:fill="FFFFFF"/>
          </w:tcPr>
          <w:p>
            <w:pPr>
              <w:spacing w:after="20" w:before="20" w:line="247" w:lineRule="auto"/>
            </w:pPr>
            <w:r>
              <w:rPr>
                <w:b w:val="0"/>
                <w:i w:val="0"/>
                <w:sz w:val="20"/>
              </w:rPr>
              <w:t>FR-FIN-004</w:t>
            </w:r>
          </w:p>
        </w:tc>
        <w:tc>
          <w:tcPr>
            <w:tcW w:type="dxa" w:w="2798"/>
            <w:vAlign w:val="center"/>
            <w:shd w:fill="FFFFFF"/>
          </w:tcPr>
          <w:p>
            <w:pPr>
              <w:spacing w:after="20" w:before="20" w:line="247" w:lineRule="auto"/>
            </w:pPr>
            <w:r>
              <w:rPr>
                <w:b w:val="0"/>
                <w:i w:val="0"/>
                <w:sz w:val="20"/>
              </w:rPr>
              <w:t>FT-FIN-004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BR-FIN-005</w:t>
            </w:r>
          </w:p>
        </w:tc>
        <w:tc>
          <w:tcPr>
            <w:tcW w:type="dxa" w:w="2498"/>
            <w:vAlign w:val="center"/>
            <w:shd w:fill="F4F6F8"/>
          </w:tcPr>
          <w:p>
            <w:pPr>
              <w:spacing w:after="20" w:before="20" w:line="247" w:lineRule="auto"/>
            </w:pPr>
            <w:r>
              <w:rPr>
                <w:b w:val="0"/>
                <w:i w:val="0"/>
                <w:sz w:val="20"/>
              </w:rPr>
              <w:t>FR-FIN-005</w:t>
            </w:r>
          </w:p>
        </w:tc>
        <w:tc>
          <w:tcPr>
            <w:tcW w:type="dxa" w:w="2798"/>
            <w:vAlign w:val="center"/>
            <w:shd w:fill="F4F6F8"/>
          </w:tcPr>
          <w:p>
            <w:pPr>
              <w:spacing w:after="20" w:before="20" w:line="247" w:lineRule="auto"/>
            </w:pPr>
            <w:r>
              <w:rPr>
                <w:b w:val="0"/>
                <w:i w:val="0"/>
                <w:sz w:val="20"/>
              </w:rPr>
              <w:t>FT-FIN-005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BR-FIN-006</w:t>
            </w:r>
          </w:p>
        </w:tc>
        <w:tc>
          <w:tcPr>
            <w:tcW w:type="dxa" w:w="2498"/>
            <w:vAlign w:val="center"/>
            <w:shd w:fill="FFFFFF"/>
          </w:tcPr>
          <w:p>
            <w:pPr>
              <w:spacing w:after="20" w:before="20" w:line="247" w:lineRule="auto"/>
            </w:pPr>
            <w:r>
              <w:rPr>
                <w:b w:val="0"/>
                <w:i w:val="0"/>
                <w:sz w:val="20"/>
              </w:rPr>
              <w:t>FR-FIN-006</w:t>
            </w:r>
          </w:p>
        </w:tc>
        <w:tc>
          <w:tcPr>
            <w:tcW w:type="dxa" w:w="2798"/>
            <w:vAlign w:val="center"/>
            <w:shd w:fill="FFFFFF"/>
          </w:tcPr>
          <w:p>
            <w:pPr>
              <w:spacing w:after="20" w:before="20" w:line="247" w:lineRule="auto"/>
            </w:pPr>
            <w:r>
              <w:rPr>
                <w:b w:val="0"/>
                <w:i w:val="0"/>
                <w:sz w:val="20"/>
              </w:rPr>
              <w:t>FT-FIN-006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BR-FIN-007</w:t>
            </w:r>
          </w:p>
        </w:tc>
        <w:tc>
          <w:tcPr>
            <w:tcW w:type="dxa" w:w="2498"/>
            <w:vAlign w:val="center"/>
            <w:shd w:fill="F4F6F8"/>
          </w:tcPr>
          <w:p>
            <w:pPr>
              <w:spacing w:after="20" w:before="20" w:line="247" w:lineRule="auto"/>
            </w:pPr>
            <w:r>
              <w:rPr>
                <w:b w:val="0"/>
                <w:i w:val="0"/>
                <w:sz w:val="20"/>
              </w:rPr>
              <w:t>FR-FIN-007</w:t>
            </w:r>
          </w:p>
        </w:tc>
        <w:tc>
          <w:tcPr>
            <w:tcW w:type="dxa" w:w="2798"/>
            <w:vAlign w:val="center"/>
            <w:shd w:fill="F4F6F8"/>
          </w:tcPr>
          <w:p>
            <w:pPr>
              <w:spacing w:after="20" w:before="20" w:line="247" w:lineRule="auto"/>
            </w:pPr>
            <w:r>
              <w:rPr>
                <w:b w:val="0"/>
                <w:i w:val="0"/>
                <w:sz w:val="20"/>
              </w:rPr>
              <w:t>FT-FIN-007</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BR-FIN-008</w:t>
            </w:r>
          </w:p>
        </w:tc>
        <w:tc>
          <w:tcPr>
            <w:tcW w:type="dxa" w:w="2498"/>
            <w:vAlign w:val="center"/>
            <w:shd w:fill="FFFFFF"/>
          </w:tcPr>
          <w:p>
            <w:pPr>
              <w:spacing w:after="20" w:before="20" w:line="247" w:lineRule="auto"/>
            </w:pPr>
            <w:r>
              <w:rPr>
                <w:b w:val="0"/>
                <w:i w:val="0"/>
                <w:sz w:val="20"/>
              </w:rPr>
              <w:t>FR-FIN-008</w:t>
            </w:r>
          </w:p>
        </w:tc>
        <w:tc>
          <w:tcPr>
            <w:tcW w:type="dxa" w:w="2798"/>
            <w:vAlign w:val="center"/>
            <w:shd w:fill="FFFFFF"/>
          </w:tcPr>
          <w:p>
            <w:pPr>
              <w:spacing w:after="20" w:before="20" w:line="247" w:lineRule="auto"/>
            </w:pPr>
            <w:r>
              <w:rPr>
                <w:b w:val="0"/>
                <w:i w:val="0"/>
                <w:sz w:val="20"/>
              </w:rPr>
              <w:t>FT-FIN-008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BR-INT-001</w:t>
            </w:r>
          </w:p>
        </w:tc>
        <w:tc>
          <w:tcPr>
            <w:tcW w:type="dxa" w:w="2498"/>
            <w:vAlign w:val="center"/>
            <w:shd w:fill="F4F6F8"/>
          </w:tcPr>
          <w:p>
            <w:pPr>
              <w:spacing w:after="20" w:before="20" w:line="247" w:lineRule="auto"/>
            </w:pPr>
            <w:r>
              <w:rPr>
                <w:b w:val="0"/>
                <w:i w:val="0"/>
                <w:sz w:val="20"/>
              </w:rPr>
              <w:t>FR-INT-001</w:t>
            </w:r>
          </w:p>
        </w:tc>
        <w:tc>
          <w:tcPr>
            <w:tcW w:type="dxa" w:w="2798"/>
            <w:vAlign w:val="center"/>
            <w:shd w:fill="F4F6F8"/>
          </w:tcPr>
          <w:p>
            <w:pPr>
              <w:spacing w:after="20" w:before="20" w:line="247" w:lineRule="auto"/>
            </w:pPr>
            <w:r>
              <w:rPr>
                <w:b w:val="0"/>
                <w:i w:val="0"/>
                <w:sz w:val="20"/>
              </w:rPr>
              <w:t>FT-INT-001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BR-INT-002</w:t>
            </w:r>
          </w:p>
        </w:tc>
        <w:tc>
          <w:tcPr>
            <w:tcW w:type="dxa" w:w="2498"/>
            <w:vAlign w:val="center"/>
            <w:shd w:fill="FFFFFF"/>
          </w:tcPr>
          <w:p>
            <w:pPr>
              <w:spacing w:after="20" w:before="20" w:line="247" w:lineRule="auto"/>
            </w:pPr>
            <w:r>
              <w:rPr>
                <w:b w:val="0"/>
                <w:i w:val="0"/>
                <w:sz w:val="20"/>
              </w:rPr>
              <w:t>FR-INT-002</w:t>
            </w:r>
          </w:p>
        </w:tc>
        <w:tc>
          <w:tcPr>
            <w:tcW w:type="dxa" w:w="2798"/>
            <w:vAlign w:val="center"/>
            <w:shd w:fill="FFFFFF"/>
          </w:tcPr>
          <w:p>
            <w:pPr>
              <w:spacing w:after="20" w:before="20" w:line="247" w:lineRule="auto"/>
            </w:pPr>
            <w:r>
              <w:rPr>
                <w:b w:val="0"/>
                <w:i w:val="0"/>
                <w:sz w:val="20"/>
              </w:rPr>
              <w:t>FT-INT-002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BR-INT-003</w:t>
            </w:r>
          </w:p>
        </w:tc>
        <w:tc>
          <w:tcPr>
            <w:tcW w:type="dxa" w:w="2498"/>
            <w:vAlign w:val="center"/>
            <w:shd w:fill="F4F6F8"/>
          </w:tcPr>
          <w:p>
            <w:pPr>
              <w:spacing w:after="20" w:before="20" w:line="247" w:lineRule="auto"/>
            </w:pPr>
            <w:r>
              <w:rPr>
                <w:b w:val="0"/>
                <w:i w:val="0"/>
                <w:sz w:val="20"/>
              </w:rPr>
              <w:t>FR-INT-003</w:t>
            </w:r>
          </w:p>
        </w:tc>
        <w:tc>
          <w:tcPr>
            <w:tcW w:type="dxa" w:w="2798"/>
            <w:vAlign w:val="center"/>
            <w:shd w:fill="F4F6F8"/>
          </w:tcPr>
          <w:p>
            <w:pPr>
              <w:spacing w:after="20" w:before="20" w:line="247" w:lineRule="auto"/>
            </w:pPr>
            <w:r>
              <w:rPr>
                <w:b w:val="0"/>
                <w:i w:val="0"/>
                <w:sz w:val="20"/>
              </w:rPr>
              <w:t>FT-INT-003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BR-INT-004</w:t>
            </w:r>
          </w:p>
        </w:tc>
        <w:tc>
          <w:tcPr>
            <w:tcW w:type="dxa" w:w="2498"/>
            <w:vAlign w:val="center"/>
            <w:shd w:fill="FFFFFF"/>
          </w:tcPr>
          <w:p>
            <w:pPr>
              <w:spacing w:after="20" w:before="20" w:line="247" w:lineRule="auto"/>
            </w:pPr>
            <w:r>
              <w:rPr>
                <w:b w:val="0"/>
                <w:i w:val="0"/>
                <w:sz w:val="20"/>
              </w:rPr>
              <w:t>FR-INT-004</w:t>
            </w:r>
          </w:p>
        </w:tc>
        <w:tc>
          <w:tcPr>
            <w:tcW w:type="dxa" w:w="2798"/>
            <w:vAlign w:val="center"/>
            <w:shd w:fill="FFFFFF"/>
          </w:tcPr>
          <w:p>
            <w:pPr>
              <w:spacing w:after="20" w:before="20" w:line="247" w:lineRule="auto"/>
            </w:pPr>
            <w:r>
              <w:rPr>
                <w:b w:val="0"/>
                <w:i w:val="0"/>
                <w:sz w:val="20"/>
              </w:rPr>
              <w:t>FT-INT-004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BR-INT-005</w:t>
            </w:r>
          </w:p>
        </w:tc>
        <w:tc>
          <w:tcPr>
            <w:tcW w:type="dxa" w:w="2498"/>
            <w:vAlign w:val="center"/>
            <w:shd w:fill="F4F6F8"/>
          </w:tcPr>
          <w:p>
            <w:pPr>
              <w:spacing w:after="20" w:before="20" w:line="247" w:lineRule="auto"/>
            </w:pPr>
            <w:r>
              <w:rPr>
                <w:b w:val="0"/>
                <w:i w:val="0"/>
                <w:sz w:val="20"/>
              </w:rPr>
              <w:t>FR-INT-005</w:t>
            </w:r>
          </w:p>
        </w:tc>
        <w:tc>
          <w:tcPr>
            <w:tcW w:type="dxa" w:w="2798"/>
            <w:vAlign w:val="center"/>
            <w:shd w:fill="F4F6F8"/>
          </w:tcPr>
          <w:p>
            <w:pPr>
              <w:spacing w:after="20" w:before="20" w:line="247" w:lineRule="auto"/>
            </w:pPr>
            <w:r>
              <w:rPr>
                <w:b w:val="0"/>
                <w:i w:val="0"/>
                <w:sz w:val="20"/>
              </w:rPr>
              <w:t>FT-INT-005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BR-INT-006</w:t>
            </w:r>
          </w:p>
        </w:tc>
        <w:tc>
          <w:tcPr>
            <w:tcW w:type="dxa" w:w="2498"/>
            <w:vAlign w:val="center"/>
            <w:shd w:fill="FFFFFF"/>
          </w:tcPr>
          <w:p>
            <w:pPr>
              <w:spacing w:after="20" w:before="20" w:line="247" w:lineRule="auto"/>
            </w:pPr>
            <w:r>
              <w:rPr>
                <w:b w:val="0"/>
                <w:i w:val="0"/>
                <w:sz w:val="20"/>
              </w:rPr>
              <w:t>FR-INT-006</w:t>
            </w:r>
          </w:p>
        </w:tc>
        <w:tc>
          <w:tcPr>
            <w:tcW w:type="dxa" w:w="2798"/>
            <w:vAlign w:val="center"/>
            <w:shd w:fill="FFFFFF"/>
          </w:tcPr>
          <w:p>
            <w:pPr>
              <w:spacing w:after="20" w:before="20" w:line="247" w:lineRule="auto"/>
            </w:pPr>
            <w:r>
              <w:rPr>
                <w:b w:val="0"/>
                <w:i w:val="0"/>
                <w:sz w:val="20"/>
              </w:rPr>
              <w:t>FT-INT-006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BR-INT-007</w:t>
            </w:r>
          </w:p>
        </w:tc>
        <w:tc>
          <w:tcPr>
            <w:tcW w:type="dxa" w:w="2498"/>
            <w:vAlign w:val="center"/>
            <w:shd w:fill="F4F6F8"/>
          </w:tcPr>
          <w:p>
            <w:pPr>
              <w:spacing w:after="20" w:before="20" w:line="247" w:lineRule="auto"/>
            </w:pPr>
            <w:r>
              <w:rPr>
                <w:b w:val="0"/>
                <w:i w:val="0"/>
                <w:sz w:val="20"/>
              </w:rPr>
              <w:t>FR-INT-007</w:t>
            </w:r>
          </w:p>
        </w:tc>
        <w:tc>
          <w:tcPr>
            <w:tcW w:type="dxa" w:w="2798"/>
            <w:vAlign w:val="center"/>
            <w:shd w:fill="F4F6F8"/>
          </w:tcPr>
          <w:p>
            <w:pPr>
              <w:spacing w:after="20" w:before="20" w:line="247" w:lineRule="auto"/>
            </w:pPr>
            <w:r>
              <w:rPr>
                <w:b w:val="0"/>
                <w:i w:val="0"/>
                <w:sz w:val="20"/>
              </w:rPr>
              <w:t>FT-INT-007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BR-INT-008</w:t>
            </w:r>
          </w:p>
        </w:tc>
        <w:tc>
          <w:tcPr>
            <w:tcW w:type="dxa" w:w="2498"/>
            <w:vAlign w:val="center"/>
            <w:shd w:fill="FFFFFF"/>
          </w:tcPr>
          <w:p>
            <w:pPr>
              <w:spacing w:after="20" w:before="20" w:line="247" w:lineRule="auto"/>
            </w:pPr>
            <w:r>
              <w:rPr>
                <w:b w:val="0"/>
                <w:i w:val="0"/>
                <w:sz w:val="20"/>
              </w:rPr>
              <w:t>FR-INT-008</w:t>
            </w:r>
          </w:p>
        </w:tc>
        <w:tc>
          <w:tcPr>
            <w:tcW w:type="dxa" w:w="2798"/>
            <w:vAlign w:val="center"/>
            <w:shd w:fill="FFFFFF"/>
          </w:tcPr>
          <w:p>
            <w:pPr>
              <w:spacing w:after="20" w:before="20" w:line="247" w:lineRule="auto"/>
            </w:pPr>
            <w:r>
              <w:rPr>
                <w:b w:val="0"/>
                <w:i w:val="0"/>
                <w:sz w:val="20"/>
              </w:rPr>
              <w:t>FT-INT-008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BR-INT-009</w:t>
            </w:r>
          </w:p>
        </w:tc>
        <w:tc>
          <w:tcPr>
            <w:tcW w:type="dxa" w:w="2498"/>
            <w:vAlign w:val="center"/>
            <w:shd w:fill="F4F6F8"/>
          </w:tcPr>
          <w:p>
            <w:pPr>
              <w:spacing w:after="20" w:before="20" w:line="247" w:lineRule="auto"/>
            </w:pPr>
            <w:r>
              <w:rPr>
                <w:b w:val="0"/>
                <w:i w:val="0"/>
                <w:sz w:val="20"/>
              </w:rPr>
              <w:t>FR-INT-009</w:t>
            </w:r>
          </w:p>
        </w:tc>
        <w:tc>
          <w:tcPr>
            <w:tcW w:type="dxa" w:w="2798"/>
            <w:vAlign w:val="center"/>
            <w:shd w:fill="F4F6F8"/>
          </w:tcPr>
          <w:p>
            <w:pPr>
              <w:spacing w:after="20" w:before="20" w:line="247" w:lineRule="auto"/>
            </w:pPr>
            <w:r>
              <w:rPr>
                <w:b w:val="0"/>
                <w:i w:val="0"/>
                <w:sz w:val="20"/>
              </w:rPr>
              <w:t>FT-INT-009</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BR-INT-010</w:t>
            </w:r>
          </w:p>
        </w:tc>
        <w:tc>
          <w:tcPr>
            <w:tcW w:type="dxa" w:w="2498"/>
            <w:vAlign w:val="center"/>
            <w:shd w:fill="FFFFFF"/>
          </w:tcPr>
          <w:p>
            <w:pPr>
              <w:spacing w:after="20" w:before="20" w:line="247" w:lineRule="auto"/>
            </w:pPr>
            <w:r>
              <w:rPr>
                <w:b w:val="0"/>
                <w:i w:val="0"/>
                <w:sz w:val="20"/>
              </w:rPr>
              <w:t>FR-INT-010</w:t>
            </w:r>
          </w:p>
        </w:tc>
        <w:tc>
          <w:tcPr>
            <w:tcW w:type="dxa" w:w="2798"/>
            <w:vAlign w:val="center"/>
            <w:shd w:fill="FFFFFF"/>
          </w:tcPr>
          <w:p>
            <w:pPr>
              <w:spacing w:after="20" w:before="20" w:line="247" w:lineRule="auto"/>
            </w:pPr>
            <w:r>
              <w:rPr>
                <w:b w:val="0"/>
                <w:i w:val="0"/>
                <w:sz w:val="20"/>
              </w:rPr>
              <w:t>FT-INT-010</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BR-AI-001</w:t>
            </w:r>
          </w:p>
        </w:tc>
        <w:tc>
          <w:tcPr>
            <w:tcW w:type="dxa" w:w="2498"/>
            <w:vAlign w:val="center"/>
            <w:shd w:fill="F4F6F8"/>
          </w:tcPr>
          <w:p>
            <w:pPr>
              <w:spacing w:after="20" w:before="20" w:line="247" w:lineRule="auto"/>
            </w:pPr>
            <w:r>
              <w:rPr>
                <w:b w:val="0"/>
                <w:i w:val="0"/>
                <w:sz w:val="20"/>
              </w:rPr>
              <w:t>FR-AI-001</w:t>
            </w:r>
          </w:p>
        </w:tc>
        <w:tc>
          <w:tcPr>
            <w:tcW w:type="dxa" w:w="2798"/>
            <w:vAlign w:val="center"/>
            <w:shd w:fill="F4F6F8"/>
          </w:tcPr>
          <w:p>
            <w:pPr>
              <w:spacing w:after="20" w:before="20" w:line="247" w:lineRule="auto"/>
            </w:pPr>
            <w:r>
              <w:rPr>
                <w:b w:val="0"/>
                <w:i w:val="0"/>
                <w:sz w:val="20"/>
              </w:rPr>
              <w:t>FT-AI-001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BR-AI-002</w:t>
            </w:r>
          </w:p>
        </w:tc>
        <w:tc>
          <w:tcPr>
            <w:tcW w:type="dxa" w:w="2498"/>
            <w:vAlign w:val="center"/>
            <w:shd w:fill="FFFFFF"/>
          </w:tcPr>
          <w:p>
            <w:pPr>
              <w:spacing w:after="20" w:before="20" w:line="247" w:lineRule="auto"/>
            </w:pPr>
            <w:r>
              <w:rPr>
                <w:b w:val="0"/>
                <w:i w:val="0"/>
                <w:sz w:val="20"/>
              </w:rPr>
              <w:t>FR-AI-002</w:t>
            </w:r>
          </w:p>
        </w:tc>
        <w:tc>
          <w:tcPr>
            <w:tcW w:type="dxa" w:w="2798"/>
            <w:vAlign w:val="center"/>
            <w:shd w:fill="FFFFFF"/>
          </w:tcPr>
          <w:p>
            <w:pPr>
              <w:spacing w:after="20" w:before="20" w:line="247" w:lineRule="auto"/>
            </w:pPr>
            <w:r>
              <w:rPr>
                <w:b w:val="0"/>
                <w:i w:val="0"/>
                <w:sz w:val="20"/>
              </w:rPr>
              <w:t>FT-AI-002</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BR-AI-003</w:t>
            </w:r>
          </w:p>
        </w:tc>
        <w:tc>
          <w:tcPr>
            <w:tcW w:type="dxa" w:w="2498"/>
            <w:vAlign w:val="center"/>
            <w:shd w:fill="F4F6F8"/>
          </w:tcPr>
          <w:p>
            <w:pPr>
              <w:spacing w:after="20" w:before="20" w:line="247" w:lineRule="auto"/>
            </w:pPr>
            <w:r>
              <w:rPr>
                <w:b w:val="0"/>
                <w:i w:val="0"/>
                <w:sz w:val="20"/>
              </w:rPr>
              <w:t>FR-AI-003</w:t>
            </w:r>
          </w:p>
        </w:tc>
        <w:tc>
          <w:tcPr>
            <w:tcW w:type="dxa" w:w="2798"/>
            <w:vAlign w:val="center"/>
            <w:shd w:fill="F4F6F8"/>
          </w:tcPr>
          <w:p>
            <w:pPr>
              <w:spacing w:after="20" w:before="20" w:line="247" w:lineRule="auto"/>
            </w:pPr>
            <w:r>
              <w:rPr>
                <w:b w:val="0"/>
                <w:i w:val="0"/>
                <w:sz w:val="20"/>
              </w:rPr>
              <w:t>FT-AI-003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BR-AI-004</w:t>
            </w:r>
          </w:p>
        </w:tc>
        <w:tc>
          <w:tcPr>
            <w:tcW w:type="dxa" w:w="2498"/>
            <w:vAlign w:val="center"/>
            <w:shd w:fill="FFFFFF"/>
          </w:tcPr>
          <w:p>
            <w:pPr>
              <w:spacing w:after="20" w:before="20" w:line="247" w:lineRule="auto"/>
            </w:pPr>
            <w:r>
              <w:rPr>
                <w:b w:val="0"/>
                <w:i w:val="0"/>
                <w:sz w:val="20"/>
              </w:rPr>
              <w:t>FR-AI-004</w:t>
            </w:r>
          </w:p>
        </w:tc>
        <w:tc>
          <w:tcPr>
            <w:tcW w:type="dxa" w:w="2798"/>
            <w:vAlign w:val="center"/>
            <w:shd w:fill="FFFFFF"/>
          </w:tcPr>
          <w:p>
            <w:pPr>
              <w:spacing w:after="20" w:before="20" w:line="247" w:lineRule="auto"/>
            </w:pPr>
            <w:r>
              <w:rPr>
                <w:b w:val="0"/>
                <w:i w:val="0"/>
                <w:sz w:val="20"/>
              </w:rPr>
              <w:t>FT-AI-004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BR-AI-005</w:t>
            </w:r>
          </w:p>
        </w:tc>
        <w:tc>
          <w:tcPr>
            <w:tcW w:type="dxa" w:w="2498"/>
            <w:vAlign w:val="center"/>
            <w:shd w:fill="F4F6F8"/>
          </w:tcPr>
          <w:p>
            <w:pPr>
              <w:spacing w:after="20" w:before="20" w:line="247" w:lineRule="auto"/>
            </w:pPr>
            <w:r>
              <w:rPr>
                <w:b w:val="0"/>
                <w:i w:val="0"/>
                <w:sz w:val="20"/>
              </w:rPr>
              <w:t>FR-AI-005</w:t>
            </w:r>
          </w:p>
        </w:tc>
        <w:tc>
          <w:tcPr>
            <w:tcW w:type="dxa" w:w="2798"/>
            <w:vAlign w:val="center"/>
            <w:shd w:fill="F4F6F8"/>
          </w:tcPr>
          <w:p>
            <w:pPr>
              <w:spacing w:after="20" w:before="20" w:line="247" w:lineRule="auto"/>
            </w:pPr>
            <w:r>
              <w:rPr>
                <w:b w:val="0"/>
                <w:i w:val="0"/>
                <w:sz w:val="20"/>
              </w:rPr>
              <w:t>FT-AI-005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BR-AI-006</w:t>
            </w:r>
          </w:p>
        </w:tc>
        <w:tc>
          <w:tcPr>
            <w:tcW w:type="dxa" w:w="2498"/>
            <w:vAlign w:val="center"/>
            <w:shd w:fill="FFFFFF"/>
          </w:tcPr>
          <w:p>
            <w:pPr>
              <w:spacing w:after="20" w:before="20" w:line="247" w:lineRule="auto"/>
            </w:pPr>
            <w:r>
              <w:rPr>
                <w:b w:val="0"/>
                <w:i w:val="0"/>
                <w:sz w:val="20"/>
              </w:rPr>
              <w:t>FR-AI-006</w:t>
            </w:r>
          </w:p>
        </w:tc>
        <w:tc>
          <w:tcPr>
            <w:tcW w:type="dxa" w:w="2798"/>
            <w:vAlign w:val="center"/>
            <w:shd w:fill="FFFFFF"/>
          </w:tcPr>
          <w:p>
            <w:pPr>
              <w:spacing w:after="20" w:before="20" w:line="247" w:lineRule="auto"/>
            </w:pPr>
            <w:r>
              <w:rPr>
                <w:b w:val="0"/>
                <w:i w:val="0"/>
                <w:sz w:val="20"/>
              </w:rPr>
              <w:t>FT-AI-006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BR-AI-007</w:t>
            </w:r>
          </w:p>
        </w:tc>
        <w:tc>
          <w:tcPr>
            <w:tcW w:type="dxa" w:w="2498"/>
            <w:vAlign w:val="center"/>
            <w:shd w:fill="F4F6F8"/>
          </w:tcPr>
          <w:p>
            <w:pPr>
              <w:spacing w:after="20" w:before="20" w:line="247" w:lineRule="auto"/>
            </w:pPr>
            <w:r>
              <w:rPr>
                <w:b w:val="0"/>
                <w:i w:val="0"/>
                <w:sz w:val="20"/>
              </w:rPr>
              <w:t>FR-AI-007</w:t>
            </w:r>
          </w:p>
        </w:tc>
        <w:tc>
          <w:tcPr>
            <w:tcW w:type="dxa" w:w="2798"/>
            <w:vAlign w:val="center"/>
            <w:shd w:fill="F4F6F8"/>
          </w:tcPr>
          <w:p>
            <w:pPr>
              <w:spacing w:after="20" w:before="20" w:line="247" w:lineRule="auto"/>
            </w:pPr>
            <w:r>
              <w:rPr>
                <w:b w:val="0"/>
                <w:i w:val="0"/>
                <w:sz w:val="20"/>
              </w:rPr>
              <w:t>FT-AI-007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BR-AI-008</w:t>
            </w:r>
          </w:p>
        </w:tc>
        <w:tc>
          <w:tcPr>
            <w:tcW w:type="dxa" w:w="2498"/>
            <w:vAlign w:val="center"/>
            <w:shd w:fill="FFFFFF"/>
          </w:tcPr>
          <w:p>
            <w:pPr>
              <w:spacing w:after="20" w:before="20" w:line="247" w:lineRule="auto"/>
            </w:pPr>
            <w:r>
              <w:rPr>
                <w:b w:val="0"/>
                <w:i w:val="0"/>
                <w:sz w:val="20"/>
              </w:rPr>
              <w:t>FR-AI-008</w:t>
            </w:r>
          </w:p>
        </w:tc>
        <w:tc>
          <w:tcPr>
            <w:tcW w:type="dxa" w:w="2798"/>
            <w:vAlign w:val="center"/>
            <w:shd w:fill="FFFFFF"/>
          </w:tcPr>
          <w:p>
            <w:pPr>
              <w:spacing w:after="20" w:before="20" w:line="247" w:lineRule="auto"/>
            </w:pPr>
            <w:r>
              <w:rPr>
                <w:b w:val="0"/>
                <w:i w:val="0"/>
                <w:sz w:val="20"/>
              </w:rPr>
              <w:t>FT-AI-008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BR-AI-009</w:t>
            </w:r>
          </w:p>
        </w:tc>
        <w:tc>
          <w:tcPr>
            <w:tcW w:type="dxa" w:w="2498"/>
            <w:vAlign w:val="center"/>
            <w:shd w:fill="F4F6F8"/>
          </w:tcPr>
          <w:p>
            <w:pPr>
              <w:spacing w:after="20" w:before="20" w:line="247" w:lineRule="auto"/>
            </w:pPr>
            <w:r>
              <w:rPr>
                <w:b w:val="0"/>
                <w:i w:val="0"/>
                <w:sz w:val="20"/>
              </w:rPr>
              <w:t>FR-AI-009</w:t>
            </w:r>
          </w:p>
        </w:tc>
        <w:tc>
          <w:tcPr>
            <w:tcW w:type="dxa" w:w="2798"/>
            <w:vAlign w:val="center"/>
            <w:shd w:fill="F4F6F8"/>
          </w:tcPr>
          <w:p>
            <w:pPr>
              <w:spacing w:after="20" w:before="20" w:line="247" w:lineRule="auto"/>
            </w:pPr>
            <w:r>
              <w:rPr>
                <w:b w:val="0"/>
                <w:i w:val="0"/>
                <w:sz w:val="20"/>
              </w:rPr>
              <w:t>FT-AI-009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BR-AI-010</w:t>
            </w:r>
          </w:p>
        </w:tc>
        <w:tc>
          <w:tcPr>
            <w:tcW w:type="dxa" w:w="2498"/>
            <w:vAlign w:val="center"/>
            <w:shd w:fill="FFFFFF"/>
          </w:tcPr>
          <w:p>
            <w:pPr>
              <w:spacing w:after="20" w:before="20" w:line="247" w:lineRule="auto"/>
            </w:pPr>
            <w:r>
              <w:rPr>
                <w:b w:val="0"/>
                <w:i w:val="0"/>
                <w:sz w:val="20"/>
              </w:rPr>
              <w:t>FR-AI-010</w:t>
            </w:r>
          </w:p>
        </w:tc>
        <w:tc>
          <w:tcPr>
            <w:tcW w:type="dxa" w:w="2798"/>
            <w:vAlign w:val="center"/>
            <w:shd w:fill="FFFFFF"/>
          </w:tcPr>
          <w:p>
            <w:pPr>
              <w:spacing w:after="20" w:before="20" w:line="247" w:lineRule="auto"/>
            </w:pPr>
            <w:r>
              <w:rPr>
                <w:b w:val="0"/>
                <w:i w:val="0"/>
                <w:sz w:val="20"/>
              </w:rPr>
              <w:t>FT-AI-010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BR-AI-011</w:t>
            </w:r>
          </w:p>
        </w:tc>
        <w:tc>
          <w:tcPr>
            <w:tcW w:type="dxa" w:w="2498"/>
            <w:vAlign w:val="center"/>
            <w:shd w:fill="F4F6F8"/>
          </w:tcPr>
          <w:p>
            <w:pPr>
              <w:spacing w:after="20" w:before="20" w:line="247" w:lineRule="auto"/>
            </w:pPr>
            <w:r>
              <w:rPr>
                <w:b w:val="0"/>
                <w:i w:val="0"/>
                <w:sz w:val="20"/>
              </w:rPr>
              <w:t>FR-AI-011</w:t>
            </w:r>
          </w:p>
        </w:tc>
        <w:tc>
          <w:tcPr>
            <w:tcW w:type="dxa" w:w="2798"/>
            <w:vAlign w:val="center"/>
            <w:shd w:fill="F4F6F8"/>
          </w:tcPr>
          <w:p>
            <w:pPr>
              <w:spacing w:after="20" w:before="20" w:line="247" w:lineRule="auto"/>
            </w:pPr>
            <w:r>
              <w:rPr>
                <w:b w:val="0"/>
                <w:i w:val="0"/>
                <w:sz w:val="20"/>
              </w:rPr>
              <w:t>FT-AI-011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BR-AI-012</w:t>
            </w:r>
          </w:p>
        </w:tc>
        <w:tc>
          <w:tcPr>
            <w:tcW w:type="dxa" w:w="2498"/>
            <w:vAlign w:val="center"/>
            <w:shd w:fill="FFFFFF"/>
          </w:tcPr>
          <w:p>
            <w:pPr>
              <w:spacing w:after="20" w:before="20" w:line="247" w:lineRule="auto"/>
            </w:pPr>
            <w:r>
              <w:rPr>
                <w:b w:val="0"/>
                <w:i w:val="0"/>
                <w:sz w:val="20"/>
              </w:rPr>
              <w:t>FR-AI-012</w:t>
            </w:r>
          </w:p>
        </w:tc>
        <w:tc>
          <w:tcPr>
            <w:tcW w:type="dxa" w:w="2798"/>
            <w:vAlign w:val="center"/>
            <w:shd w:fill="FFFFFF"/>
          </w:tcPr>
          <w:p>
            <w:pPr>
              <w:spacing w:after="20" w:before="20" w:line="247" w:lineRule="auto"/>
            </w:pPr>
            <w:r>
              <w:rPr>
                <w:b w:val="0"/>
                <w:i w:val="0"/>
                <w:sz w:val="20"/>
              </w:rPr>
              <w:t>FT-AI-012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BR-AI-013</w:t>
            </w:r>
          </w:p>
        </w:tc>
        <w:tc>
          <w:tcPr>
            <w:tcW w:type="dxa" w:w="2498"/>
            <w:vAlign w:val="center"/>
            <w:shd w:fill="F4F6F8"/>
          </w:tcPr>
          <w:p>
            <w:pPr>
              <w:spacing w:after="20" w:before="20" w:line="247" w:lineRule="auto"/>
            </w:pPr>
            <w:r>
              <w:rPr>
                <w:b w:val="0"/>
                <w:i w:val="0"/>
                <w:sz w:val="20"/>
              </w:rPr>
              <w:t>FR-AI-013</w:t>
            </w:r>
          </w:p>
        </w:tc>
        <w:tc>
          <w:tcPr>
            <w:tcW w:type="dxa" w:w="2798"/>
            <w:vAlign w:val="center"/>
            <w:shd w:fill="F4F6F8"/>
          </w:tcPr>
          <w:p>
            <w:pPr>
              <w:spacing w:after="20" w:before="20" w:line="247" w:lineRule="auto"/>
            </w:pPr>
            <w:r>
              <w:rPr>
                <w:b w:val="0"/>
                <w:i w:val="0"/>
                <w:sz w:val="20"/>
              </w:rPr>
              <w:t>FT-AI-013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BR-AI-014</w:t>
            </w:r>
          </w:p>
        </w:tc>
        <w:tc>
          <w:tcPr>
            <w:tcW w:type="dxa" w:w="2498"/>
            <w:vAlign w:val="center"/>
            <w:shd w:fill="FFFFFF"/>
          </w:tcPr>
          <w:p>
            <w:pPr>
              <w:spacing w:after="20" w:before="20" w:line="247" w:lineRule="auto"/>
            </w:pPr>
            <w:r>
              <w:rPr>
                <w:b w:val="0"/>
                <w:i w:val="0"/>
                <w:sz w:val="20"/>
              </w:rPr>
              <w:t>FR-AI-014</w:t>
            </w:r>
          </w:p>
        </w:tc>
        <w:tc>
          <w:tcPr>
            <w:tcW w:type="dxa" w:w="2798"/>
            <w:vAlign w:val="center"/>
            <w:shd w:fill="FFFFFF"/>
          </w:tcPr>
          <w:p>
            <w:pPr>
              <w:spacing w:after="20" w:before="20" w:line="247" w:lineRule="auto"/>
            </w:pPr>
            <w:r>
              <w:rPr>
                <w:b w:val="0"/>
                <w:i w:val="0"/>
                <w:sz w:val="20"/>
              </w:rPr>
              <w:t>FT-AI-014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BR-AI-015</w:t>
            </w:r>
          </w:p>
        </w:tc>
        <w:tc>
          <w:tcPr>
            <w:tcW w:type="dxa" w:w="2498"/>
            <w:vAlign w:val="center"/>
            <w:shd w:fill="F4F6F8"/>
          </w:tcPr>
          <w:p>
            <w:pPr>
              <w:spacing w:after="20" w:before="20" w:line="247" w:lineRule="auto"/>
            </w:pPr>
            <w:r>
              <w:rPr>
                <w:b w:val="0"/>
                <w:i w:val="0"/>
                <w:sz w:val="20"/>
              </w:rPr>
              <w:t>FR-AI-015</w:t>
            </w:r>
          </w:p>
        </w:tc>
        <w:tc>
          <w:tcPr>
            <w:tcW w:type="dxa" w:w="2798"/>
            <w:vAlign w:val="center"/>
            <w:shd w:fill="F4F6F8"/>
          </w:tcPr>
          <w:p>
            <w:pPr>
              <w:spacing w:after="20" w:before="20" w:line="247" w:lineRule="auto"/>
            </w:pPr>
            <w:r>
              <w:rPr>
                <w:b w:val="0"/>
                <w:i w:val="0"/>
                <w:sz w:val="20"/>
              </w:rPr>
              <w:t>FT-AI-015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BR-AI-016</w:t>
            </w:r>
          </w:p>
        </w:tc>
        <w:tc>
          <w:tcPr>
            <w:tcW w:type="dxa" w:w="2498"/>
            <w:vAlign w:val="center"/>
            <w:shd w:fill="FFFFFF"/>
          </w:tcPr>
          <w:p>
            <w:pPr>
              <w:spacing w:after="20" w:before="20" w:line="247" w:lineRule="auto"/>
            </w:pPr>
            <w:r>
              <w:rPr>
                <w:b w:val="0"/>
                <w:i w:val="0"/>
                <w:sz w:val="20"/>
              </w:rPr>
              <w:t>FR-AI-016</w:t>
            </w:r>
          </w:p>
        </w:tc>
        <w:tc>
          <w:tcPr>
            <w:tcW w:type="dxa" w:w="2798"/>
            <w:vAlign w:val="center"/>
            <w:shd w:fill="FFFFFF"/>
          </w:tcPr>
          <w:p>
            <w:pPr>
              <w:spacing w:after="20" w:before="20" w:line="247" w:lineRule="auto"/>
            </w:pPr>
            <w:r>
              <w:rPr>
                <w:b w:val="0"/>
                <w:i w:val="0"/>
                <w:sz w:val="20"/>
              </w:rPr>
              <w:t>FT-AI-016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BR-AI-017</w:t>
            </w:r>
          </w:p>
        </w:tc>
        <w:tc>
          <w:tcPr>
            <w:tcW w:type="dxa" w:w="2498"/>
            <w:vAlign w:val="center"/>
            <w:shd w:fill="F4F6F8"/>
          </w:tcPr>
          <w:p>
            <w:pPr>
              <w:spacing w:after="20" w:before="20" w:line="247" w:lineRule="auto"/>
            </w:pPr>
            <w:r>
              <w:rPr>
                <w:b w:val="0"/>
                <w:i w:val="0"/>
                <w:sz w:val="20"/>
              </w:rPr>
              <w:t>FR-AI-017</w:t>
            </w:r>
          </w:p>
        </w:tc>
        <w:tc>
          <w:tcPr>
            <w:tcW w:type="dxa" w:w="2798"/>
            <w:vAlign w:val="center"/>
            <w:shd w:fill="F4F6F8"/>
          </w:tcPr>
          <w:p>
            <w:pPr>
              <w:spacing w:after="20" w:before="20" w:line="247" w:lineRule="auto"/>
            </w:pPr>
            <w:r>
              <w:rPr>
                <w:b w:val="0"/>
                <w:i w:val="0"/>
                <w:sz w:val="20"/>
              </w:rPr>
              <w:t>FT-AI-017</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BR-AI-018</w:t>
            </w:r>
          </w:p>
        </w:tc>
        <w:tc>
          <w:tcPr>
            <w:tcW w:type="dxa" w:w="2498"/>
            <w:vAlign w:val="center"/>
            <w:shd w:fill="FFFFFF"/>
          </w:tcPr>
          <w:p>
            <w:pPr>
              <w:spacing w:after="20" w:before="20" w:line="247" w:lineRule="auto"/>
            </w:pPr>
            <w:r>
              <w:rPr>
                <w:b w:val="0"/>
                <w:i w:val="0"/>
                <w:sz w:val="20"/>
              </w:rPr>
              <w:t>FR-AI-018</w:t>
            </w:r>
          </w:p>
        </w:tc>
        <w:tc>
          <w:tcPr>
            <w:tcW w:type="dxa" w:w="2798"/>
            <w:vAlign w:val="center"/>
            <w:shd w:fill="FFFFFF"/>
          </w:tcPr>
          <w:p>
            <w:pPr>
              <w:spacing w:after="20" w:before="20" w:line="247" w:lineRule="auto"/>
            </w:pPr>
            <w:r>
              <w:rPr>
                <w:b w:val="0"/>
                <w:i w:val="0"/>
                <w:sz w:val="20"/>
              </w:rPr>
              <w:t>FT-AI-018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BR-SEC-001</w:t>
            </w:r>
          </w:p>
        </w:tc>
        <w:tc>
          <w:tcPr>
            <w:tcW w:type="dxa" w:w="2498"/>
            <w:vAlign w:val="center"/>
            <w:shd w:fill="F4F6F8"/>
          </w:tcPr>
          <w:p>
            <w:pPr>
              <w:spacing w:after="20" w:before="20" w:line="247" w:lineRule="auto"/>
            </w:pPr>
            <w:r>
              <w:rPr>
                <w:b w:val="0"/>
                <w:i w:val="0"/>
                <w:sz w:val="20"/>
              </w:rPr>
              <w:t>FR-SEC-001</w:t>
            </w:r>
          </w:p>
        </w:tc>
        <w:tc>
          <w:tcPr>
            <w:tcW w:type="dxa" w:w="2798"/>
            <w:vAlign w:val="center"/>
            <w:shd w:fill="F4F6F8"/>
          </w:tcPr>
          <w:p>
            <w:pPr>
              <w:spacing w:after="20" w:before="20" w:line="247" w:lineRule="auto"/>
            </w:pPr>
            <w:r>
              <w:rPr>
                <w:b w:val="0"/>
                <w:i w:val="0"/>
                <w:sz w:val="20"/>
              </w:rPr>
              <w:t>FT-SEC-001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BR-SEC-002</w:t>
            </w:r>
          </w:p>
        </w:tc>
        <w:tc>
          <w:tcPr>
            <w:tcW w:type="dxa" w:w="2498"/>
            <w:vAlign w:val="center"/>
            <w:shd w:fill="FFFFFF"/>
          </w:tcPr>
          <w:p>
            <w:pPr>
              <w:spacing w:after="20" w:before="20" w:line="247" w:lineRule="auto"/>
            </w:pPr>
            <w:r>
              <w:rPr>
                <w:b w:val="0"/>
                <w:i w:val="0"/>
                <w:sz w:val="20"/>
              </w:rPr>
              <w:t>FR-SEC-002</w:t>
            </w:r>
          </w:p>
        </w:tc>
        <w:tc>
          <w:tcPr>
            <w:tcW w:type="dxa" w:w="2798"/>
            <w:vAlign w:val="center"/>
            <w:shd w:fill="FFFFFF"/>
          </w:tcPr>
          <w:p>
            <w:pPr>
              <w:spacing w:after="20" w:before="20" w:line="247" w:lineRule="auto"/>
            </w:pPr>
            <w:r>
              <w:rPr>
                <w:b w:val="0"/>
                <w:i w:val="0"/>
                <w:sz w:val="20"/>
              </w:rPr>
              <w:t>FT-SEC-002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BR-SEC-003</w:t>
            </w:r>
          </w:p>
        </w:tc>
        <w:tc>
          <w:tcPr>
            <w:tcW w:type="dxa" w:w="2498"/>
            <w:vAlign w:val="center"/>
            <w:shd w:fill="F4F6F8"/>
          </w:tcPr>
          <w:p>
            <w:pPr>
              <w:spacing w:after="20" w:before="20" w:line="247" w:lineRule="auto"/>
            </w:pPr>
            <w:r>
              <w:rPr>
                <w:b w:val="0"/>
                <w:i w:val="0"/>
                <w:sz w:val="20"/>
              </w:rPr>
              <w:t>FR-SEC-003</w:t>
            </w:r>
          </w:p>
        </w:tc>
        <w:tc>
          <w:tcPr>
            <w:tcW w:type="dxa" w:w="2798"/>
            <w:vAlign w:val="center"/>
            <w:shd w:fill="F4F6F8"/>
          </w:tcPr>
          <w:p>
            <w:pPr>
              <w:spacing w:after="20" w:before="20" w:line="247" w:lineRule="auto"/>
            </w:pPr>
            <w:r>
              <w:rPr>
                <w:b w:val="0"/>
                <w:i w:val="0"/>
                <w:sz w:val="20"/>
              </w:rPr>
              <w:t>FT-SEC-003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BR-SEC-004</w:t>
            </w:r>
          </w:p>
        </w:tc>
        <w:tc>
          <w:tcPr>
            <w:tcW w:type="dxa" w:w="2498"/>
            <w:vAlign w:val="center"/>
            <w:shd w:fill="FFFFFF"/>
          </w:tcPr>
          <w:p>
            <w:pPr>
              <w:spacing w:after="20" w:before="20" w:line="247" w:lineRule="auto"/>
            </w:pPr>
            <w:r>
              <w:rPr>
                <w:b w:val="0"/>
                <w:i w:val="0"/>
                <w:sz w:val="20"/>
              </w:rPr>
              <w:t>FR-SEC-004</w:t>
            </w:r>
          </w:p>
        </w:tc>
        <w:tc>
          <w:tcPr>
            <w:tcW w:type="dxa" w:w="2798"/>
            <w:vAlign w:val="center"/>
            <w:shd w:fill="FFFFFF"/>
          </w:tcPr>
          <w:p>
            <w:pPr>
              <w:spacing w:after="20" w:before="20" w:line="247" w:lineRule="auto"/>
            </w:pPr>
            <w:r>
              <w:rPr>
                <w:b w:val="0"/>
                <w:i w:val="0"/>
                <w:sz w:val="20"/>
              </w:rPr>
              <w:t>FT-SEC-004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BR-SEC-005</w:t>
            </w:r>
          </w:p>
        </w:tc>
        <w:tc>
          <w:tcPr>
            <w:tcW w:type="dxa" w:w="2498"/>
            <w:vAlign w:val="center"/>
            <w:shd w:fill="F4F6F8"/>
          </w:tcPr>
          <w:p>
            <w:pPr>
              <w:spacing w:after="20" w:before="20" w:line="247" w:lineRule="auto"/>
            </w:pPr>
            <w:r>
              <w:rPr>
                <w:b w:val="0"/>
                <w:i w:val="0"/>
                <w:sz w:val="20"/>
              </w:rPr>
              <w:t>FR-SEC-005</w:t>
            </w:r>
          </w:p>
        </w:tc>
        <w:tc>
          <w:tcPr>
            <w:tcW w:type="dxa" w:w="2798"/>
            <w:vAlign w:val="center"/>
            <w:shd w:fill="F4F6F8"/>
          </w:tcPr>
          <w:p>
            <w:pPr>
              <w:spacing w:after="20" w:before="20" w:line="247" w:lineRule="auto"/>
            </w:pPr>
            <w:r>
              <w:rPr>
                <w:b w:val="0"/>
                <w:i w:val="0"/>
                <w:sz w:val="20"/>
              </w:rPr>
              <w:t>FT-SEC-005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BR-SEC-006</w:t>
            </w:r>
          </w:p>
        </w:tc>
        <w:tc>
          <w:tcPr>
            <w:tcW w:type="dxa" w:w="2498"/>
            <w:vAlign w:val="center"/>
            <w:shd w:fill="FFFFFF"/>
          </w:tcPr>
          <w:p>
            <w:pPr>
              <w:spacing w:after="20" w:before="20" w:line="247" w:lineRule="auto"/>
            </w:pPr>
            <w:r>
              <w:rPr>
                <w:b w:val="0"/>
                <w:i w:val="0"/>
                <w:sz w:val="20"/>
              </w:rPr>
              <w:t>FR-SEC-006</w:t>
            </w:r>
          </w:p>
        </w:tc>
        <w:tc>
          <w:tcPr>
            <w:tcW w:type="dxa" w:w="2798"/>
            <w:vAlign w:val="center"/>
            <w:shd w:fill="FFFFFF"/>
          </w:tcPr>
          <w:p>
            <w:pPr>
              <w:spacing w:after="20" w:before="20" w:line="247" w:lineRule="auto"/>
            </w:pPr>
            <w:r>
              <w:rPr>
                <w:b w:val="0"/>
                <w:i w:val="0"/>
                <w:sz w:val="20"/>
              </w:rPr>
              <w:t>FT-SEC-006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BR-SEC-007</w:t>
            </w:r>
          </w:p>
        </w:tc>
        <w:tc>
          <w:tcPr>
            <w:tcW w:type="dxa" w:w="2498"/>
            <w:vAlign w:val="center"/>
            <w:shd w:fill="F4F6F8"/>
          </w:tcPr>
          <w:p>
            <w:pPr>
              <w:spacing w:after="20" w:before="20" w:line="247" w:lineRule="auto"/>
            </w:pPr>
            <w:r>
              <w:rPr>
                <w:b w:val="0"/>
                <w:i w:val="0"/>
                <w:sz w:val="20"/>
              </w:rPr>
              <w:t>FR-SEC-007</w:t>
            </w:r>
          </w:p>
        </w:tc>
        <w:tc>
          <w:tcPr>
            <w:tcW w:type="dxa" w:w="2798"/>
            <w:vAlign w:val="center"/>
            <w:shd w:fill="F4F6F8"/>
          </w:tcPr>
          <w:p>
            <w:pPr>
              <w:spacing w:after="20" w:before="20" w:line="247" w:lineRule="auto"/>
            </w:pPr>
            <w:r>
              <w:rPr>
                <w:b w:val="0"/>
                <w:i w:val="0"/>
                <w:sz w:val="20"/>
              </w:rPr>
              <w:t>FT-SEC-007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BR-SEC-008</w:t>
            </w:r>
          </w:p>
        </w:tc>
        <w:tc>
          <w:tcPr>
            <w:tcW w:type="dxa" w:w="2498"/>
            <w:vAlign w:val="center"/>
            <w:shd w:fill="FFFFFF"/>
          </w:tcPr>
          <w:p>
            <w:pPr>
              <w:spacing w:after="20" w:before="20" w:line="247" w:lineRule="auto"/>
            </w:pPr>
            <w:r>
              <w:rPr>
                <w:b w:val="0"/>
                <w:i w:val="0"/>
                <w:sz w:val="20"/>
              </w:rPr>
              <w:t>FR-SEC-008</w:t>
            </w:r>
          </w:p>
        </w:tc>
        <w:tc>
          <w:tcPr>
            <w:tcW w:type="dxa" w:w="2798"/>
            <w:vAlign w:val="center"/>
            <w:shd w:fill="FFFFFF"/>
          </w:tcPr>
          <w:p>
            <w:pPr>
              <w:spacing w:after="20" w:before="20" w:line="247" w:lineRule="auto"/>
            </w:pPr>
            <w:r>
              <w:rPr>
                <w:b w:val="0"/>
                <w:i w:val="0"/>
                <w:sz w:val="20"/>
              </w:rPr>
              <w:t>FT-SEC-008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BR-SEC-009</w:t>
            </w:r>
          </w:p>
        </w:tc>
        <w:tc>
          <w:tcPr>
            <w:tcW w:type="dxa" w:w="2498"/>
            <w:vAlign w:val="center"/>
            <w:shd w:fill="F4F6F8"/>
          </w:tcPr>
          <w:p>
            <w:pPr>
              <w:spacing w:after="20" w:before="20" w:line="247" w:lineRule="auto"/>
            </w:pPr>
            <w:r>
              <w:rPr>
                <w:b w:val="0"/>
                <w:i w:val="0"/>
                <w:sz w:val="20"/>
              </w:rPr>
              <w:t>FR-SEC-009</w:t>
            </w:r>
          </w:p>
        </w:tc>
        <w:tc>
          <w:tcPr>
            <w:tcW w:type="dxa" w:w="2798"/>
            <w:vAlign w:val="center"/>
            <w:shd w:fill="F4F6F8"/>
          </w:tcPr>
          <w:p>
            <w:pPr>
              <w:spacing w:after="20" w:before="20" w:line="247" w:lineRule="auto"/>
            </w:pPr>
            <w:r>
              <w:rPr>
                <w:b w:val="0"/>
                <w:i w:val="0"/>
                <w:sz w:val="20"/>
              </w:rPr>
              <w:t>FT-SEC-009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BR-SEC-010</w:t>
            </w:r>
          </w:p>
        </w:tc>
        <w:tc>
          <w:tcPr>
            <w:tcW w:type="dxa" w:w="2498"/>
            <w:vAlign w:val="center"/>
            <w:shd w:fill="FFFFFF"/>
          </w:tcPr>
          <w:p>
            <w:pPr>
              <w:spacing w:after="20" w:before="20" w:line="247" w:lineRule="auto"/>
            </w:pPr>
            <w:r>
              <w:rPr>
                <w:b w:val="0"/>
                <w:i w:val="0"/>
                <w:sz w:val="20"/>
              </w:rPr>
              <w:t>FR-SEC-010</w:t>
            </w:r>
          </w:p>
        </w:tc>
        <w:tc>
          <w:tcPr>
            <w:tcW w:type="dxa" w:w="2798"/>
            <w:vAlign w:val="center"/>
            <w:shd w:fill="FFFFFF"/>
          </w:tcPr>
          <w:p>
            <w:pPr>
              <w:spacing w:after="20" w:before="20" w:line="247" w:lineRule="auto"/>
            </w:pPr>
            <w:r>
              <w:rPr>
                <w:b w:val="0"/>
                <w:i w:val="0"/>
                <w:sz w:val="20"/>
              </w:rPr>
              <w:t>FT-SEC-010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BR-SEC-011</w:t>
            </w:r>
          </w:p>
        </w:tc>
        <w:tc>
          <w:tcPr>
            <w:tcW w:type="dxa" w:w="2498"/>
            <w:vAlign w:val="center"/>
            <w:shd w:fill="F4F6F8"/>
          </w:tcPr>
          <w:p>
            <w:pPr>
              <w:spacing w:after="20" w:before="20" w:line="247" w:lineRule="auto"/>
            </w:pPr>
            <w:r>
              <w:rPr>
                <w:b w:val="0"/>
                <w:i w:val="0"/>
                <w:sz w:val="20"/>
              </w:rPr>
              <w:t>FR-SEC-011</w:t>
            </w:r>
          </w:p>
        </w:tc>
        <w:tc>
          <w:tcPr>
            <w:tcW w:type="dxa" w:w="2798"/>
            <w:vAlign w:val="center"/>
            <w:shd w:fill="F4F6F8"/>
          </w:tcPr>
          <w:p>
            <w:pPr>
              <w:spacing w:after="20" w:before="20" w:line="247" w:lineRule="auto"/>
            </w:pPr>
            <w:r>
              <w:rPr>
                <w:b w:val="0"/>
                <w:i w:val="0"/>
                <w:sz w:val="20"/>
              </w:rPr>
              <w:t>FT-SEC-011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BR-SEC-012</w:t>
            </w:r>
          </w:p>
        </w:tc>
        <w:tc>
          <w:tcPr>
            <w:tcW w:type="dxa" w:w="2498"/>
            <w:vAlign w:val="center"/>
            <w:shd w:fill="FFFFFF"/>
          </w:tcPr>
          <w:p>
            <w:pPr>
              <w:spacing w:after="20" w:before="20" w:line="247" w:lineRule="auto"/>
            </w:pPr>
            <w:r>
              <w:rPr>
                <w:b w:val="0"/>
                <w:i w:val="0"/>
                <w:sz w:val="20"/>
              </w:rPr>
              <w:t>FR-SEC-012</w:t>
            </w:r>
          </w:p>
        </w:tc>
        <w:tc>
          <w:tcPr>
            <w:tcW w:type="dxa" w:w="2798"/>
            <w:vAlign w:val="center"/>
            <w:shd w:fill="FFFFFF"/>
          </w:tcPr>
          <w:p>
            <w:pPr>
              <w:spacing w:after="20" w:before="20" w:line="247" w:lineRule="auto"/>
            </w:pPr>
            <w:r>
              <w:rPr>
                <w:b w:val="0"/>
                <w:i w:val="0"/>
                <w:sz w:val="20"/>
              </w:rPr>
              <w:t>FT-SEC-012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BR-SEC-013</w:t>
            </w:r>
          </w:p>
        </w:tc>
        <w:tc>
          <w:tcPr>
            <w:tcW w:type="dxa" w:w="2498"/>
            <w:vAlign w:val="center"/>
            <w:shd w:fill="F4F6F8"/>
          </w:tcPr>
          <w:p>
            <w:pPr>
              <w:spacing w:after="20" w:before="20" w:line="247" w:lineRule="auto"/>
            </w:pPr>
            <w:r>
              <w:rPr>
                <w:b w:val="0"/>
                <w:i w:val="0"/>
                <w:sz w:val="20"/>
              </w:rPr>
              <w:t>FR-SEC-013</w:t>
            </w:r>
          </w:p>
        </w:tc>
        <w:tc>
          <w:tcPr>
            <w:tcW w:type="dxa" w:w="2798"/>
            <w:vAlign w:val="center"/>
            <w:shd w:fill="F4F6F8"/>
          </w:tcPr>
          <w:p>
            <w:pPr>
              <w:spacing w:after="20" w:before="20" w:line="247" w:lineRule="auto"/>
            </w:pPr>
            <w:r>
              <w:rPr>
                <w:b w:val="0"/>
                <w:i w:val="0"/>
                <w:sz w:val="20"/>
              </w:rPr>
              <w:t>FT-SEC-013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BR-SEC-014</w:t>
            </w:r>
          </w:p>
        </w:tc>
        <w:tc>
          <w:tcPr>
            <w:tcW w:type="dxa" w:w="2498"/>
            <w:vAlign w:val="center"/>
            <w:shd w:fill="FFFFFF"/>
          </w:tcPr>
          <w:p>
            <w:pPr>
              <w:spacing w:after="20" w:before="20" w:line="247" w:lineRule="auto"/>
            </w:pPr>
            <w:r>
              <w:rPr>
                <w:b w:val="0"/>
                <w:i w:val="0"/>
                <w:sz w:val="20"/>
              </w:rPr>
              <w:t>FR-SEC-014</w:t>
            </w:r>
          </w:p>
        </w:tc>
        <w:tc>
          <w:tcPr>
            <w:tcW w:type="dxa" w:w="2798"/>
            <w:vAlign w:val="center"/>
            <w:shd w:fill="FFFFFF"/>
          </w:tcPr>
          <w:p>
            <w:pPr>
              <w:spacing w:after="20" w:before="20" w:line="247" w:lineRule="auto"/>
            </w:pPr>
            <w:r>
              <w:rPr>
                <w:b w:val="0"/>
                <w:i w:val="0"/>
                <w:sz w:val="20"/>
              </w:rPr>
              <w:t>FT-SEC-014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BR-SEC-015</w:t>
            </w:r>
          </w:p>
        </w:tc>
        <w:tc>
          <w:tcPr>
            <w:tcW w:type="dxa" w:w="2498"/>
            <w:vAlign w:val="center"/>
            <w:shd w:fill="F4F6F8"/>
          </w:tcPr>
          <w:p>
            <w:pPr>
              <w:spacing w:after="20" w:before="20" w:line="247" w:lineRule="auto"/>
            </w:pPr>
            <w:r>
              <w:rPr>
                <w:b w:val="0"/>
                <w:i w:val="0"/>
                <w:sz w:val="20"/>
              </w:rPr>
              <w:t>FR-SEC-015</w:t>
            </w:r>
          </w:p>
        </w:tc>
        <w:tc>
          <w:tcPr>
            <w:tcW w:type="dxa" w:w="2798"/>
            <w:vAlign w:val="center"/>
            <w:shd w:fill="F4F6F8"/>
          </w:tcPr>
          <w:p>
            <w:pPr>
              <w:spacing w:after="20" w:before="20" w:line="247" w:lineRule="auto"/>
            </w:pPr>
            <w:r>
              <w:rPr>
                <w:b w:val="0"/>
                <w:i w:val="0"/>
                <w:sz w:val="20"/>
              </w:rPr>
              <w:t>FT-SEC-015</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BR-PRV-001</w:t>
            </w:r>
          </w:p>
        </w:tc>
        <w:tc>
          <w:tcPr>
            <w:tcW w:type="dxa" w:w="2498"/>
            <w:vAlign w:val="center"/>
            <w:shd w:fill="FFFFFF"/>
          </w:tcPr>
          <w:p>
            <w:pPr>
              <w:spacing w:after="20" w:before="20" w:line="247" w:lineRule="auto"/>
            </w:pPr>
            <w:r>
              <w:rPr>
                <w:b w:val="0"/>
                <w:i w:val="0"/>
                <w:sz w:val="20"/>
              </w:rPr>
              <w:t>FR-PRV-001</w:t>
            </w:r>
          </w:p>
        </w:tc>
        <w:tc>
          <w:tcPr>
            <w:tcW w:type="dxa" w:w="2798"/>
            <w:vAlign w:val="center"/>
            <w:shd w:fill="FFFFFF"/>
          </w:tcPr>
          <w:p>
            <w:pPr>
              <w:spacing w:after="20" w:before="20" w:line="247" w:lineRule="auto"/>
            </w:pPr>
            <w:r>
              <w:rPr>
                <w:b w:val="0"/>
                <w:i w:val="0"/>
                <w:sz w:val="20"/>
              </w:rPr>
              <w:t>FT-PRV-001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BR-PRV-002</w:t>
            </w:r>
          </w:p>
        </w:tc>
        <w:tc>
          <w:tcPr>
            <w:tcW w:type="dxa" w:w="2498"/>
            <w:vAlign w:val="center"/>
            <w:shd w:fill="F4F6F8"/>
          </w:tcPr>
          <w:p>
            <w:pPr>
              <w:spacing w:after="20" w:before="20" w:line="247" w:lineRule="auto"/>
            </w:pPr>
            <w:r>
              <w:rPr>
                <w:b w:val="0"/>
                <w:i w:val="0"/>
                <w:sz w:val="20"/>
              </w:rPr>
              <w:t>FR-PRV-002</w:t>
            </w:r>
          </w:p>
        </w:tc>
        <w:tc>
          <w:tcPr>
            <w:tcW w:type="dxa" w:w="2798"/>
            <w:vAlign w:val="center"/>
            <w:shd w:fill="F4F6F8"/>
          </w:tcPr>
          <w:p>
            <w:pPr>
              <w:spacing w:after="20" w:before="20" w:line="247" w:lineRule="auto"/>
            </w:pPr>
            <w:r>
              <w:rPr>
                <w:b w:val="0"/>
                <w:i w:val="0"/>
                <w:sz w:val="20"/>
              </w:rPr>
              <w:t>FT-PRV-002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BR-PRV-003</w:t>
            </w:r>
          </w:p>
        </w:tc>
        <w:tc>
          <w:tcPr>
            <w:tcW w:type="dxa" w:w="2498"/>
            <w:vAlign w:val="center"/>
            <w:shd w:fill="FFFFFF"/>
          </w:tcPr>
          <w:p>
            <w:pPr>
              <w:spacing w:after="20" w:before="20" w:line="247" w:lineRule="auto"/>
            </w:pPr>
            <w:r>
              <w:rPr>
                <w:b w:val="0"/>
                <w:i w:val="0"/>
                <w:sz w:val="20"/>
              </w:rPr>
              <w:t>FR-PRV-003</w:t>
            </w:r>
          </w:p>
        </w:tc>
        <w:tc>
          <w:tcPr>
            <w:tcW w:type="dxa" w:w="2798"/>
            <w:vAlign w:val="center"/>
            <w:shd w:fill="FFFFFF"/>
          </w:tcPr>
          <w:p>
            <w:pPr>
              <w:spacing w:after="20" w:before="20" w:line="247" w:lineRule="auto"/>
            </w:pPr>
            <w:r>
              <w:rPr>
                <w:b w:val="0"/>
                <w:i w:val="0"/>
                <w:sz w:val="20"/>
              </w:rPr>
              <w:t>FT-PRV-003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BR-PRV-004</w:t>
            </w:r>
          </w:p>
        </w:tc>
        <w:tc>
          <w:tcPr>
            <w:tcW w:type="dxa" w:w="2498"/>
            <w:vAlign w:val="center"/>
            <w:shd w:fill="F4F6F8"/>
          </w:tcPr>
          <w:p>
            <w:pPr>
              <w:spacing w:after="20" w:before="20" w:line="247" w:lineRule="auto"/>
            </w:pPr>
            <w:r>
              <w:rPr>
                <w:b w:val="0"/>
                <w:i w:val="0"/>
                <w:sz w:val="20"/>
              </w:rPr>
              <w:t>FR-PRV-004</w:t>
            </w:r>
          </w:p>
        </w:tc>
        <w:tc>
          <w:tcPr>
            <w:tcW w:type="dxa" w:w="2798"/>
            <w:vAlign w:val="center"/>
            <w:shd w:fill="F4F6F8"/>
          </w:tcPr>
          <w:p>
            <w:pPr>
              <w:spacing w:after="20" w:before="20" w:line="247" w:lineRule="auto"/>
            </w:pPr>
            <w:r>
              <w:rPr>
                <w:b w:val="0"/>
                <w:i w:val="0"/>
                <w:sz w:val="20"/>
              </w:rPr>
              <w:t>FT-PRV-004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BR-PRV-005</w:t>
            </w:r>
          </w:p>
        </w:tc>
        <w:tc>
          <w:tcPr>
            <w:tcW w:type="dxa" w:w="2498"/>
            <w:vAlign w:val="center"/>
            <w:shd w:fill="FFFFFF"/>
          </w:tcPr>
          <w:p>
            <w:pPr>
              <w:spacing w:after="20" w:before="20" w:line="247" w:lineRule="auto"/>
            </w:pPr>
            <w:r>
              <w:rPr>
                <w:b w:val="0"/>
                <w:i w:val="0"/>
                <w:sz w:val="20"/>
              </w:rPr>
              <w:t>FR-PRV-005</w:t>
            </w:r>
          </w:p>
        </w:tc>
        <w:tc>
          <w:tcPr>
            <w:tcW w:type="dxa" w:w="2798"/>
            <w:vAlign w:val="center"/>
            <w:shd w:fill="FFFFFF"/>
          </w:tcPr>
          <w:p>
            <w:pPr>
              <w:spacing w:after="20" w:before="20" w:line="247" w:lineRule="auto"/>
            </w:pPr>
            <w:r>
              <w:rPr>
                <w:b w:val="0"/>
                <w:i w:val="0"/>
                <w:sz w:val="20"/>
              </w:rPr>
              <w:t>FT-PRV-005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BR-PRV-006</w:t>
            </w:r>
          </w:p>
        </w:tc>
        <w:tc>
          <w:tcPr>
            <w:tcW w:type="dxa" w:w="2498"/>
            <w:vAlign w:val="center"/>
            <w:shd w:fill="F4F6F8"/>
          </w:tcPr>
          <w:p>
            <w:pPr>
              <w:spacing w:after="20" w:before="20" w:line="247" w:lineRule="auto"/>
            </w:pPr>
            <w:r>
              <w:rPr>
                <w:b w:val="0"/>
                <w:i w:val="0"/>
                <w:sz w:val="20"/>
              </w:rPr>
              <w:t>FR-PRV-006</w:t>
            </w:r>
          </w:p>
        </w:tc>
        <w:tc>
          <w:tcPr>
            <w:tcW w:type="dxa" w:w="2798"/>
            <w:vAlign w:val="center"/>
            <w:shd w:fill="F4F6F8"/>
          </w:tcPr>
          <w:p>
            <w:pPr>
              <w:spacing w:after="20" w:before="20" w:line="247" w:lineRule="auto"/>
            </w:pPr>
            <w:r>
              <w:rPr>
                <w:b w:val="0"/>
                <w:i w:val="0"/>
                <w:sz w:val="20"/>
              </w:rPr>
              <w:t>FT-PRV-006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BR-PRV-007</w:t>
            </w:r>
          </w:p>
        </w:tc>
        <w:tc>
          <w:tcPr>
            <w:tcW w:type="dxa" w:w="2498"/>
            <w:vAlign w:val="center"/>
            <w:shd w:fill="FFFFFF"/>
          </w:tcPr>
          <w:p>
            <w:pPr>
              <w:spacing w:after="20" w:before="20" w:line="247" w:lineRule="auto"/>
            </w:pPr>
            <w:r>
              <w:rPr>
                <w:b w:val="0"/>
                <w:i w:val="0"/>
                <w:sz w:val="20"/>
              </w:rPr>
              <w:t>FR-PRV-007</w:t>
            </w:r>
          </w:p>
        </w:tc>
        <w:tc>
          <w:tcPr>
            <w:tcW w:type="dxa" w:w="2798"/>
            <w:vAlign w:val="center"/>
            <w:shd w:fill="FFFFFF"/>
          </w:tcPr>
          <w:p>
            <w:pPr>
              <w:spacing w:after="20" w:before="20" w:line="247" w:lineRule="auto"/>
            </w:pPr>
            <w:r>
              <w:rPr>
                <w:b w:val="0"/>
                <w:i w:val="0"/>
                <w:sz w:val="20"/>
              </w:rPr>
              <w:t>FT-PRV-007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BR-PRV-008</w:t>
            </w:r>
          </w:p>
        </w:tc>
        <w:tc>
          <w:tcPr>
            <w:tcW w:type="dxa" w:w="2498"/>
            <w:vAlign w:val="center"/>
            <w:shd w:fill="F4F6F8"/>
          </w:tcPr>
          <w:p>
            <w:pPr>
              <w:spacing w:after="20" w:before="20" w:line="247" w:lineRule="auto"/>
            </w:pPr>
            <w:r>
              <w:rPr>
                <w:b w:val="0"/>
                <w:i w:val="0"/>
                <w:sz w:val="20"/>
              </w:rPr>
              <w:t>FR-PRV-008</w:t>
            </w:r>
          </w:p>
        </w:tc>
        <w:tc>
          <w:tcPr>
            <w:tcW w:type="dxa" w:w="2798"/>
            <w:vAlign w:val="center"/>
            <w:shd w:fill="F4F6F8"/>
          </w:tcPr>
          <w:p>
            <w:pPr>
              <w:spacing w:after="20" w:before="20" w:line="247" w:lineRule="auto"/>
            </w:pPr>
            <w:r>
              <w:rPr>
                <w:b w:val="0"/>
                <w:i w:val="0"/>
                <w:sz w:val="20"/>
              </w:rPr>
              <w:t>FT-PRV-008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BR-PRV-009</w:t>
            </w:r>
          </w:p>
        </w:tc>
        <w:tc>
          <w:tcPr>
            <w:tcW w:type="dxa" w:w="2498"/>
            <w:vAlign w:val="center"/>
            <w:shd w:fill="FFFFFF"/>
          </w:tcPr>
          <w:p>
            <w:pPr>
              <w:spacing w:after="20" w:before="20" w:line="247" w:lineRule="auto"/>
            </w:pPr>
            <w:r>
              <w:rPr>
                <w:b w:val="0"/>
                <w:i w:val="0"/>
                <w:sz w:val="20"/>
              </w:rPr>
              <w:t>FR-PRV-009</w:t>
            </w:r>
          </w:p>
        </w:tc>
        <w:tc>
          <w:tcPr>
            <w:tcW w:type="dxa" w:w="2798"/>
            <w:vAlign w:val="center"/>
            <w:shd w:fill="FFFFFF"/>
          </w:tcPr>
          <w:p>
            <w:pPr>
              <w:spacing w:after="20" w:before="20" w:line="247" w:lineRule="auto"/>
            </w:pPr>
            <w:r>
              <w:rPr>
                <w:b w:val="0"/>
                <w:i w:val="0"/>
                <w:sz w:val="20"/>
              </w:rPr>
              <w:t>FT-PRV-009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BR-PRV-010</w:t>
            </w:r>
          </w:p>
        </w:tc>
        <w:tc>
          <w:tcPr>
            <w:tcW w:type="dxa" w:w="2498"/>
            <w:vAlign w:val="center"/>
            <w:shd w:fill="F4F6F8"/>
          </w:tcPr>
          <w:p>
            <w:pPr>
              <w:spacing w:after="20" w:before="20" w:line="247" w:lineRule="auto"/>
            </w:pPr>
            <w:r>
              <w:rPr>
                <w:b w:val="0"/>
                <w:i w:val="0"/>
                <w:sz w:val="20"/>
              </w:rPr>
              <w:t>FR-PRV-010</w:t>
            </w:r>
          </w:p>
        </w:tc>
        <w:tc>
          <w:tcPr>
            <w:tcW w:type="dxa" w:w="2798"/>
            <w:vAlign w:val="center"/>
            <w:shd w:fill="F4F6F8"/>
          </w:tcPr>
          <w:p>
            <w:pPr>
              <w:spacing w:after="20" w:before="20" w:line="247" w:lineRule="auto"/>
            </w:pPr>
            <w:r>
              <w:rPr>
                <w:b w:val="0"/>
                <w:i w:val="0"/>
                <w:sz w:val="20"/>
              </w:rPr>
              <w:t>FT-PRV-010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BR-OPS-001</w:t>
            </w:r>
          </w:p>
        </w:tc>
        <w:tc>
          <w:tcPr>
            <w:tcW w:type="dxa" w:w="2498"/>
            <w:vAlign w:val="center"/>
            <w:shd w:fill="FFFFFF"/>
          </w:tcPr>
          <w:p>
            <w:pPr>
              <w:spacing w:after="20" w:before="20" w:line="247" w:lineRule="auto"/>
            </w:pPr>
            <w:r>
              <w:rPr>
                <w:b w:val="0"/>
                <w:i w:val="0"/>
                <w:sz w:val="20"/>
              </w:rPr>
              <w:t>FR-OPS-001</w:t>
            </w:r>
          </w:p>
        </w:tc>
        <w:tc>
          <w:tcPr>
            <w:tcW w:type="dxa" w:w="2798"/>
            <w:vAlign w:val="center"/>
            <w:shd w:fill="FFFFFF"/>
          </w:tcPr>
          <w:p>
            <w:pPr>
              <w:spacing w:after="20" w:before="20" w:line="247" w:lineRule="auto"/>
            </w:pPr>
            <w:r>
              <w:rPr>
                <w:b w:val="0"/>
                <w:i w:val="0"/>
                <w:sz w:val="20"/>
              </w:rPr>
              <w:t>FT-OPS-001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BR-OPS-002</w:t>
            </w:r>
          </w:p>
        </w:tc>
        <w:tc>
          <w:tcPr>
            <w:tcW w:type="dxa" w:w="2498"/>
            <w:vAlign w:val="center"/>
            <w:shd w:fill="F4F6F8"/>
          </w:tcPr>
          <w:p>
            <w:pPr>
              <w:spacing w:after="20" w:before="20" w:line="247" w:lineRule="auto"/>
            </w:pPr>
            <w:r>
              <w:rPr>
                <w:b w:val="0"/>
                <w:i w:val="0"/>
                <w:sz w:val="20"/>
              </w:rPr>
              <w:t>FR-OPS-002</w:t>
            </w:r>
          </w:p>
        </w:tc>
        <w:tc>
          <w:tcPr>
            <w:tcW w:type="dxa" w:w="2798"/>
            <w:vAlign w:val="center"/>
            <w:shd w:fill="F4F6F8"/>
          </w:tcPr>
          <w:p>
            <w:pPr>
              <w:spacing w:after="20" w:before="20" w:line="247" w:lineRule="auto"/>
            </w:pPr>
            <w:r>
              <w:rPr>
                <w:b w:val="0"/>
                <w:i w:val="0"/>
                <w:sz w:val="20"/>
              </w:rPr>
              <w:t>FT-OPS-002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BR-OPS-003</w:t>
            </w:r>
          </w:p>
        </w:tc>
        <w:tc>
          <w:tcPr>
            <w:tcW w:type="dxa" w:w="2498"/>
            <w:vAlign w:val="center"/>
            <w:shd w:fill="FFFFFF"/>
          </w:tcPr>
          <w:p>
            <w:pPr>
              <w:spacing w:after="20" w:before="20" w:line="247" w:lineRule="auto"/>
            </w:pPr>
            <w:r>
              <w:rPr>
                <w:b w:val="0"/>
                <w:i w:val="0"/>
                <w:sz w:val="20"/>
              </w:rPr>
              <w:t>FR-OPS-003</w:t>
            </w:r>
          </w:p>
        </w:tc>
        <w:tc>
          <w:tcPr>
            <w:tcW w:type="dxa" w:w="2798"/>
            <w:vAlign w:val="center"/>
            <w:shd w:fill="FFFFFF"/>
          </w:tcPr>
          <w:p>
            <w:pPr>
              <w:spacing w:after="20" w:before="20" w:line="247" w:lineRule="auto"/>
            </w:pPr>
            <w:r>
              <w:rPr>
                <w:b w:val="0"/>
                <w:i w:val="0"/>
                <w:sz w:val="20"/>
              </w:rPr>
              <w:t>FT-OPS-003</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BR-OPS-004</w:t>
            </w:r>
          </w:p>
        </w:tc>
        <w:tc>
          <w:tcPr>
            <w:tcW w:type="dxa" w:w="2498"/>
            <w:vAlign w:val="center"/>
            <w:shd w:fill="F4F6F8"/>
          </w:tcPr>
          <w:p>
            <w:pPr>
              <w:spacing w:after="20" w:before="20" w:line="247" w:lineRule="auto"/>
            </w:pPr>
            <w:r>
              <w:rPr>
                <w:b w:val="0"/>
                <w:i w:val="0"/>
                <w:sz w:val="20"/>
              </w:rPr>
              <w:t>FR-OPS-004</w:t>
            </w:r>
          </w:p>
        </w:tc>
        <w:tc>
          <w:tcPr>
            <w:tcW w:type="dxa" w:w="2798"/>
            <w:vAlign w:val="center"/>
            <w:shd w:fill="F4F6F8"/>
          </w:tcPr>
          <w:p>
            <w:pPr>
              <w:spacing w:after="20" w:before="20" w:line="247" w:lineRule="auto"/>
            </w:pPr>
            <w:r>
              <w:rPr>
                <w:b w:val="0"/>
                <w:i w:val="0"/>
                <w:sz w:val="20"/>
              </w:rPr>
              <w:t>FT-OPS-004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BR-OPS-005</w:t>
            </w:r>
          </w:p>
        </w:tc>
        <w:tc>
          <w:tcPr>
            <w:tcW w:type="dxa" w:w="2498"/>
            <w:vAlign w:val="center"/>
            <w:shd w:fill="FFFFFF"/>
          </w:tcPr>
          <w:p>
            <w:pPr>
              <w:spacing w:after="20" w:before="20" w:line="247" w:lineRule="auto"/>
            </w:pPr>
            <w:r>
              <w:rPr>
                <w:b w:val="0"/>
                <w:i w:val="0"/>
                <w:sz w:val="20"/>
              </w:rPr>
              <w:t>FR-OPS-005</w:t>
            </w:r>
          </w:p>
        </w:tc>
        <w:tc>
          <w:tcPr>
            <w:tcW w:type="dxa" w:w="2798"/>
            <w:vAlign w:val="center"/>
            <w:shd w:fill="FFFFFF"/>
          </w:tcPr>
          <w:p>
            <w:pPr>
              <w:spacing w:after="20" w:before="20" w:line="247" w:lineRule="auto"/>
            </w:pPr>
            <w:r>
              <w:rPr>
                <w:b w:val="0"/>
                <w:i w:val="0"/>
                <w:sz w:val="20"/>
              </w:rPr>
              <w:t>FT-OPS-005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BR-OPS-006</w:t>
            </w:r>
          </w:p>
        </w:tc>
        <w:tc>
          <w:tcPr>
            <w:tcW w:type="dxa" w:w="2498"/>
            <w:vAlign w:val="center"/>
            <w:shd w:fill="F4F6F8"/>
          </w:tcPr>
          <w:p>
            <w:pPr>
              <w:spacing w:after="20" w:before="20" w:line="247" w:lineRule="auto"/>
            </w:pPr>
            <w:r>
              <w:rPr>
                <w:b w:val="0"/>
                <w:i w:val="0"/>
                <w:sz w:val="20"/>
              </w:rPr>
              <w:t>FR-OPS-006</w:t>
            </w:r>
          </w:p>
        </w:tc>
        <w:tc>
          <w:tcPr>
            <w:tcW w:type="dxa" w:w="2798"/>
            <w:vAlign w:val="center"/>
            <w:shd w:fill="F4F6F8"/>
          </w:tcPr>
          <w:p>
            <w:pPr>
              <w:spacing w:after="20" w:before="20" w:line="247" w:lineRule="auto"/>
            </w:pPr>
            <w:r>
              <w:rPr>
                <w:b w:val="0"/>
                <w:i w:val="0"/>
                <w:sz w:val="20"/>
              </w:rPr>
              <w:t>FT-OPS-006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BR-OPS-007</w:t>
            </w:r>
          </w:p>
        </w:tc>
        <w:tc>
          <w:tcPr>
            <w:tcW w:type="dxa" w:w="2498"/>
            <w:vAlign w:val="center"/>
            <w:shd w:fill="FFFFFF"/>
          </w:tcPr>
          <w:p>
            <w:pPr>
              <w:spacing w:after="20" w:before="20" w:line="247" w:lineRule="auto"/>
            </w:pPr>
            <w:r>
              <w:rPr>
                <w:b w:val="0"/>
                <w:i w:val="0"/>
                <w:sz w:val="20"/>
              </w:rPr>
              <w:t>FR-OPS-007</w:t>
            </w:r>
          </w:p>
        </w:tc>
        <w:tc>
          <w:tcPr>
            <w:tcW w:type="dxa" w:w="2798"/>
            <w:vAlign w:val="center"/>
            <w:shd w:fill="FFFFFF"/>
          </w:tcPr>
          <w:p>
            <w:pPr>
              <w:spacing w:after="20" w:before="20" w:line="247" w:lineRule="auto"/>
            </w:pPr>
            <w:r>
              <w:rPr>
                <w:b w:val="0"/>
                <w:i w:val="0"/>
                <w:sz w:val="20"/>
              </w:rPr>
              <w:t>FT-OPS-007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BR-OPS-008</w:t>
            </w:r>
          </w:p>
        </w:tc>
        <w:tc>
          <w:tcPr>
            <w:tcW w:type="dxa" w:w="2498"/>
            <w:vAlign w:val="center"/>
            <w:shd w:fill="F4F6F8"/>
          </w:tcPr>
          <w:p>
            <w:pPr>
              <w:spacing w:after="20" w:before="20" w:line="247" w:lineRule="auto"/>
            </w:pPr>
            <w:r>
              <w:rPr>
                <w:b w:val="0"/>
                <w:i w:val="0"/>
                <w:sz w:val="20"/>
              </w:rPr>
              <w:t>FR-OPS-008</w:t>
            </w:r>
          </w:p>
        </w:tc>
        <w:tc>
          <w:tcPr>
            <w:tcW w:type="dxa" w:w="2798"/>
            <w:vAlign w:val="center"/>
            <w:shd w:fill="F4F6F8"/>
          </w:tcPr>
          <w:p>
            <w:pPr>
              <w:spacing w:after="20" w:before="20" w:line="247" w:lineRule="auto"/>
            </w:pPr>
            <w:r>
              <w:rPr>
                <w:b w:val="0"/>
                <w:i w:val="0"/>
                <w:sz w:val="20"/>
              </w:rPr>
              <w:t>FT-OPS-008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BR-OPS-009</w:t>
            </w:r>
          </w:p>
        </w:tc>
        <w:tc>
          <w:tcPr>
            <w:tcW w:type="dxa" w:w="2498"/>
            <w:vAlign w:val="center"/>
            <w:shd w:fill="FFFFFF"/>
          </w:tcPr>
          <w:p>
            <w:pPr>
              <w:spacing w:after="20" w:before="20" w:line="247" w:lineRule="auto"/>
            </w:pPr>
            <w:r>
              <w:rPr>
                <w:b w:val="0"/>
                <w:i w:val="0"/>
                <w:sz w:val="20"/>
              </w:rPr>
              <w:t>FR-OPS-009</w:t>
            </w:r>
          </w:p>
        </w:tc>
        <w:tc>
          <w:tcPr>
            <w:tcW w:type="dxa" w:w="2798"/>
            <w:vAlign w:val="center"/>
            <w:shd w:fill="FFFFFF"/>
          </w:tcPr>
          <w:p>
            <w:pPr>
              <w:spacing w:after="20" w:before="20" w:line="247" w:lineRule="auto"/>
            </w:pPr>
            <w:r>
              <w:rPr>
                <w:b w:val="0"/>
                <w:i w:val="0"/>
                <w:sz w:val="20"/>
              </w:rPr>
              <w:t>FT-OPS-009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BR-OPS-010</w:t>
            </w:r>
          </w:p>
        </w:tc>
        <w:tc>
          <w:tcPr>
            <w:tcW w:type="dxa" w:w="2498"/>
            <w:vAlign w:val="center"/>
            <w:shd w:fill="F4F6F8"/>
          </w:tcPr>
          <w:p>
            <w:pPr>
              <w:spacing w:after="20" w:before="20" w:line="247" w:lineRule="auto"/>
            </w:pPr>
            <w:r>
              <w:rPr>
                <w:b w:val="0"/>
                <w:i w:val="0"/>
                <w:sz w:val="20"/>
              </w:rPr>
              <w:t>FR-OPS-010</w:t>
            </w:r>
          </w:p>
        </w:tc>
        <w:tc>
          <w:tcPr>
            <w:tcW w:type="dxa" w:w="2798"/>
            <w:vAlign w:val="center"/>
            <w:shd w:fill="F4F6F8"/>
          </w:tcPr>
          <w:p>
            <w:pPr>
              <w:spacing w:after="20" w:before="20" w:line="247" w:lineRule="auto"/>
            </w:pPr>
            <w:r>
              <w:rPr>
                <w:b w:val="0"/>
                <w:i w:val="0"/>
                <w:sz w:val="20"/>
              </w:rPr>
              <w:t>FT-OPS-010</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BR-MIG-001</w:t>
            </w:r>
          </w:p>
        </w:tc>
        <w:tc>
          <w:tcPr>
            <w:tcW w:type="dxa" w:w="2498"/>
            <w:vAlign w:val="center"/>
            <w:shd w:fill="FFFFFF"/>
          </w:tcPr>
          <w:p>
            <w:pPr>
              <w:spacing w:after="20" w:before="20" w:line="247" w:lineRule="auto"/>
            </w:pPr>
            <w:r>
              <w:rPr>
                <w:b w:val="0"/>
                <w:i w:val="0"/>
                <w:sz w:val="20"/>
              </w:rPr>
              <w:t>FR-MIG-001</w:t>
            </w:r>
          </w:p>
        </w:tc>
        <w:tc>
          <w:tcPr>
            <w:tcW w:type="dxa" w:w="2798"/>
            <w:vAlign w:val="center"/>
            <w:shd w:fill="FFFFFF"/>
          </w:tcPr>
          <w:p>
            <w:pPr>
              <w:spacing w:after="20" w:before="20" w:line="247" w:lineRule="auto"/>
            </w:pPr>
            <w:r>
              <w:rPr>
                <w:b w:val="0"/>
                <w:i w:val="0"/>
                <w:sz w:val="20"/>
              </w:rPr>
              <w:t>FT-MIG-001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BR-MIG-002</w:t>
            </w:r>
          </w:p>
        </w:tc>
        <w:tc>
          <w:tcPr>
            <w:tcW w:type="dxa" w:w="2498"/>
            <w:vAlign w:val="center"/>
            <w:shd w:fill="F4F6F8"/>
          </w:tcPr>
          <w:p>
            <w:pPr>
              <w:spacing w:after="20" w:before="20" w:line="247" w:lineRule="auto"/>
            </w:pPr>
            <w:r>
              <w:rPr>
                <w:b w:val="0"/>
                <w:i w:val="0"/>
                <w:sz w:val="20"/>
              </w:rPr>
              <w:t>FR-MIG-002</w:t>
            </w:r>
          </w:p>
        </w:tc>
        <w:tc>
          <w:tcPr>
            <w:tcW w:type="dxa" w:w="2798"/>
            <w:vAlign w:val="center"/>
            <w:shd w:fill="F4F6F8"/>
          </w:tcPr>
          <w:p>
            <w:pPr>
              <w:spacing w:after="20" w:before="20" w:line="247" w:lineRule="auto"/>
            </w:pPr>
            <w:r>
              <w:rPr>
                <w:b w:val="0"/>
                <w:i w:val="0"/>
                <w:sz w:val="20"/>
              </w:rPr>
              <w:t>FT-MIG-002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BR-MIG-003</w:t>
            </w:r>
          </w:p>
        </w:tc>
        <w:tc>
          <w:tcPr>
            <w:tcW w:type="dxa" w:w="2498"/>
            <w:vAlign w:val="center"/>
            <w:shd w:fill="FFFFFF"/>
          </w:tcPr>
          <w:p>
            <w:pPr>
              <w:spacing w:after="20" w:before="20" w:line="247" w:lineRule="auto"/>
            </w:pPr>
            <w:r>
              <w:rPr>
                <w:b w:val="0"/>
                <w:i w:val="0"/>
                <w:sz w:val="20"/>
              </w:rPr>
              <w:t>FR-MIG-003</w:t>
            </w:r>
          </w:p>
        </w:tc>
        <w:tc>
          <w:tcPr>
            <w:tcW w:type="dxa" w:w="2798"/>
            <w:vAlign w:val="center"/>
            <w:shd w:fill="FFFFFF"/>
          </w:tcPr>
          <w:p>
            <w:pPr>
              <w:spacing w:after="20" w:before="20" w:line="247" w:lineRule="auto"/>
            </w:pPr>
            <w:r>
              <w:rPr>
                <w:b w:val="0"/>
                <w:i w:val="0"/>
                <w:sz w:val="20"/>
              </w:rPr>
              <w:t>FT-MIG-003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BR-MIG-004</w:t>
            </w:r>
          </w:p>
        </w:tc>
        <w:tc>
          <w:tcPr>
            <w:tcW w:type="dxa" w:w="2498"/>
            <w:vAlign w:val="center"/>
            <w:shd w:fill="F4F6F8"/>
          </w:tcPr>
          <w:p>
            <w:pPr>
              <w:spacing w:after="20" w:before="20" w:line="247" w:lineRule="auto"/>
            </w:pPr>
            <w:r>
              <w:rPr>
                <w:b w:val="0"/>
                <w:i w:val="0"/>
                <w:sz w:val="20"/>
              </w:rPr>
              <w:t>FR-MIG-004</w:t>
            </w:r>
          </w:p>
        </w:tc>
        <w:tc>
          <w:tcPr>
            <w:tcW w:type="dxa" w:w="2798"/>
            <w:vAlign w:val="center"/>
            <w:shd w:fill="F4F6F8"/>
          </w:tcPr>
          <w:p>
            <w:pPr>
              <w:spacing w:after="20" w:before="20" w:line="247" w:lineRule="auto"/>
            </w:pPr>
            <w:r>
              <w:rPr>
                <w:b w:val="0"/>
                <w:i w:val="0"/>
                <w:sz w:val="20"/>
              </w:rPr>
              <w:t>FT-MIG-004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BR-MIG-005</w:t>
            </w:r>
          </w:p>
        </w:tc>
        <w:tc>
          <w:tcPr>
            <w:tcW w:type="dxa" w:w="2498"/>
            <w:vAlign w:val="center"/>
            <w:shd w:fill="FFFFFF"/>
          </w:tcPr>
          <w:p>
            <w:pPr>
              <w:spacing w:after="20" w:before="20" w:line="247" w:lineRule="auto"/>
            </w:pPr>
            <w:r>
              <w:rPr>
                <w:b w:val="0"/>
                <w:i w:val="0"/>
                <w:sz w:val="20"/>
              </w:rPr>
              <w:t>FR-MIG-005</w:t>
            </w:r>
          </w:p>
        </w:tc>
        <w:tc>
          <w:tcPr>
            <w:tcW w:type="dxa" w:w="2798"/>
            <w:vAlign w:val="center"/>
            <w:shd w:fill="FFFFFF"/>
          </w:tcPr>
          <w:p>
            <w:pPr>
              <w:spacing w:after="20" w:before="20" w:line="247" w:lineRule="auto"/>
            </w:pPr>
            <w:r>
              <w:rPr>
                <w:b w:val="0"/>
                <w:i w:val="0"/>
                <w:sz w:val="20"/>
              </w:rPr>
              <w:t>FT-MIG-005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BR-MIG-006</w:t>
            </w:r>
          </w:p>
        </w:tc>
        <w:tc>
          <w:tcPr>
            <w:tcW w:type="dxa" w:w="2498"/>
            <w:vAlign w:val="center"/>
            <w:shd w:fill="F4F6F8"/>
          </w:tcPr>
          <w:p>
            <w:pPr>
              <w:spacing w:after="20" w:before="20" w:line="247" w:lineRule="auto"/>
            </w:pPr>
            <w:r>
              <w:rPr>
                <w:b w:val="0"/>
                <w:i w:val="0"/>
                <w:sz w:val="20"/>
              </w:rPr>
              <w:t>FR-MIG-006</w:t>
            </w:r>
          </w:p>
        </w:tc>
        <w:tc>
          <w:tcPr>
            <w:tcW w:type="dxa" w:w="2798"/>
            <w:vAlign w:val="center"/>
            <w:shd w:fill="F4F6F8"/>
          </w:tcPr>
          <w:p>
            <w:pPr>
              <w:spacing w:after="20" w:before="20" w:line="247" w:lineRule="auto"/>
            </w:pPr>
            <w:r>
              <w:rPr>
                <w:b w:val="0"/>
                <w:i w:val="0"/>
                <w:sz w:val="20"/>
              </w:rPr>
              <w:t>FT-MIG-006</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BR-MIG-007</w:t>
            </w:r>
          </w:p>
        </w:tc>
        <w:tc>
          <w:tcPr>
            <w:tcW w:type="dxa" w:w="2498"/>
            <w:vAlign w:val="center"/>
            <w:shd w:fill="FFFFFF"/>
          </w:tcPr>
          <w:p>
            <w:pPr>
              <w:spacing w:after="20" w:before="20" w:line="247" w:lineRule="auto"/>
            </w:pPr>
            <w:r>
              <w:rPr>
                <w:b w:val="0"/>
                <w:i w:val="0"/>
                <w:sz w:val="20"/>
              </w:rPr>
              <w:t>FR-MIG-007</w:t>
            </w:r>
          </w:p>
        </w:tc>
        <w:tc>
          <w:tcPr>
            <w:tcW w:type="dxa" w:w="2798"/>
            <w:vAlign w:val="center"/>
            <w:shd w:fill="FFFFFF"/>
          </w:tcPr>
          <w:p>
            <w:pPr>
              <w:spacing w:after="20" w:before="20" w:line="247" w:lineRule="auto"/>
            </w:pPr>
            <w:r>
              <w:rPr>
                <w:b w:val="0"/>
                <w:i w:val="0"/>
                <w:sz w:val="20"/>
              </w:rPr>
              <w:t>FT-MIG-007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BR-MIG-008</w:t>
            </w:r>
          </w:p>
        </w:tc>
        <w:tc>
          <w:tcPr>
            <w:tcW w:type="dxa" w:w="2498"/>
            <w:vAlign w:val="center"/>
            <w:shd w:fill="F4F6F8"/>
          </w:tcPr>
          <w:p>
            <w:pPr>
              <w:spacing w:after="20" w:before="20" w:line="247" w:lineRule="auto"/>
            </w:pPr>
            <w:r>
              <w:rPr>
                <w:b w:val="0"/>
                <w:i w:val="0"/>
                <w:sz w:val="20"/>
              </w:rPr>
              <w:t>FR-MIG-008</w:t>
            </w:r>
          </w:p>
        </w:tc>
        <w:tc>
          <w:tcPr>
            <w:tcW w:type="dxa" w:w="2798"/>
            <w:vAlign w:val="center"/>
            <w:shd w:fill="F4F6F8"/>
          </w:tcPr>
          <w:p>
            <w:pPr>
              <w:spacing w:after="20" w:before="20" w:line="247" w:lineRule="auto"/>
            </w:pPr>
            <w:r>
              <w:rPr>
                <w:b w:val="0"/>
                <w:i w:val="0"/>
                <w:sz w:val="20"/>
              </w:rPr>
              <w:t>FT-MIG-008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BR-UX-001</w:t>
            </w:r>
          </w:p>
        </w:tc>
        <w:tc>
          <w:tcPr>
            <w:tcW w:type="dxa" w:w="2498"/>
            <w:vAlign w:val="center"/>
            <w:shd w:fill="FFFFFF"/>
          </w:tcPr>
          <w:p>
            <w:pPr>
              <w:spacing w:after="20" w:before="20" w:line="247" w:lineRule="auto"/>
            </w:pPr>
            <w:r>
              <w:rPr>
                <w:b w:val="0"/>
                <w:i w:val="0"/>
                <w:sz w:val="20"/>
              </w:rPr>
              <w:t>FR-UX-001</w:t>
            </w:r>
          </w:p>
        </w:tc>
        <w:tc>
          <w:tcPr>
            <w:tcW w:type="dxa" w:w="2798"/>
            <w:vAlign w:val="center"/>
            <w:shd w:fill="FFFFFF"/>
          </w:tcPr>
          <w:p>
            <w:pPr>
              <w:spacing w:after="20" w:before="20" w:line="247" w:lineRule="auto"/>
            </w:pPr>
            <w:r>
              <w:rPr>
                <w:b w:val="0"/>
                <w:i w:val="0"/>
                <w:sz w:val="20"/>
              </w:rPr>
              <w:t>FT-UX-001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BR-UX-002</w:t>
            </w:r>
          </w:p>
        </w:tc>
        <w:tc>
          <w:tcPr>
            <w:tcW w:type="dxa" w:w="2498"/>
            <w:vAlign w:val="center"/>
            <w:shd w:fill="F4F6F8"/>
          </w:tcPr>
          <w:p>
            <w:pPr>
              <w:spacing w:after="20" w:before="20" w:line="247" w:lineRule="auto"/>
            </w:pPr>
            <w:r>
              <w:rPr>
                <w:b w:val="0"/>
                <w:i w:val="0"/>
                <w:sz w:val="20"/>
              </w:rPr>
              <w:t>FR-UX-002</w:t>
            </w:r>
          </w:p>
        </w:tc>
        <w:tc>
          <w:tcPr>
            <w:tcW w:type="dxa" w:w="2798"/>
            <w:vAlign w:val="center"/>
            <w:shd w:fill="F4F6F8"/>
          </w:tcPr>
          <w:p>
            <w:pPr>
              <w:spacing w:after="20" w:before="20" w:line="247" w:lineRule="auto"/>
            </w:pPr>
            <w:r>
              <w:rPr>
                <w:b w:val="0"/>
                <w:i w:val="0"/>
                <w:sz w:val="20"/>
              </w:rPr>
              <w:t>FT-UX-002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BR-UX-003</w:t>
            </w:r>
          </w:p>
        </w:tc>
        <w:tc>
          <w:tcPr>
            <w:tcW w:type="dxa" w:w="2498"/>
            <w:vAlign w:val="center"/>
            <w:shd w:fill="FFFFFF"/>
          </w:tcPr>
          <w:p>
            <w:pPr>
              <w:spacing w:after="20" w:before="20" w:line="247" w:lineRule="auto"/>
            </w:pPr>
            <w:r>
              <w:rPr>
                <w:b w:val="0"/>
                <w:i w:val="0"/>
                <w:sz w:val="20"/>
              </w:rPr>
              <w:t>FR-UX-003</w:t>
            </w:r>
          </w:p>
        </w:tc>
        <w:tc>
          <w:tcPr>
            <w:tcW w:type="dxa" w:w="2798"/>
            <w:vAlign w:val="center"/>
            <w:shd w:fill="FFFFFF"/>
          </w:tcPr>
          <w:p>
            <w:pPr>
              <w:spacing w:after="20" w:before="20" w:line="247" w:lineRule="auto"/>
            </w:pPr>
            <w:r>
              <w:rPr>
                <w:b w:val="0"/>
                <w:i w:val="0"/>
                <w:sz w:val="20"/>
              </w:rPr>
              <w:t>FT-UX-003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BR-UX-004</w:t>
            </w:r>
          </w:p>
        </w:tc>
        <w:tc>
          <w:tcPr>
            <w:tcW w:type="dxa" w:w="2498"/>
            <w:vAlign w:val="center"/>
            <w:shd w:fill="F4F6F8"/>
          </w:tcPr>
          <w:p>
            <w:pPr>
              <w:spacing w:after="20" w:before="20" w:line="247" w:lineRule="auto"/>
            </w:pPr>
            <w:r>
              <w:rPr>
                <w:b w:val="0"/>
                <w:i w:val="0"/>
                <w:sz w:val="20"/>
              </w:rPr>
              <w:t>FR-UX-004</w:t>
            </w:r>
          </w:p>
        </w:tc>
        <w:tc>
          <w:tcPr>
            <w:tcW w:type="dxa" w:w="2798"/>
            <w:vAlign w:val="center"/>
            <w:shd w:fill="F4F6F8"/>
          </w:tcPr>
          <w:p>
            <w:pPr>
              <w:spacing w:after="20" w:before="20" w:line="247" w:lineRule="auto"/>
            </w:pPr>
            <w:r>
              <w:rPr>
                <w:b w:val="0"/>
                <w:i w:val="0"/>
                <w:sz w:val="20"/>
              </w:rPr>
              <w:t>FT-UX-004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BR-UX-005</w:t>
            </w:r>
          </w:p>
        </w:tc>
        <w:tc>
          <w:tcPr>
            <w:tcW w:type="dxa" w:w="2498"/>
            <w:vAlign w:val="center"/>
            <w:shd w:fill="FFFFFF"/>
          </w:tcPr>
          <w:p>
            <w:pPr>
              <w:spacing w:after="20" w:before="20" w:line="247" w:lineRule="auto"/>
            </w:pPr>
            <w:r>
              <w:rPr>
                <w:b w:val="0"/>
                <w:i w:val="0"/>
                <w:sz w:val="20"/>
              </w:rPr>
              <w:t>FR-UX-005</w:t>
            </w:r>
          </w:p>
        </w:tc>
        <w:tc>
          <w:tcPr>
            <w:tcW w:type="dxa" w:w="2798"/>
            <w:vAlign w:val="center"/>
            <w:shd w:fill="FFFFFF"/>
          </w:tcPr>
          <w:p>
            <w:pPr>
              <w:spacing w:after="20" w:before="20" w:line="247" w:lineRule="auto"/>
            </w:pPr>
            <w:r>
              <w:rPr>
                <w:b w:val="0"/>
                <w:i w:val="0"/>
                <w:sz w:val="20"/>
              </w:rPr>
              <w:t>FT-UX-005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BR-UX-006</w:t>
            </w:r>
          </w:p>
        </w:tc>
        <w:tc>
          <w:tcPr>
            <w:tcW w:type="dxa" w:w="2498"/>
            <w:vAlign w:val="center"/>
            <w:shd w:fill="F4F6F8"/>
          </w:tcPr>
          <w:p>
            <w:pPr>
              <w:spacing w:after="20" w:before="20" w:line="247" w:lineRule="auto"/>
            </w:pPr>
            <w:r>
              <w:rPr>
                <w:b w:val="0"/>
                <w:i w:val="0"/>
                <w:sz w:val="20"/>
              </w:rPr>
              <w:t>FR-UX-006</w:t>
            </w:r>
          </w:p>
        </w:tc>
        <w:tc>
          <w:tcPr>
            <w:tcW w:type="dxa" w:w="2798"/>
            <w:vAlign w:val="center"/>
            <w:shd w:fill="F4F6F8"/>
          </w:tcPr>
          <w:p>
            <w:pPr>
              <w:spacing w:after="20" w:before="20" w:line="247" w:lineRule="auto"/>
            </w:pPr>
            <w:r>
              <w:rPr>
                <w:b w:val="0"/>
                <w:i w:val="0"/>
                <w:sz w:val="20"/>
              </w:rPr>
              <w:t>FT-UX-006</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BR-UX-007</w:t>
            </w:r>
          </w:p>
        </w:tc>
        <w:tc>
          <w:tcPr>
            <w:tcW w:type="dxa" w:w="2498"/>
            <w:vAlign w:val="center"/>
            <w:shd w:fill="FFFFFF"/>
          </w:tcPr>
          <w:p>
            <w:pPr>
              <w:spacing w:after="20" w:before="20" w:line="247" w:lineRule="auto"/>
            </w:pPr>
            <w:r>
              <w:rPr>
                <w:b w:val="0"/>
                <w:i w:val="0"/>
                <w:sz w:val="20"/>
              </w:rPr>
              <w:t>FR-UX-007</w:t>
            </w:r>
          </w:p>
        </w:tc>
        <w:tc>
          <w:tcPr>
            <w:tcW w:type="dxa" w:w="2798"/>
            <w:vAlign w:val="center"/>
            <w:shd w:fill="FFFFFF"/>
          </w:tcPr>
          <w:p>
            <w:pPr>
              <w:spacing w:after="20" w:before="20" w:line="247" w:lineRule="auto"/>
            </w:pPr>
            <w:r>
              <w:rPr>
                <w:b w:val="0"/>
                <w:i w:val="0"/>
                <w:sz w:val="20"/>
              </w:rPr>
              <w:t>FT-UX-007</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BR-UX-008</w:t>
            </w:r>
          </w:p>
        </w:tc>
        <w:tc>
          <w:tcPr>
            <w:tcW w:type="dxa" w:w="2498"/>
            <w:vAlign w:val="center"/>
            <w:shd w:fill="F4F6F8"/>
          </w:tcPr>
          <w:p>
            <w:pPr>
              <w:spacing w:after="20" w:before="20" w:line="247" w:lineRule="auto"/>
            </w:pPr>
            <w:r>
              <w:rPr>
                <w:b w:val="0"/>
                <w:i w:val="0"/>
                <w:sz w:val="20"/>
              </w:rPr>
              <w:t>FR-UX-008</w:t>
            </w:r>
          </w:p>
        </w:tc>
        <w:tc>
          <w:tcPr>
            <w:tcW w:type="dxa" w:w="2798"/>
            <w:vAlign w:val="center"/>
            <w:shd w:fill="F4F6F8"/>
          </w:tcPr>
          <w:p>
            <w:pPr>
              <w:spacing w:after="20" w:before="20" w:line="247" w:lineRule="auto"/>
            </w:pPr>
            <w:r>
              <w:rPr>
                <w:b w:val="0"/>
                <w:i w:val="0"/>
                <w:sz w:val="20"/>
              </w:rPr>
              <w:t>FT-UX-008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BR-UX-009</w:t>
            </w:r>
          </w:p>
        </w:tc>
        <w:tc>
          <w:tcPr>
            <w:tcW w:type="dxa" w:w="2498"/>
            <w:vAlign w:val="center"/>
            <w:shd w:fill="FFFFFF"/>
          </w:tcPr>
          <w:p>
            <w:pPr>
              <w:spacing w:after="20" w:before="20" w:line="247" w:lineRule="auto"/>
            </w:pPr>
            <w:r>
              <w:rPr>
                <w:b w:val="0"/>
                <w:i w:val="0"/>
                <w:sz w:val="20"/>
              </w:rPr>
              <w:t>FR-UX-009</w:t>
            </w:r>
          </w:p>
        </w:tc>
        <w:tc>
          <w:tcPr>
            <w:tcW w:type="dxa" w:w="2798"/>
            <w:vAlign w:val="center"/>
            <w:shd w:fill="FFFFFF"/>
          </w:tcPr>
          <w:p>
            <w:pPr>
              <w:spacing w:after="20" w:before="20" w:line="247" w:lineRule="auto"/>
            </w:pPr>
            <w:r>
              <w:rPr>
                <w:b w:val="0"/>
                <w:i w:val="0"/>
                <w:sz w:val="20"/>
              </w:rPr>
              <w:t>FT-UX-009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BR-UX-010</w:t>
            </w:r>
          </w:p>
        </w:tc>
        <w:tc>
          <w:tcPr>
            <w:tcW w:type="dxa" w:w="2498"/>
            <w:vAlign w:val="center"/>
            <w:shd w:fill="F4F6F8"/>
          </w:tcPr>
          <w:p>
            <w:pPr>
              <w:spacing w:after="20" w:before="20" w:line="247" w:lineRule="auto"/>
            </w:pPr>
            <w:r>
              <w:rPr>
                <w:b w:val="0"/>
                <w:i w:val="0"/>
                <w:sz w:val="20"/>
              </w:rPr>
              <w:t>FR-UX-010</w:t>
            </w:r>
          </w:p>
        </w:tc>
        <w:tc>
          <w:tcPr>
            <w:tcW w:type="dxa" w:w="2798"/>
            <w:vAlign w:val="center"/>
            <w:shd w:fill="F4F6F8"/>
          </w:tcPr>
          <w:p>
            <w:pPr>
              <w:spacing w:after="20" w:before="20" w:line="247" w:lineRule="auto"/>
            </w:pPr>
            <w:r>
              <w:rPr>
                <w:b w:val="0"/>
                <w:i w:val="0"/>
                <w:sz w:val="20"/>
              </w:rPr>
              <w:t>FT-UX-010</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NFR-PER-001</w:t>
            </w:r>
          </w:p>
        </w:tc>
        <w:tc>
          <w:tcPr>
            <w:tcW w:type="dxa" w:w="2498"/>
            <w:vAlign w:val="center"/>
            <w:shd w:fill="FFFFFF"/>
          </w:tcPr>
          <w:p>
            <w:pPr>
              <w:spacing w:after="20" w:before="20" w:line="247" w:lineRule="auto"/>
            </w:pPr>
            <w:r>
              <w:rPr>
                <w:b w:val="0"/>
                <w:i w:val="0"/>
                <w:sz w:val="20"/>
              </w:rPr>
              <w:t>VF-PER-001</w:t>
            </w:r>
          </w:p>
        </w:tc>
        <w:tc>
          <w:tcPr>
            <w:tcW w:type="dxa" w:w="2798"/>
            <w:vAlign w:val="center"/>
            <w:shd w:fill="FFFFFF"/>
          </w:tcPr>
          <w:p>
            <w:pPr>
              <w:spacing w:after="20" w:before="20" w:line="247" w:lineRule="auto"/>
            </w:pPr>
            <w:r>
              <w:rPr>
                <w:b w:val="0"/>
                <w:i w:val="0"/>
                <w:sz w:val="20"/>
              </w:rPr>
              <w:t>VF-PER-001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NFR-PER-002</w:t>
            </w:r>
          </w:p>
        </w:tc>
        <w:tc>
          <w:tcPr>
            <w:tcW w:type="dxa" w:w="2498"/>
            <w:vAlign w:val="center"/>
            <w:shd w:fill="F4F6F8"/>
          </w:tcPr>
          <w:p>
            <w:pPr>
              <w:spacing w:after="20" w:before="20" w:line="247" w:lineRule="auto"/>
            </w:pPr>
            <w:r>
              <w:rPr>
                <w:b w:val="0"/>
                <w:i w:val="0"/>
                <w:sz w:val="20"/>
              </w:rPr>
              <w:t>VF-PER-002</w:t>
            </w:r>
          </w:p>
        </w:tc>
        <w:tc>
          <w:tcPr>
            <w:tcW w:type="dxa" w:w="2798"/>
            <w:vAlign w:val="center"/>
            <w:shd w:fill="F4F6F8"/>
          </w:tcPr>
          <w:p>
            <w:pPr>
              <w:spacing w:after="20" w:before="20" w:line="247" w:lineRule="auto"/>
            </w:pPr>
            <w:r>
              <w:rPr>
                <w:b w:val="0"/>
                <w:i w:val="0"/>
                <w:sz w:val="20"/>
              </w:rPr>
              <w:t>VF-PER-002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NFR-PER-003</w:t>
            </w:r>
          </w:p>
        </w:tc>
        <w:tc>
          <w:tcPr>
            <w:tcW w:type="dxa" w:w="2498"/>
            <w:vAlign w:val="center"/>
            <w:shd w:fill="FFFFFF"/>
          </w:tcPr>
          <w:p>
            <w:pPr>
              <w:spacing w:after="20" w:before="20" w:line="247" w:lineRule="auto"/>
            </w:pPr>
            <w:r>
              <w:rPr>
                <w:b w:val="0"/>
                <w:i w:val="0"/>
                <w:sz w:val="20"/>
              </w:rPr>
              <w:t>VF-PER-003</w:t>
            </w:r>
          </w:p>
        </w:tc>
        <w:tc>
          <w:tcPr>
            <w:tcW w:type="dxa" w:w="2798"/>
            <w:vAlign w:val="center"/>
            <w:shd w:fill="FFFFFF"/>
          </w:tcPr>
          <w:p>
            <w:pPr>
              <w:spacing w:after="20" w:before="20" w:line="247" w:lineRule="auto"/>
            </w:pPr>
            <w:r>
              <w:rPr>
                <w:b w:val="0"/>
                <w:i w:val="0"/>
                <w:sz w:val="20"/>
              </w:rPr>
              <w:t>VF-PER-003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NFR-PER-004</w:t>
            </w:r>
          </w:p>
        </w:tc>
        <w:tc>
          <w:tcPr>
            <w:tcW w:type="dxa" w:w="2498"/>
            <w:vAlign w:val="center"/>
            <w:shd w:fill="F4F6F8"/>
          </w:tcPr>
          <w:p>
            <w:pPr>
              <w:spacing w:after="20" w:before="20" w:line="247" w:lineRule="auto"/>
            </w:pPr>
            <w:r>
              <w:rPr>
                <w:b w:val="0"/>
                <w:i w:val="0"/>
                <w:sz w:val="20"/>
              </w:rPr>
              <w:t>VF-PER-004</w:t>
            </w:r>
          </w:p>
        </w:tc>
        <w:tc>
          <w:tcPr>
            <w:tcW w:type="dxa" w:w="2798"/>
            <w:vAlign w:val="center"/>
            <w:shd w:fill="F4F6F8"/>
          </w:tcPr>
          <w:p>
            <w:pPr>
              <w:spacing w:after="20" w:before="20" w:line="247" w:lineRule="auto"/>
            </w:pPr>
            <w:r>
              <w:rPr>
                <w:b w:val="0"/>
                <w:i w:val="0"/>
                <w:sz w:val="20"/>
              </w:rPr>
              <w:t>VF-PER-004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NFR-PER-005</w:t>
            </w:r>
          </w:p>
        </w:tc>
        <w:tc>
          <w:tcPr>
            <w:tcW w:type="dxa" w:w="2498"/>
            <w:vAlign w:val="center"/>
            <w:shd w:fill="FFFFFF"/>
          </w:tcPr>
          <w:p>
            <w:pPr>
              <w:spacing w:after="20" w:before="20" w:line="247" w:lineRule="auto"/>
            </w:pPr>
            <w:r>
              <w:rPr>
                <w:b w:val="0"/>
                <w:i w:val="0"/>
                <w:sz w:val="20"/>
              </w:rPr>
              <w:t>VF-PER-005</w:t>
            </w:r>
          </w:p>
        </w:tc>
        <w:tc>
          <w:tcPr>
            <w:tcW w:type="dxa" w:w="2798"/>
            <w:vAlign w:val="center"/>
            <w:shd w:fill="FFFFFF"/>
          </w:tcPr>
          <w:p>
            <w:pPr>
              <w:spacing w:after="20" w:before="20" w:line="247" w:lineRule="auto"/>
            </w:pPr>
            <w:r>
              <w:rPr>
                <w:b w:val="0"/>
                <w:i w:val="0"/>
                <w:sz w:val="20"/>
              </w:rPr>
              <w:t>VF-PER-005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NFR-PER-006</w:t>
            </w:r>
          </w:p>
        </w:tc>
        <w:tc>
          <w:tcPr>
            <w:tcW w:type="dxa" w:w="2498"/>
            <w:vAlign w:val="center"/>
            <w:shd w:fill="F4F6F8"/>
          </w:tcPr>
          <w:p>
            <w:pPr>
              <w:spacing w:after="20" w:before="20" w:line="247" w:lineRule="auto"/>
            </w:pPr>
            <w:r>
              <w:rPr>
                <w:b w:val="0"/>
                <w:i w:val="0"/>
                <w:sz w:val="20"/>
              </w:rPr>
              <w:t>VF-PER-006</w:t>
            </w:r>
          </w:p>
        </w:tc>
        <w:tc>
          <w:tcPr>
            <w:tcW w:type="dxa" w:w="2798"/>
            <w:vAlign w:val="center"/>
            <w:shd w:fill="F4F6F8"/>
          </w:tcPr>
          <w:p>
            <w:pPr>
              <w:spacing w:after="20" w:before="20" w:line="247" w:lineRule="auto"/>
            </w:pPr>
            <w:r>
              <w:rPr>
                <w:b w:val="0"/>
                <w:i w:val="0"/>
                <w:sz w:val="20"/>
              </w:rPr>
              <w:t>VF-PER-006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NFR-PER-007</w:t>
            </w:r>
          </w:p>
        </w:tc>
        <w:tc>
          <w:tcPr>
            <w:tcW w:type="dxa" w:w="2498"/>
            <w:vAlign w:val="center"/>
            <w:shd w:fill="FFFFFF"/>
          </w:tcPr>
          <w:p>
            <w:pPr>
              <w:spacing w:after="20" w:before="20" w:line="247" w:lineRule="auto"/>
            </w:pPr>
            <w:r>
              <w:rPr>
                <w:b w:val="0"/>
                <w:i w:val="0"/>
                <w:sz w:val="20"/>
              </w:rPr>
              <w:t>VF-PER-007</w:t>
            </w:r>
          </w:p>
        </w:tc>
        <w:tc>
          <w:tcPr>
            <w:tcW w:type="dxa" w:w="2798"/>
            <w:vAlign w:val="center"/>
            <w:shd w:fill="FFFFFF"/>
          </w:tcPr>
          <w:p>
            <w:pPr>
              <w:spacing w:after="20" w:before="20" w:line="247" w:lineRule="auto"/>
            </w:pPr>
            <w:r>
              <w:rPr>
                <w:b w:val="0"/>
                <w:i w:val="0"/>
                <w:sz w:val="20"/>
              </w:rPr>
              <w:t>VF-PER-007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NFR-CAP-001</w:t>
            </w:r>
          </w:p>
        </w:tc>
        <w:tc>
          <w:tcPr>
            <w:tcW w:type="dxa" w:w="2498"/>
            <w:vAlign w:val="center"/>
            <w:shd w:fill="F4F6F8"/>
          </w:tcPr>
          <w:p>
            <w:pPr>
              <w:spacing w:after="20" w:before="20" w:line="247" w:lineRule="auto"/>
            </w:pPr>
            <w:r>
              <w:rPr>
                <w:b w:val="0"/>
                <w:i w:val="0"/>
                <w:sz w:val="20"/>
              </w:rPr>
              <w:t>VF-CAP-001</w:t>
            </w:r>
          </w:p>
        </w:tc>
        <w:tc>
          <w:tcPr>
            <w:tcW w:type="dxa" w:w="2798"/>
            <w:vAlign w:val="center"/>
            <w:shd w:fill="F4F6F8"/>
          </w:tcPr>
          <w:p>
            <w:pPr>
              <w:spacing w:after="20" w:before="20" w:line="247" w:lineRule="auto"/>
            </w:pPr>
            <w:r>
              <w:rPr>
                <w:b w:val="0"/>
                <w:i w:val="0"/>
                <w:sz w:val="20"/>
              </w:rPr>
              <w:t>VF-CAP-001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NFR-CAP-002</w:t>
            </w:r>
          </w:p>
        </w:tc>
        <w:tc>
          <w:tcPr>
            <w:tcW w:type="dxa" w:w="2498"/>
            <w:vAlign w:val="center"/>
            <w:shd w:fill="FFFFFF"/>
          </w:tcPr>
          <w:p>
            <w:pPr>
              <w:spacing w:after="20" w:before="20" w:line="247" w:lineRule="auto"/>
            </w:pPr>
            <w:r>
              <w:rPr>
                <w:b w:val="0"/>
                <w:i w:val="0"/>
                <w:sz w:val="20"/>
              </w:rPr>
              <w:t>VF-CAP-002</w:t>
            </w:r>
          </w:p>
        </w:tc>
        <w:tc>
          <w:tcPr>
            <w:tcW w:type="dxa" w:w="2798"/>
            <w:vAlign w:val="center"/>
            <w:shd w:fill="FFFFFF"/>
          </w:tcPr>
          <w:p>
            <w:pPr>
              <w:spacing w:after="20" w:before="20" w:line="247" w:lineRule="auto"/>
            </w:pPr>
            <w:r>
              <w:rPr>
                <w:b w:val="0"/>
                <w:i w:val="0"/>
                <w:sz w:val="20"/>
              </w:rPr>
              <w:t>VF-CAP-002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NFR-AVL-001</w:t>
            </w:r>
          </w:p>
        </w:tc>
        <w:tc>
          <w:tcPr>
            <w:tcW w:type="dxa" w:w="2498"/>
            <w:vAlign w:val="center"/>
            <w:shd w:fill="F4F6F8"/>
          </w:tcPr>
          <w:p>
            <w:pPr>
              <w:spacing w:after="20" w:before="20" w:line="247" w:lineRule="auto"/>
            </w:pPr>
            <w:r>
              <w:rPr>
                <w:b w:val="0"/>
                <w:i w:val="0"/>
                <w:sz w:val="20"/>
              </w:rPr>
              <w:t>VF-AVL-001</w:t>
            </w:r>
          </w:p>
        </w:tc>
        <w:tc>
          <w:tcPr>
            <w:tcW w:type="dxa" w:w="2798"/>
            <w:vAlign w:val="center"/>
            <w:shd w:fill="F4F6F8"/>
          </w:tcPr>
          <w:p>
            <w:pPr>
              <w:spacing w:after="20" w:before="20" w:line="247" w:lineRule="auto"/>
            </w:pPr>
            <w:r>
              <w:rPr>
                <w:b w:val="0"/>
                <w:i w:val="0"/>
                <w:sz w:val="20"/>
              </w:rPr>
              <w:t>VF-AVL-001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NFR-AVL-002</w:t>
            </w:r>
          </w:p>
        </w:tc>
        <w:tc>
          <w:tcPr>
            <w:tcW w:type="dxa" w:w="2498"/>
            <w:vAlign w:val="center"/>
            <w:shd w:fill="FFFFFF"/>
          </w:tcPr>
          <w:p>
            <w:pPr>
              <w:spacing w:after="20" w:before="20" w:line="247" w:lineRule="auto"/>
            </w:pPr>
            <w:r>
              <w:rPr>
                <w:b w:val="0"/>
                <w:i w:val="0"/>
                <w:sz w:val="20"/>
              </w:rPr>
              <w:t>VF-AVL-002</w:t>
            </w:r>
          </w:p>
        </w:tc>
        <w:tc>
          <w:tcPr>
            <w:tcW w:type="dxa" w:w="2798"/>
            <w:vAlign w:val="center"/>
            <w:shd w:fill="FFFFFF"/>
          </w:tcPr>
          <w:p>
            <w:pPr>
              <w:spacing w:after="20" w:before="20" w:line="247" w:lineRule="auto"/>
            </w:pPr>
            <w:r>
              <w:rPr>
                <w:b w:val="0"/>
                <w:i w:val="0"/>
                <w:sz w:val="20"/>
              </w:rPr>
              <w:t>VF-AVL-002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NFR-DR-001</w:t>
            </w:r>
          </w:p>
        </w:tc>
        <w:tc>
          <w:tcPr>
            <w:tcW w:type="dxa" w:w="2498"/>
            <w:vAlign w:val="center"/>
            <w:shd w:fill="F4F6F8"/>
          </w:tcPr>
          <w:p>
            <w:pPr>
              <w:spacing w:after="20" w:before="20" w:line="247" w:lineRule="auto"/>
            </w:pPr>
            <w:r>
              <w:rPr>
                <w:b w:val="0"/>
                <w:i w:val="0"/>
                <w:sz w:val="20"/>
              </w:rPr>
              <w:t>VF-DR-001</w:t>
            </w:r>
          </w:p>
        </w:tc>
        <w:tc>
          <w:tcPr>
            <w:tcW w:type="dxa" w:w="2798"/>
            <w:vAlign w:val="center"/>
            <w:shd w:fill="F4F6F8"/>
          </w:tcPr>
          <w:p>
            <w:pPr>
              <w:spacing w:after="20" w:before="20" w:line="247" w:lineRule="auto"/>
            </w:pPr>
            <w:r>
              <w:rPr>
                <w:b w:val="0"/>
                <w:i w:val="0"/>
                <w:sz w:val="20"/>
              </w:rPr>
              <w:t>VF-DR-001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NFR-DR-002</w:t>
            </w:r>
          </w:p>
        </w:tc>
        <w:tc>
          <w:tcPr>
            <w:tcW w:type="dxa" w:w="2498"/>
            <w:vAlign w:val="center"/>
            <w:shd w:fill="FFFFFF"/>
          </w:tcPr>
          <w:p>
            <w:pPr>
              <w:spacing w:after="20" w:before="20" w:line="247" w:lineRule="auto"/>
            </w:pPr>
            <w:r>
              <w:rPr>
                <w:b w:val="0"/>
                <w:i w:val="0"/>
                <w:sz w:val="20"/>
              </w:rPr>
              <w:t>VF-DR-002</w:t>
            </w:r>
          </w:p>
        </w:tc>
        <w:tc>
          <w:tcPr>
            <w:tcW w:type="dxa" w:w="2798"/>
            <w:vAlign w:val="center"/>
            <w:shd w:fill="FFFFFF"/>
          </w:tcPr>
          <w:p>
            <w:pPr>
              <w:spacing w:after="20" w:before="20" w:line="247" w:lineRule="auto"/>
            </w:pPr>
            <w:r>
              <w:rPr>
                <w:b w:val="0"/>
                <w:i w:val="0"/>
                <w:sz w:val="20"/>
              </w:rPr>
              <w:t>VF-DR-002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NFR-DR-003</w:t>
            </w:r>
          </w:p>
        </w:tc>
        <w:tc>
          <w:tcPr>
            <w:tcW w:type="dxa" w:w="2498"/>
            <w:vAlign w:val="center"/>
            <w:shd w:fill="F4F6F8"/>
          </w:tcPr>
          <w:p>
            <w:pPr>
              <w:spacing w:after="20" w:before="20" w:line="247" w:lineRule="auto"/>
            </w:pPr>
            <w:r>
              <w:rPr>
                <w:b w:val="0"/>
                <w:i w:val="0"/>
                <w:sz w:val="20"/>
              </w:rPr>
              <w:t>VF-DR-003</w:t>
            </w:r>
          </w:p>
        </w:tc>
        <w:tc>
          <w:tcPr>
            <w:tcW w:type="dxa" w:w="2798"/>
            <w:vAlign w:val="center"/>
            <w:shd w:fill="F4F6F8"/>
          </w:tcPr>
          <w:p>
            <w:pPr>
              <w:spacing w:after="20" w:before="20" w:line="247" w:lineRule="auto"/>
            </w:pPr>
            <w:r>
              <w:rPr>
                <w:b w:val="0"/>
                <w:i w:val="0"/>
                <w:sz w:val="20"/>
              </w:rPr>
              <w:t>VF-DR-003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NFR-DIN-001</w:t>
            </w:r>
          </w:p>
        </w:tc>
        <w:tc>
          <w:tcPr>
            <w:tcW w:type="dxa" w:w="2498"/>
            <w:vAlign w:val="center"/>
            <w:shd w:fill="FFFFFF"/>
          </w:tcPr>
          <w:p>
            <w:pPr>
              <w:spacing w:after="20" w:before="20" w:line="247" w:lineRule="auto"/>
            </w:pPr>
            <w:r>
              <w:rPr>
                <w:b w:val="0"/>
                <w:i w:val="0"/>
                <w:sz w:val="20"/>
              </w:rPr>
              <w:t>VF-DIN-001</w:t>
            </w:r>
          </w:p>
        </w:tc>
        <w:tc>
          <w:tcPr>
            <w:tcW w:type="dxa" w:w="2798"/>
            <w:vAlign w:val="center"/>
            <w:shd w:fill="FFFFFF"/>
          </w:tcPr>
          <w:p>
            <w:pPr>
              <w:spacing w:after="20" w:before="20" w:line="247" w:lineRule="auto"/>
            </w:pPr>
            <w:r>
              <w:rPr>
                <w:b w:val="0"/>
                <w:i w:val="0"/>
                <w:sz w:val="20"/>
              </w:rPr>
              <w:t>VF-DIN-001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NFR-DIN-002</w:t>
            </w:r>
          </w:p>
        </w:tc>
        <w:tc>
          <w:tcPr>
            <w:tcW w:type="dxa" w:w="2498"/>
            <w:vAlign w:val="center"/>
            <w:shd w:fill="F4F6F8"/>
          </w:tcPr>
          <w:p>
            <w:pPr>
              <w:spacing w:after="20" w:before="20" w:line="247" w:lineRule="auto"/>
            </w:pPr>
            <w:r>
              <w:rPr>
                <w:b w:val="0"/>
                <w:i w:val="0"/>
                <w:sz w:val="20"/>
              </w:rPr>
              <w:t>VF-DIN-002</w:t>
            </w:r>
          </w:p>
        </w:tc>
        <w:tc>
          <w:tcPr>
            <w:tcW w:type="dxa" w:w="2798"/>
            <w:vAlign w:val="center"/>
            <w:shd w:fill="F4F6F8"/>
          </w:tcPr>
          <w:p>
            <w:pPr>
              <w:spacing w:after="20" w:before="20" w:line="247" w:lineRule="auto"/>
            </w:pPr>
            <w:r>
              <w:rPr>
                <w:b w:val="0"/>
                <w:i w:val="0"/>
                <w:sz w:val="20"/>
              </w:rPr>
              <w:t>VF-DIN-002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NFR-IAM-001</w:t>
            </w:r>
          </w:p>
        </w:tc>
        <w:tc>
          <w:tcPr>
            <w:tcW w:type="dxa" w:w="2498"/>
            <w:vAlign w:val="center"/>
            <w:shd w:fill="FFFFFF"/>
          </w:tcPr>
          <w:p>
            <w:pPr>
              <w:spacing w:after="20" w:before="20" w:line="247" w:lineRule="auto"/>
            </w:pPr>
            <w:r>
              <w:rPr>
                <w:b w:val="0"/>
                <w:i w:val="0"/>
                <w:sz w:val="20"/>
              </w:rPr>
              <w:t>VF-IAM-001</w:t>
            </w:r>
          </w:p>
        </w:tc>
        <w:tc>
          <w:tcPr>
            <w:tcW w:type="dxa" w:w="2798"/>
            <w:vAlign w:val="center"/>
            <w:shd w:fill="FFFFFF"/>
          </w:tcPr>
          <w:p>
            <w:pPr>
              <w:spacing w:after="20" w:before="20" w:line="247" w:lineRule="auto"/>
            </w:pPr>
            <w:r>
              <w:rPr>
                <w:b w:val="0"/>
                <w:i w:val="0"/>
                <w:sz w:val="20"/>
              </w:rPr>
              <w:t>VF-IAM-001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NFR-OFF-001</w:t>
            </w:r>
          </w:p>
        </w:tc>
        <w:tc>
          <w:tcPr>
            <w:tcW w:type="dxa" w:w="2498"/>
            <w:vAlign w:val="center"/>
            <w:shd w:fill="F4F6F8"/>
          </w:tcPr>
          <w:p>
            <w:pPr>
              <w:spacing w:after="20" w:before="20" w:line="247" w:lineRule="auto"/>
            </w:pPr>
            <w:r>
              <w:rPr>
                <w:b w:val="0"/>
                <w:i w:val="0"/>
                <w:sz w:val="20"/>
              </w:rPr>
              <w:t>VF-OFF-001</w:t>
            </w:r>
          </w:p>
        </w:tc>
        <w:tc>
          <w:tcPr>
            <w:tcW w:type="dxa" w:w="2798"/>
            <w:vAlign w:val="center"/>
            <w:shd w:fill="F4F6F8"/>
          </w:tcPr>
          <w:p>
            <w:pPr>
              <w:spacing w:after="20" w:before="20" w:line="247" w:lineRule="auto"/>
            </w:pPr>
            <w:r>
              <w:rPr>
                <w:b w:val="0"/>
                <w:i w:val="0"/>
                <w:sz w:val="20"/>
              </w:rPr>
              <w:t>VF-OFF-001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NFR-SEC-001</w:t>
            </w:r>
          </w:p>
        </w:tc>
        <w:tc>
          <w:tcPr>
            <w:tcW w:type="dxa" w:w="2498"/>
            <w:vAlign w:val="center"/>
            <w:shd w:fill="FFFFFF"/>
          </w:tcPr>
          <w:p>
            <w:pPr>
              <w:spacing w:after="20" w:before="20" w:line="247" w:lineRule="auto"/>
            </w:pPr>
            <w:r>
              <w:rPr>
                <w:b w:val="0"/>
                <w:i w:val="0"/>
                <w:sz w:val="20"/>
              </w:rPr>
              <w:t>VF-SEC-001</w:t>
            </w:r>
          </w:p>
        </w:tc>
        <w:tc>
          <w:tcPr>
            <w:tcW w:type="dxa" w:w="2798"/>
            <w:vAlign w:val="center"/>
            <w:shd w:fill="FFFFFF"/>
          </w:tcPr>
          <w:p>
            <w:pPr>
              <w:spacing w:after="20" w:before="20" w:line="247" w:lineRule="auto"/>
            </w:pPr>
            <w:r>
              <w:rPr>
                <w:b w:val="0"/>
                <w:i w:val="0"/>
                <w:sz w:val="20"/>
              </w:rPr>
              <w:t>VF-SEC-001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NFR-SEC-002</w:t>
            </w:r>
          </w:p>
        </w:tc>
        <w:tc>
          <w:tcPr>
            <w:tcW w:type="dxa" w:w="2498"/>
            <w:vAlign w:val="center"/>
            <w:shd w:fill="F4F6F8"/>
          </w:tcPr>
          <w:p>
            <w:pPr>
              <w:spacing w:after="20" w:before="20" w:line="247" w:lineRule="auto"/>
            </w:pPr>
            <w:r>
              <w:rPr>
                <w:b w:val="0"/>
                <w:i w:val="0"/>
                <w:sz w:val="20"/>
              </w:rPr>
              <w:t>VF-SEC-002</w:t>
            </w:r>
          </w:p>
        </w:tc>
        <w:tc>
          <w:tcPr>
            <w:tcW w:type="dxa" w:w="2798"/>
            <w:vAlign w:val="center"/>
            <w:shd w:fill="F4F6F8"/>
          </w:tcPr>
          <w:p>
            <w:pPr>
              <w:spacing w:after="20" w:before="20" w:line="247" w:lineRule="auto"/>
            </w:pPr>
            <w:r>
              <w:rPr>
                <w:b w:val="0"/>
                <w:i w:val="0"/>
                <w:sz w:val="20"/>
              </w:rPr>
              <w:t>VF-SEC-002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NFR-AUD-001</w:t>
            </w:r>
          </w:p>
        </w:tc>
        <w:tc>
          <w:tcPr>
            <w:tcW w:type="dxa" w:w="2498"/>
            <w:vAlign w:val="center"/>
            <w:shd w:fill="FFFFFF"/>
          </w:tcPr>
          <w:p>
            <w:pPr>
              <w:spacing w:after="20" w:before="20" w:line="247" w:lineRule="auto"/>
            </w:pPr>
            <w:r>
              <w:rPr>
                <w:b w:val="0"/>
                <w:i w:val="0"/>
                <w:sz w:val="20"/>
              </w:rPr>
              <w:t>VF-AUD-001</w:t>
            </w:r>
          </w:p>
        </w:tc>
        <w:tc>
          <w:tcPr>
            <w:tcW w:type="dxa" w:w="2798"/>
            <w:vAlign w:val="center"/>
            <w:shd w:fill="FFFFFF"/>
          </w:tcPr>
          <w:p>
            <w:pPr>
              <w:spacing w:after="20" w:before="20" w:line="247" w:lineRule="auto"/>
            </w:pPr>
            <w:r>
              <w:rPr>
                <w:b w:val="0"/>
                <w:i w:val="0"/>
                <w:sz w:val="20"/>
              </w:rPr>
              <w:t>VF-AUD-001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NFR-PRV-001</w:t>
            </w:r>
          </w:p>
        </w:tc>
        <w:tc>
          <w:tcPr>
            <w:tcW w:type="dxa" w:w="2498"/>
            <w:vAlign w:val="center"/>
            <w:shd w:fill="F4F6F8"/>
          </w:tcPr>
          <w:p>
            <w:pPr>
              <w:spacing w:after="20" w:before="20" w:line="247" w:lineRule="auto"/>
            </w:pPr>
            <w:r>
              <w:rPr>
                <w:b w:val="0"/>
                <w:i w:val="0"/>
                <w:sz w:val="20"/>
              </w:rPr>
              <w:t>VF-PRV-001</w:t>
            </w:r>
          </w:p>
        </w:tc>
        <w:tc>
          <w:tcPr>
            <w:tcW w:type="dxa" w:w="2798"/>
            <w:vAlign w:val="center"/>
            <w:shd w:fill="F4F6F8"/>
          </w:tcPr>
          <w:p>
            <w:pPr>
              <w:spacing w:after="20" w:before="20" w:line="247" w:lineRule="auto"/>
            </w:pPr>
            <w:r>
              <w:rPr>
                <w:b w:val="0"/>
                <w:i w:val="0"/>
                <w:sz w:val="20"/>
              </w:rPr>
              <w:t>VF-PRV-001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NFR-PRV-002</w:t>
            </w:r>
          </w:p>
        </w:tc>
        <w:tc>
          <w:tcPr>
            <w:tcW w:type="dxa" w:w="2498"/>
            <w:vAlign w:val="center"/>
            <w:shd w:fill="FFFFFF"/>
          </w:tcPr>
          <w:p>
            <w:pPr>
              <w:spacing w:after="20" w:before="20" w:line="247" w:lineRule="auto"/>
            </w:pPr>
            <w:r>
              <w:rPr>
                <w:b w:val="0"/>
                <w:i w:val="0"/>
                <w:sz w:val="20"/>
              </w:rPr>
              <w:t>VF-PRV-002</w:t>
            </w:r>
          </w:p>
        </w:tc>
        <w:tc>
          <w:tcPr>
            <w:tcW w:type="dxa" w:w="2798"/>
            <w:vAlign w:val="center"/>
            <w:shd w:fill="FFFFFF"/>
          </w:tcPr>
          <w:p>
            <w:pPr>
              <w:spacing w:after="20" w:before="20" w:line="247" w:lineRule="auto"/>
            </w:pPr>
            <w:r>
              <w:rPr>
                <w:b w:val="0"/>
                <w:i w:val="0"/>
                <w:sz w:val="20"/>
              </w:rPr>
              <w:t>VF-PRV-002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NFR-AIQ-001</w:t>
            </w:r>
          </w:p>
        </w:tc>
        <w:tc>
          <w:tcPr>
            <w:tcW w:type="dxa" w:w="2498"/>
            <w:vAlign w:val="center"/>
            <w:shd w:fill="F4F6F8"/>
          </w:tcPr>
          <w:p>
            <w:pPr>
              <w:spacing w:after="20" w:before="20" w:line="247" w:lineRule="auto"/>
            </w:pPr>
            <w:r>
              <w:rPr>
                <w:b w:val="0"/>
                <w:i w:val="0"/>
                <w:sz w:val="20"/>
              </w:rPr>
              <w:t>VF-AIQ-001</w:t>
            </w:r>
          </w:p>
        </w:tc>
        <w:tc>
          <w:tcPr>
            <w:tcW w:type="dxa" w:w="2798"/>
            <w:vAlign w:val="center"/>
            <w:shd w:fill="F4F6F8"/>
          </w:tcPr>
          <w:p>
            <w:pPr>
              <w:spacing w:after="20" w:before="20" w:line="247" w:lineRule="auto"/>
            </w:pPr>
            <w:r>
              <w:rPr>
                <w:b w:val="0"/>
                <w:i w:val="0"/>
                <w:sz w:val="20"/>
              </w:rPr>
              <w:t>VF-AIQ-001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NFR-AIQ-002</w:t>
            </w:r>
          </w:p>
        </w:tc>
        <w:tc>
          <w:tcPr>
            <w:tcW w:type="dxa" w:w="2498"/>
            <w:vAlign w:val="center"/>
            <w:shd w:fill="FFFFFF"/>
          </w:tcPr>
          <w:p>
            <w:pPr>
              <w:spacing w:after="20" w:before="20" w:line="247" w:lineRule="auto"/>
            </w:pPr>
            <w:r>
              <w:rPr>
                <w:b w:val="0"/>
                <w:i w:val="0"/>
                <w:sz w:val="20"/>
              </w:rPr>
              <w:t>VF-AIQ-002</w:t>
            </w:r>
          </w:p>
        </w:tc>
        <w:tc>
          <w:tcPr>
            <w:tcW w:type="dxa" w:w="2798"/>
            <w:vAlign w:val="center"/>
            <w:shd w:fill="FFFFFF"/>
          </w:tcPr>
          <w:p>
            <w:pPr>
              <w:spacing w:after="20" w:before="20" w:line="247" w:lineRule="auto"/>
            </w:pPr>
            <w:r>
              <w:rPr>
                <w:b w:val="0"/>
                <w:i w:val="0"/>
                <w:sz w:val="20"/>
              </w:rPr>
              <w:t>VF-AIQ-002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NFR-AIQ-003</w:t>
            </w:r>
          </w:p>
        </w:tc>
        <w:tc>
          <w:tcPr>
            <w:tcW w:type="dxa" w:w="2498"/>
            <w:vAlign w:val="center"/>
            <w:shd w:fill="F4F6F8"/>
          </w:tcPr>
          <w:p>
            <w:pPr>
              <w:spacing w:after="20" w:before="20" w:line="247" w:lineRule="auto"/>
            </w:pPr>
            <w:r>
              <w:rPr>
                <w:b w:val="0"/>
                <w:i w:val="0"/>
                <w:sz w:val="20"/>
              </w:rPr>
              <w:t>VF-AIQ-003</w:t>
            </w:r>
          </w:p>
        </w:tc>
        <w:tc>
          <w:tcPr>
            <w:tcW w:type="dxa" w:w="2798"/>
            <w:vAlign w:val="center"/>
            <w:shd w:fill="F4F6F8"/>
          </w:tcPr>
          <w:p>
            <w:pPr>
              <w:spacing w:after="20" w:before="20" w:line="247" w:lineRule="auto"/>
            </w:pPr>
            <w:r>
              <w:rPr>
                <w:b w:val="0"/>
                <w:i w:val="0"/>
                <w:sz w:val="20"/>
              </w:rPr>
              <w:t>VF-AIQ-003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NFR-AIQ-004</w:t>
            </w:r>
          </w:p>
        </w:tc>
        <w:tc>
          <w:tcPr>
            <w:tcW w:type="dxa" w:w="2498"/>
            <w:vAlign w:val="center"/>
            <w:shd w:fill="FFFFFF"/>
          </w:tcPr>
          <w:p>
            <w:pPr>
              <w:spacing w:after="20" w:before="20" w:line="247" w:lineRule="auto"/>
            </w:pPr>
            <w:r>
              <w:rPr>
                <w:b w:val="0"/>
                <w:i w:val="0"/>
                <w:sz w:val="20"/>
              </w:rPr>
              <w:t>VF-AIQ-004</w:t>
            </w:r>
          </w:p>
        </w:tc>
        <w:tc>
          <w:tcPr>
            <w:tcW w:type="dxa" w:w="2798"/>
            <w:vAlign w:val="center"/>
            <w:shd w:fill="FFFFFF"/>
          </w:tcPr>
          <w:p>
            <w:pPr>
              <w:spacing w:after="20" w:before="20" w:line="247" w:lineRule="auto"/>
            </w:pPr>
            <w:r>
              <w:rPr>
                <w:b w:val="0"/>
                <w:i w:val="0"/>
                <w:sz w:val="20"/>
              </w:rPr>
              <w:t>VF-AIQ-004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NFR-AIQ-005</w:t>
            </w:r>
          </w:p>
        </w:tc>
        <w:tc>
          <w:tcPr>
            <w:tcW w:type="dxa" w:w="2498"/>
            <w:vAlign w:val="center"/>
            <w:shd w:fill="F4F6F8"/>
          </w:tcPr>
          <w:p>
            <w:pPr>
              <w:spacing w:after="20" w:before="20" w:line="247" w:lineRule="auto"/>
            </w:pPr>
            <w:r>
              <w:rPr>
                <w:b w:val="0"/>
                <w:i w:val="0"/>
                <w:sz w:val="20"/>
              </w:rPr>
              <w:t>VF-AIQ-005</w:t>
            </w:r>
          </w:p>
        </w:tc>
        <w:tc>
          <w:tcPr>
            <w:tcW w:type="dxa" w:w="2798"/>
            <w:vAlign w:val="center"/>
            <w:shd w:fill="F4F6F8"/>
          </w:tcPr>
          <w:p>
            <w:pPr>
              <w:spacing w:after="20" w:before="20" w:line="247" w:lineRule="auto"/>
            </w:pPr>
            <w:r>
              <w:rPr>
                <w:b w:val="0"/>
                <w:i w:val="0"/>
                <w:sz w:val="20"/>
              </w:rPr>
              <w:t>VF-AIQ-005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NFR-UX-001</w:t>
            </w:r>
          </w:p>
        </w:tc>
        <w:tc>
          <w:tcPr>
            <w:tcW w:type="dxa" w:w="2498"/>
            <w:vAlign w:val="center"/>
            <w:shd w:fill="FFFFFF"/>
          </w:tcPr>
          <w:p>
            <w:pPr>
              <w:spacing w:after="20" w:before="20" w:line="247" w:lineRule="auto"/>
            </w:pPr>
            <w:r>
              <w:rPr>
                <w:b w:val="0"/>
                <w:i w:val="0"/>
                <w:sz w:val="20"/>
              </w:rPr>
              <w:t>VF-UX-001</w:t>
            </w:r>
          </w:p>
        </w:tc>
        <w:tc>
          <w:tcPr>
            <w:tcW w:type="dxa" w:w="2798"/>
            <w:vAlign w:val="center"/>
            <w:shd w:fill="FFFFFF"/>
          </w:tcPr>
          <w:p>
            <w:pPr>
              <w:spacing w:after="20" w:before="20" w:line="247" w:lineRule="auto"/>
            </w:pPr>
            <w:r>
              <w:rPr>
                <w:b w:val="0"/>
                <w:i w:val="0"/>
                <w:sz w:val="20"/>
              </w:rPr>
              <w:t>VF-UX-001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NFR-UX-002</w:t>
            </w:r>
          </w:p>
        </w:tc>
        <w:tc>
          <w:tcPr>
            <w:tcW w:type="dxa" w:w="2498"/>
            <w:vAlign w:val="center"/>
            <w:shd w:fill="F4F6F8"/>
          </w:tcPr>
          <w:p>
            <w:pPr>
              <w:spacing w:after="20" w:before="20" w:line="247" w:lineRule="auto"/>
            </w:pPr>
            <w:r>
              <w:rPr>
                <w:b w:val="0"/>
                <w:i w:val="0"/>
                <w:sz w:val="20"/>
              </w:rPr>
              <w:t>VF-UX-002</w:t>
            </w:r>
          </w:p>
        </w:tc>
        <w:tc>
          <w:tcPr>
            <w:tcW w:type="dxa" w:w="2798"/>
            <w:vAlign w:val="center"/>
            <w:shd w:fill="F4F6F8"/>
          </w:tcPr>
          <w:p>
            <w:pPr>
              <w:spacing w:after="20" w:before="20" w:line="247" w:lineRule="auto"/>
            </w:pPr>
            <w:r>
              <w:rPr>
                <w:b w:val="0"/>
                <w:i w:val="0"/>
                <w:sz w:val="20"/>
              </w:rPr>
              <w:t>VF-UX-002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NFR-CMP-001</w:t>
            </w:r>
          </w:p>
        </w:tc>
        <w:tc>
          <w:tcPr>
            <w:tcW w:type="dxa" w:w="2498"/>
            <w:vAlign w:val="center"/>
            <w:shd w:fill="FFFFFF"/>
          </w:tcPr>
          <w:p>
            <w:pPr>
              <w:spacing w:after="20" w:before="20" w:line="247" w:lineRule="auto"/>
            </w:pPr>
            <w:r>
              <w:rPr>
                <w:b w:val="0"/>
                <w:i w:val="0"/>
                <w:sz w:val="20"/>
              </w:rPr>
              <w:t>VF-CMP-001</w:t>
            </w:r>
          </w:p>
        </w:tc>
        <w:tc>
          <w:tcPr>
            <w:tcW w:type="dxa" w:w="2798"/>
            <w:vAlign w:val="center"/>
            <w:shd w:fill="FFFFFF"/>
          </w:tcPr>
          <w:p>
            <w:pPr>
              <w:spacing w:after="20" w:before="20" w:line="247" w:lineRule="auto"/>
            </w:pPr>
            <w:r>
              <w:rPr>
                <w:b w:val="0"/>
                <w:i w:val="0"/>
                <w:sz w:val="20"/>
              </w:rPr>
              <w:t>VF-CMP-001</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NFR-L10-001</w:t>
            </w:r>
          </w:p>
        </w:tc>
        <w:tc>
          <w:tcPr>
            <w:tcW w:type="dxa" w:w="2498"/>
            <w:vAlign w:val="center"/>
            <w:shd w:fill="F4F6F8"/>
          </w:tcPr>
          <w:p>
            <w:pPr>
              <w:spacing w:after="20" w:before="20" w:line="247" w:lineRule="auto"/>
            </w:pPr>
            <w:r>
              <w:rPr>
                <w:b w:val="0"/>
                <w:i w:val="0"/>
                <w:sz w:val="20"/>
              </w:rPr>
              <w:t>VF-L10-001</w:t>
            </w:r>
          </w:p>
        </w:tc>
        <w:tc>
          <w:tcPr>
            <w:tcW w:type="dxa" w:w="2798"/>
            <w:vAlign w:val="center"/>
            <w:shd w:fill="F4F6F8"/>
          </w:tcPr>
          <w:p>
            <w:pPr>
              <w:spacing w:after="20" w:before="20" w:line="247" w:lineRule="auto"/>
            </w:pPr>
            <w:r>
              <w:rPr>
                <w:b w:val="0"/>
                <w:i w:val="0"/>
                <w:sz w:val="20"/>
              </w:rPr>
              <w:t>VF-L10-001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NFR-MNT-001</w:t>
            </w:r>
          </w:p>
        </w:tc>
        <w:tc>
          <w:tcPr>
            <w:tcW w:type="dxa" w:w="2498"/>
            <w:vAlign w:val="center"/>
            <w:shd w:fill="FFFFFF"/>
          </w:tcPr>
          <w:p>
            <w:pPr>
              <w:spacing w:after="20" w:before="20" w:line="247" w:lineRule="auto"/>
            </w:pPr>
            <w:r>
              <w:rPr>
                <w:b w:val="0"/>
                <w:i w:val="0"/>
                <w:sz w:val="20"/>
              </w:rPr>
              <w:t>VF-MNT-001</w:t>
            </w:r>
          </w:p>
        </w:tc>
        <w:tc>
          <w:tcPr>
            <w:tcW w:type="dxa" w:w="2798"/>
            <w:vAlign w:val="center"/>
            <w:shd w:fill="FFFFFF"/>
          </w:tcPr>
          <w:p>
            <w:pPr>
              <w:spacing w:after="20" w:before="20" w:line="247" w:lineRule="auto"/>
            </w:pPr>
            <w:r>
              <w:rPr>
                <w:b w:val="0"/>
                <w:i w:val="0"/>
                <w:sz w:val="20"/>
              </w:rPr>
              <w:t>VF-MNT-001</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NFR-OBS-001</w:t>
            </w:r>
          </w:p>
        </w:tc>
        <w:tc>
          <w:tcPr>
            <w:tcW w:type="dxa" w:w="2498"/>
            <w:vAlign w:val="center"/>
            <w:shd w:fill="F4F6F8"/>
          </w:tcPr>
          <w:p>
            <w:pPr>
              <w:spacing w:after="20" w:before="20" w:line="247" w:lineRule="auto"/>
            </w:pPr>
            <w:r>
              <w:rPr>
                <w:b w:val="0"/>
                <w:i w:val="0"/>
                <w:sz w:val="20"/>
              </w:rPr>
              <w:t>VF-OBS-001</w:t>
            </w:r>
          </w:p>
        </w:tc>
        <w:tc>
          <w:tcPr>
            <w:tcW w:type="dxa" w:w="2798"/>
            <w:vAlign w:val="center"/>
            <w:shd w:fill="F4F6F8"/>
          </w:tcPr>
          <w:p>
            <w:pPr>
              <w:spacing w:after="20" w:before="20" w:line="247" w:lineRule="auto"/>
            </w:pPr>
            <w:r>
              <w:rPr>
                <w:b w:val="0"/>
                <w:i w:val="0"/>
                <w:sz w:val="20"/>
              </w:rPr>
              <w:t>VF-OBS-001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NFR-PRT-001</w:t>
            </w:r>
          </w:p>
        </w:tc>
        <w:tc>
          <w:tcPr>
            <w:tcW w:type="dxa" w:w="2498"/>
            <w:vAlign w:val="center"/>
            <w:shd w:fill="FFFFFF"/>
          </w:tcPr>
          <w:p>
            <w:pPr>
              <w:spacing w:after="20" w:before="20" w:line="247" w:lineRule="auto"/>
            </w:pPr>
            <w:r>
              <w:rPr>
                <w:b w:val="0"/>
                <w:i w:val="0"/>
                <w:sz w:val="20"/>
              </w:rPr>
              <w:t>VF-PRT-001</w:t>
            </w:r>
          </w:p>
        </w:tc>
        <w:tc>
          <w:tcPr>
            <w:tcW w:type="dxa" w:w="2798"/>
            <w:vAlign w:val="center"/>
            <w:shd w:fill="FFFFFF"/>
          </w:tcPr>
          <w:p>
            <w:pPr>
              <w:spacing w:after="20" w:before="20" w:line="247" w:lineRule="auto"/>
            </w:pPr>
            <w:r>
              <w:rPr>
                <w:b w:val="0"/>
                <w:i w:val="0"/>
                <w:sz w:val="20"/>
              </w:rPr>
              <w:t>VF-PRT-001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NFR-ECO-001</w:t>
            </w:r>
          </w:p>
        </w:tc>
        <w:tc>
          <w:tcPr>
            <w:tcW w:type="dxa" w:w="2498"/>
            <w:vAlign w:val="center"/>
            <w:shd w:fill="F4F6F8"/>
          </w:tcPr>
          <w:p>
            <w:pPr>
              <w:spacing w:after="20" w:before="20" w:line="247" w:lineRule="auto"/>
            </w:pPr>
            <w:r>
              <w:rPr>
                <w:b w:val="0"/>
                <w:i w:val="0"/>
                <w:sz w:val="20"/>
              </w:rPr>
              <w:t>VF-ECO-001</w:t>
            </w:r>
          </w:p>
        </w:tc>
        <w:tc>
          <w:tcPr>
            <w:tcW w:type="dxa" w:w="2798"/>
            <w:vAlign w:val="center"/>
            <w:shd w:fill="F4F6F8"/>
          </w:tcPr>
          <w:p>
            <w:pPr>
              <w:spacing w:after="20" w:before="20" w:line="247" w:lineRule="auto"/>
            </w:pPr>
            <w:r>
              <w:rPr>
                <w:b w:val="0"/>
                <w:i w:val="0"/>
                <w:sz w:val="20"/>
              </w:rPr>
              <w:t>VF-ECO-001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NFR-SUP-001</w:t>
            </w:r>
          </w:p>
        </w:tc>
        <w:tc>
          <w:tcPr>
            <w:tcW w:type="dxa" w:w="2498"/>
            <w:vAlign w:val="center"/>
            <w:shd w:fill="FFFFFF"/>
          </w:tcPr>
          <w:p>
            <w:pPr>
              <w:spacing w:after="20" w:before="20" w:line="247" w:lineRule="auto"/>
            </w:pPr>
            <w:r>
              <w:rPr>
                <w:b w:val="0"/>
                <w:i w:val="0"/>
                <w:sz w:val="20"/>
              </w:rPr>
              <w:t>VF-SUP-001</w:t>
            </w:r>
          </w:p>
        </w:tc>
        <w:tc>
          <w:tcPr>
            <w:tcW w:type="dxa" w:w="2798"/>
            <w:vAlign w:val="center"/>
            <w:shd w:fill="FFFFFF"/>
          </w:tcPr>
          <w:p>
            <w:pPr>
              <w:spacing w:after="20" w:before="20" w:line="247" w:lineRule="auto"/>
            </w:pPr>
            <w:r>
              <w:rPr>
                <w:b w:val="0"/>
                <w:i w:val="0"/>
                <w:sz w:val="20"/>
              </w:rPr>
              <w:t>VF-SUP-001</w:t>
            </w:r>
          </w:p>
        </w:tc>
        <w:tc>
          <w:tcPr>
            <w:tcW w:type="dxa" w:w="2199"/>
            <w:vAlign w:val="center"/>
            <w:shd w:fill="FFFFFF"/>
          </w:tcPr>
          <w:p>
            <w:pPr>
              <w:spacing w:after="20" w:before="20" w:line="247" w:lineRule="auto"/>
            </w:pPr>
            <w:r>
              <w:rPr>
                <w:b w:val="0"/>
                <w:i w:val="0"/>
                <w:sz w:val="20"/>
              </w:rPr>
              <w:t>P0 R1</w:t>
            </w:r>
          </w:p>
        </w:tc>
      </w:tr>
    </w:tbl>
    <w:p>
      <w:pPr>
        <w:keepNext w:val="0"/>
        <w:spacing w:after="60" w:line="240" w:lineRule="auto" w:before="0"/>
      </w:pPr>
      <w:r>
        <w:rPr>
          <w:b w:val="0"/>
          <w:i w:val="0"/>
          <w:sz w:val="2"/>
        </w:rPr>
      </w:r>
    </w:p>
    <w:p>
      <w:r>
        <w:rPr>
          <w:b w:val="0"/>
          <w:i w:val="0"/>
        </w:rPr>
        <w:t>The register contains 307 unique parent mappings: 270 functional contracts and 37 nonfunctional verification contracts. Priority and release assignments match the source BRD. No parent is marked not applicable or silently deferred in this version. A delivery slice may implement a release subset only while retaining all applicable cross-cutting safeguards and dependencies.</w:t>
      </w:r>
    </w:p>
    <w:p>
      <w:bookmarkStart w:id="377" w:name="sec_40"/>
      <w:pPr>
        <w:pStyle w:val="Heading1"/>
      </w:pPr>
      <w:r>
        <w:rPr>
          <w:b w:val="0"/>
          <w:i w:val="0"/>
        </w:rPr>
        <w:t>40 Functional decisions and design handoff</w:t>
      </w:r>
      <w:bookmarkEnd w:id="377"/>
    </w:p>
    <w:p>
      <w:pPr>
        <w:pStyle w:val="Heading2"/>
      </w:pPr>
      <w:r>
        <w:rPr>
          <w:b w:val="0"/>
          <w:i w:val="0"/>
        </w:rPr>
        <w:t>40 1 Decisions established by this specification</w:t>
      </w:r>
    </w:p>
    <w:p>
      <w:r>
        <w:rPr>
          <w:b w:val="0"/>
          <w:i w:val="0"/>
        </w:rPr>
        <w:t>The FSD establishes concrete default behaviour for invitation expiry, sessions, service credentials, offline authority, field and file limits, workload admission, numeric rounding, disclosure thresholds, notification timing, review independence, privacy cases and exit retrieval. These are the proposed FD decisions in section 1. They must be reviewed as a coherent baseline; implementation cannot quietly replace them with convenience defaults.</w:t>
      </w:r>
    </w:p>
    <w:p>
      <w:r>
        <w:rPr>
          <w:b w:val="0"/>
          <w:i w:val="0"/>
        </w:rPr>
        <w:t>Several choices are deployment or organisation inputs rather than unresolved product behaviour. The product already specifies how to validate, version and enforce these inputs. Their actual values must be supplied before the relevant activation gate. They do not justify leaving authentication, privacy or calculation semantics unspecified.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Remaining input</w:t>
            </w:r>
          </w:p>
        </w:tc>
        <w:tc>
          <w:tcPr>
            <w:tcW w:type="dxa" w:w="4297"/>
            <w:vAlign w:val="center"/>
            <w:shd w:fill="233B53"/>
          </w:tcPr>
          <w:p>
            <w:pPr>
              <w:spacing w:after="20" w:before="20" w:line="247" w:lineRule="auto"/>
            </w:pPr>
            <w:r>
              <w:rPr>
                <w:b/>
                <w:i w:val="0"/>
                <w:color w:val="FFFFFF"/>
                <w:sz w:val="20"/>
              </w:rPr>
              <w:t>Current functional disposition</w:t>
            </w:r>
          </w:p>
        </w:tc>
        <w:tc>
          <w:tcPr>
            <w:tcW w:type="dxa" w:w="3498"/>
            <w:vAlign w:val="center"/>
            <w:shd w:fill="233B53"/>
          </w:tcPr>
          <w:p>
            <w:pPr>
              <w:spacing w:after="20" w:before="20" w:line="247" w:lineRule="auto"/>
            </w:pPr>
            <w:r>
              <w:rPr>
                <w:b/>
                <w:i w:val="0"/>
                <w:color w:val="FFFFFF"/>
                <w:sz w:val="20"/>
              </w:rPr>
              <w:t>Owner and latest gate</w:t>
            </w:r>
          </w:p>
        </w:tc>
      </w:tr>
      <w:tr>
        <w:trPr>
          <w:cantSplit/>
        </w:trPr>
        <w:tc>
          <w:tcPr>
            <w:tcW w:type="dxa" w:w="2199"/>
            <w:vAlign w:val="center"/>
            <w:shd w:fill="FFFFFF"/>
          </w:tcPr>
          <w:p>
            <w:pPr>
              <w:spacing w:after="20" w:before="20" w:line="247" w:lineRule="auto"/>
            </w:pPr>
            <w:r>
              <w:rPr>
                <w:b w:val="0"/>
                <w:i w:val="0"/>
                <w:sz w:val="20"/>
              </w:rPr>
              <w:t>Product name and accountable owner</w:t>
            </w:r>
          </w:p>
        </w:tc>
        <w:tc>
          <w:tcPr>
            <w:tcW w:type="dxa" w:w="4297"/>
            <w:vAlign w:val="center"/>
            <w:shd w:fill="FFFFFF"/>
          </w:tcPr>
          <w:p>
            <w:pPr>
              <w:spacing w:after="20" w:before="20" w:line="247" w:lineRule="auto"/>
            </w:pPr>
            <w:r>
              <w:rPr>
                <w:b w:val="0"/>
                <w:i w:val="0"/>
                <w:sz w:val="20"/>
              </w:rPr>
              <w:t>Working title retained; ownership roles configurable and attributable</w:t>
            </w:r>
          </w:p>
        </w:tc>
        <w:tc>
          <w:tcPr>
            <w:tcW w:type="dxa" w:w="3498"/>
            <w:vAlign w:val="center"/>
            <w:shd w:fill="FFFFFF"/>
          </w:tcPr>
          <w:p>
            <w:pPr>
              <w:spacing w:after="20" w:before="20" w:line="247" w:lineRule="auto"/>
            </w:pPr>
            <w:r>
              <w:rPr>
                <w:b w:val="0"/>
                <w:i w:val="0"/>
                <w:sz w:val="20"/>
              </w:rPr>
              <w:t>Sponsor before external release</w:t>
            </w:r>
          </w:p>
        </w:tc>
      </w:tr>
      <w:tr>
        <w:trPr>
          <w:cantSplit/>
        </w:trPr>
        <w:tc>
          <w:tcPr>
            <w:tcW w:type="dxa" w:w="2199"/>
            <w:vAlign w:val="center"/>
            <w:shd w:fill="F4F6F8"/>
          </w:tcPr>
          <w:p>
            <w:pPr>
              <w:spacing w:after="20" w:before="20" w:line="247" w:lineRule="auto"/>
            </w:pPr>
            <w:r>
              <w:rPr>
                <w:b w:val="0"/>
                <w:i w:val="0"/>
                <w:sz w:val="20"/>
              </w:rPr>
              <w:t>Greenfield or evolution of existing TolaData assets</w:t>
            </w:r>
          </w:p>
        </w:tc>
        <w:tc>
          <w:tcPr>
            <w:tcW w:type="dxa" w:w="4297"/>
            <w:vAlign w:val="center"/>
            <w:shd w:fill="F4F6F8"/>
          </w:tcPr>
          <w:p>
            <w:pPr>
              <w:spacing w:after="20" w:before="20" w:line="247" w:lineRule="auto"/>
            </w:pPr>
            <w:r>
              <w:rPr>
                <w:b w:val="0"/>
                <w:i w:val="0"/>
                <w:sz w:val="20"/>
              </w:rPr>
              <w:t>Same functional contract; inspect authorised code and source exports before migration design</w:t>
            </w:r>
          </w:p>
        </w:tc>
        <w:tc>
          <w:tcPr>
            <w:tcW w:type="dxa" w:w="3498"/>
            <w:vAlign w:val="center"/>
            <w:shd w:fill="F4F6F8"/>
          </w:tcPr>
          <w:p>
            <w:pPr>
              <w:spacing w:after="20" w:before="20" w:line="247" w:lineRule="auto"/>
            </w:pPr>
            <w:r>
              <w:rPr>
                <w:b w:val="0"/>
                <w:i w:val="0"/>
                <w:sz w:val="20"/>
              </w:rPr>
              <w:t>Engineering and sponsor before HLD baseline</w:t>
            </w:r>
          </w:p>
        </w:tc>
      </w:tr>
      <w:tr>
        <w:trPr>
          <w:cantSplit/>
        </w:trPr>
        <w:tc>
          <w:tcPr>
            <w:tcW w:type="dxa" w:w="2199"/>
            <w:vAlign w:val="center"/>
            <w:shd w:fill="FFFFFF"/>
          </w:tcPr>
          <w:p>
            <w:pPr>
              <w:spacing w:after="20" w:before="20" w:line="247" w:lineRule="auto"/>
            </w:pPr>
            <w:r>
              <w:rPr>
                <w:b w:val="0"/>
                <w:i w:val="0"/>
                <w:sz w:val="20"/>
              </w:rPr>
              <w:t>Production cohort and representative programmes</w:t>
            </w:r>
          </w:p>
        </w:tc>
        <w:tc>
          <w:tcPr>
            <w:tcW w:type="dxa" w:w="4297"/>
            <w:vAlign w:val="center"/>
            <w:shd w:fill="FFFFFF"/>
          </w:tcPr>
          <w:p>
            <w:pPr>
              <w:spacing w:after="20" w:before="20" w:line="247" w:lineRule="auto"/>
            </w:pPr>
            <w:r>
              <w:rPr>
                <w:b w:val="0"/>
                <w:i w:val="0"/>
                <w:sz w:val="20"/>
              </w:rPr>
              <w:t>Named pilot tenants with MEL owners and qualified templates</w:t>
            </w:r>
          </w:p>
        </w:tc>
        <w:tc>
          <w:tcPr>
            <w:tcW w:type="dxa" w:w="3498"/>
            <w:vAlign w:val="center"/>
            <w:shd w:fill="FFFFFF"/>
          </w:tcPr>
          <w:p>
            <w:pPr>
              <w:spacing w:after="20" w:before="20" w:line="247" w:lineRule="auto"/>
            </w:pPr>
            <w:r>
              <w:rPr>
                <w:b w:val="0"/>
                <w:i w:val="0"/>
                <w:sz w:val="20"/>
              </w:rPr>
              <w:t>Product before pilot readiness</w:t>
            </w:r>
          </w:p>
        </w:tc>
      </w:tr>
      <w:tr>
        <w:trPr>
          <w:cantSplit/>
        </w:trPr>
        <w:tc>
          <w:tcPr>
            <w:tcW w:type="dxa" w:w="2199"/>
            <w:vAlign w:val="center"/>
            <w:shd w:fill="F4F6F8"/>
          </w:tcPr>
          <w:p>
            <w:pPr>
              <w:spacing w:after="20" w:before="20" w:line="247" w:lineRule="auto"/>
            </w:pPr>
            <w:r>
              <w:rPr>
                <w:b w:val="0"/>
                <w:i w:val="0"/>
                <w:sz w:val="20"/>
              </w:rPr>
              <w:t>Primary and recovery locations</w:t>
            </w:r>
          </w:p>
        </w:tc>
        <w:tc>
          <w:tcPr>
            <w:tcW w:type="dxa" w:w="4297"/>
            <w:vAlign w:val="center"/>
            <w:shd w:fill="F4F6F8"/>
          </w:tcPr>
          <w:p>
            <w:pPr>
              <w:spacing w:after="20" w:before="20" w:line="247" w:lineRule="auto"/>
            </w:pPr>
            <w:r>
              <w:rPr>
                <w:b w:val="0"/>
                <w:i w:val="0"/>
                <w:sz w:val="20"/>
              </w:rPr>
              <w:t>Explicit allowed-region policy; no prohibited automatic failover</w:t>
            </w:r>
          </w:p>
        </w:tc>
        <w:tc>
          <w:tcPr>
            <w:tcW w:type="dxa" w:w="3498"/>
            <w:vAlign w:val="center"/>
            <w:shd w:fill="F4F6F8"/>
          </w:tcPr>
          <w:p>
            <w:pPr>
              <w:spacing w:after="20" w:before="20" w:line="247" w:lineRule="auto"/>
            </w:pPr>
            <w:r>
              <w:rPr>
                <w:b w:val="0"/>
                <w:i w:val="0"/>
                <w:sz w:val="20"/>
              </w:rPr>
              <w:t>Privacy and engineering before infrastructure commitment</w:t>
            </w:r>
          </w:p>
        </w:tc>
      </w:tr>
      <w:tr>
        <w:trPr>
          <w:cantSplit/>
        </w:trPr>
        <w:tc>
          <w:tcPr>
            <w:tcW w:type="dxa" w:w="2199"/>
            <w:vAlign w:val="center"/>
            <w:shd w:fill="FFFFFF"/>
          </w:tcPr>
          <w:p>
            <w:pPr>
              <w:spacing w:after="20" w:before="20" w:line="247" w:lineRule="auto"/>
            </w:pPr>
            <w:r>
              <w:rPr>
                <w:b w:val="0"/>
                <w:i w:val="0"/>
                <w:sz w:val="20"/>
              </w:rPr>
              <w:t>Record and evidence retention periods</w:t>
            </w:r>
          </w:p>
        </w:tc>
        <w:tc>
          <w:tcPr>
            <w:tcW w:type="dxa" w:w="4297"/>
            <w:vAlign w:val="center"/>
            <w:shd w:fill="FFFFFF"/>
          </w:tcPr>
          <w:p>
            <w:pPr>
              <w:spacing w:after="20" w:before="20" w:line="247" w:lineRule="auto"/>
            </w:pPr>
            <w:r>
              <w:rPr>
                <w:b w:val="0"/>
                <w:i w:val="0"/>
                <w:sz w:val="20"/>
              </w:rPr>
              <w:t>Required configuration before production collection; operational defaults inherited from BRD</w:t>
            </w:r>
          </w:p>
        </w:tc>
        <w:tc>
          <w:tcPr>
            <w:tcW w:type="dxa" w:w="3498"/>
            <w:vAlign w:val="center"/>
            <w:shd w:fill="FFFFFF"/>
          </w:tcPr>
          <w:p>
            <w:pPr>
              <w:spacing w:after="20" w:before="20" w:line="247" w:lineRule="auto"/>
            </w:pPr>
            <w:r>
              <w:rPr>
                <w:b w:val="0"/>
                <w:i w:val="0"/>
                <w:sz w:val="20"/>
              </w:rPr>
              <w:t>Tenant owner and privacy lead before activation</w:t>
            </w:r>
          </w:p>
        </w:tc>
      </w:tr>
      <w:tr>
        <w:trPr>
          <w:cantSplit/>
        </w:trPr>
        <w:tc>
          <w:tcPr>
            <w:tcW w:type="dxa" w:w="2199"/>
            <w:vAlign w:val="center"/>
            <w:shd w:fill="F4F6F8"/>
          </w:tcPr>
          <w:p>
            <w:pPr>
              <w:spacing w:after="20" w:before="20" w:line="247" w:lineRule="auto"/>
            </w:pPr>
            <w:r>
              <w:rPr>
                <w:b w:val="0"/>
                <w:i w:val="0"/>
                <w:sz w:val="20"/>
              </w:rPr>
              <w:t>Handling basis and notice text</w:t>
            </w:r>
          </w:p>
        </w:tc>
        <w:tc>
          <w:tcPr>
            <w:tcW w:type="dxa" w:w="4297"/>
            <w:vAlign w:val="center"/>
            <w:shd w:fill="F4F6F8"/>
          </w:tcPr>
          <w:p>
            <w:pPr>
              <w:spacing w:after="20" w:before="20" w:line="247" w:lineRule="auto"/>
            </w:pPr>
            <w:r>
              <w:rPr>
                <w:b w:val="0"/>
                <w:i w:val="0"/>
                <w:sz w:val="20"/>
              </w:rPr>
              <w:t>Versioned tenant policy with separate optional purposes and reviewed translations</w:t>
            </w:r>
          </w:p>
        </w:tc>
        <w:tc>
          <w:tcPr>
            <w:tcW w:type="dxa" w:w="3498"/>
            <w:vAlign w:val="center"/>
            <w:shd w:fill="F4F6F8"/>
          </w:tcPr>
          <w:p>
            <w:pPr>
              <w:spacing w:after="20" w:before="20" w:line="247" w:lineRule="auto"/>
            </w:pPr>
            <w:r>
              <w:rPr>
                <w:b w:val="0"/>
                <w:i w:val="0"/>
                <w:sz w:val="20"/>
              </w:rPr>
              <w:t>Privacy and programme lead before collection</w:t>
            </w:r>
          </w:p>
        </w:tc>
      </w:tr>
      <w:tr>
        <w:trPr>
          <w:cantSplit/>
        </w:trPr>
        <w:tc>
          <w:tcPr>
            <w:tcW w:type="dxa" w:w="2199"/>
            <w:vAlign w:val="center"/>
            <w:shd w:fill="FFFFFF"/>
          </w:tcPr>
          <w:p>
            <w:pPr>
              <w:spacing w:after="20" w:before="20" w:line="247" w:lineRule="auto"/>
            </w:pPr>
            <w:r>
              <w:rPr>
                <w:b w:val="0"/>
                <w:i w:val="0"/>
                <w:sz w:val="20"/>
              </w:rPr>
              <w:t>Selected interface languages</w:t>
            </w:r>
          </w:p>
        </w:tc>
        <w:tc>
          <w:tcPr>
            <w:tcW w:type="dxa" w:w="4297"/>
            <w:vAlign w:val="center"/>
            <w:shd w:fill="FFFFFF"/>
          </w:tcPr>
          <w:p>
            <w:pPr>
              <w:spacing w:after="20" w:before="20" w:line="247" w:lineRule="auto"/>
            </w:pPr>
            <w:r>
              <w:rPr>
                <w:b w:val="0"/>
                <w:i w:val="0"/>
                <w:sz w:val="20"/>
              </w:rPr>
              <w:t>Complete English R1; approved instrument translations; additional interface languages qualified individually</w:t>
            </w:r>
          </w:p>
        </w:tc>
        <w:tc>
          <w:tcPr>
            <w:tcW w:type="dxa" w:w="3498"/>
            <w:vAlign w:val="center"/>
            <w:shd w:fill="FFFFFF"/>
          </w:tcPr>
          <w:p>
            <w:pPr>
              <w:spacing w:after="20" w:before="20" w:line="247" w:lineRule="auto"/>
            </w:pPr>
            <w:r>
              <w:rPr>
                <w:b w:val="0"/>
                <w:i w:val="0"/>
                <w:sz w:val="20"/>
              </w:rPr>
              <w:t>Product and design before language release</w:t>
            </w:r>
          </w:p>
        </w:tc>
      </w:tr>
      <w:tr>
        <w:trPr>
          <w:cantSplit/>
        </w:trPr>
        <w:tc>
          <w:tcPr>
            <w:tcW w:type="dxa" w:w="2199"/>
            <w:vAlign w:val="center"/>
            <w:shd w:fill="F4F6F8"/>
          </w:tcPr>
          <w:p>
            <w:pPr>
              <w:spacing w:after="20" w:before="20" w:line="247" w:lineRule="auto"/>
            </w:pPr>
            <w:r>
              <w:rPr>
                <w:b w:val="0"/>
                <w:i w:val="0"/>
                <w:sz w:val="20"/>
              </w:rPr>
              <w:t>Offline client and managed device profile</w:t>
            </w:r>
          </w:p>
        </w:tc>
        <w:tc>
          <w:tcPr>
            <w:tcW w:type="dxa" w:w="4297"/>
            <w:vAlign w:val="center"/>
            <w:shd w:fill="F4F6F8"/>
          </w:tcPr>
          <w:p>
            <w:pPr>
              <w:spacing w:after="20" w:before="20" w:line="247" w:lineRule="auto"/>
            </w:pPr>
            <w:r>
              <w:rPr>
                <w:b w:val="0"/>
                <w:i w:val="0"/>
                <w:sz w:val="20"/>
              </w:rPr>
              <w:t>Required durability, protected local workspace and expiry; no sensitive offline use without qualification</w:t>
            </w:r>
          </w:p>
        </w:tc>
        <w:tc>
          <w:tcPr>
            <w:tcW w:type="dxa" w:w="3498"/>
            <w:vAlign w:val="center"/>
            <w:shd w:fill="F4F6F8"/>
          </w:tcPr>
          <w:p>
            <w:pPr>
              <w:spacing w:after="20" w:before="20" w:line="247" w:lineRule="auto"/>
            </w:pPr>
            <w:r>
              <w:rPr>
                <w:b w:val="0"/>
                <w:i w:val="0"/>
                <w:sz w:val="20"/>
              </w:rPr>
              <w:t>Engineering and security during HLD and client qualification</w:t>
            </w:r>
          </w:p>
        </w:tc>
      </w:tr>
      <w:tr>
        <w:trPr>
          <w:cantSplit/>
        </w:trPr>
        <w:tc>
          <w:tcPr>
            <w:tcW w:type="dxa" w:w="2199"/>
            <w:vAlign w:val="center"/>
            <w:shd w:fill="FFFFFF"/>
          </w:tcPr>
          <w:p>
            <w:pPr>
              <w:spacing w:after="20" w:before="20" w:line="247" w:lineRule="auto"/>
            </w:pPr>
            <w:r>
              <w:rPr>
                <w:b w:val="0"/>
                <w:i w:val="0"/>
                <w:sz w:val="20"/>
              </w:rPr>
              <w:t>Federation and recovery configuration</w:t>
            </w:r>
          </w:p>
        </w:tc>
        <w:tc>
          <w:tcPr>
            <w:tcW w:type="dxa" w:w="4297"/>
            <w:vAlign w:val="center"/>
            <w:shd w:fill="FFFFFF"/>
          </w:tcPr>
          <w:p>
            <w:pPr>
              <w:spacing w:after="20" w:before="20" w:line="247" w:lineRule="auto"/>
            </w:pPr>
            <w:r>
              <w:rPr>
                <w:b w:val="0"/>
                <w:i w:val="0"/>
                <w:sz w:val="20"/>
              </w:rPr>
              <w:t>Tested provider binding, MFA, emergency recovery and independent ownership continuity</w:t>
            </w:r>
          </w:p>
        </w:tc>
        <w:tc>
          <w:tcPr>
            <w:tcW w:type="dxa" w:w="3498"/>
            <w:vAlign w:val="center"/>
            <w:shd w:fill="FFFFFF"/>
          </w:tcPr>
          <w:p>
            <w:pPr>
              <w:spacing w:after="20" w:before="20" w:line="247" w:lineRule="auto"/>
            </w:pPr>
            <w:r>
              <w:rPr>
                <w:b w:val="0"/>
                <w:i w:val="0"/>
                <w:sz w:val="20"/>
              </w:rPr>
              <w:t>Identity administrator before enforcement</w:t>
            </w:r>
          </w:p>
        </w:tc>
      </w:tr>
      <w:tr>
        <w:trPr>
          <w:cantSplit/>
        </w:trPr>
        <w:tc>
          <w:tcPr>
            <w:tcW w:type="dxa" w:w="2199"/>
            <w:vAlign w:val="center"/>
            <w:shd w:fill="F4F6F8"/>
          </w:tcPr>
          <w:p>
            <w:pPr>
              <w:spacing w:after="20" w:before="20" w:line="247" w:lineRule="auto"/>
            </w:pPr>
            <w:r>
              <w:rPr>
                <w:b w:val="0"/>
                <w:i w:val="0"/>
                <w:sz w:val="20"/>
              </w:rPr>
              <w:t>Exact external connector versions</w:t>
            </w:r>
          </w:p>
        </w:tc>
        <w:tc>
          <w:tcPr>
            <w:tcW w:type="dxa" w:w="4297"/>
            <w:vAlign w:val="center"/>
            <w:shd w:fill="F4F6F8"/>
          </w:tcPr>
          <w:p>
            <w:pPr>
              <w:spacing w:after="20" w:before="20" w:line="247" w:lineRule="auto"/>
            </w:pPr>
            <w:r>
              <w:rPr>
                <w:b w:val="0"/>
                <w:i w:val="0"/>
                <w:sz w:val="20"/>
              </w:rPr>
              <w:t>Qualification profile must specify authoritative fields, operations and limits</w:t>
            </w:r>
          </w:p>
        </w:tc>
        <w:tc>
          <w:tcPr>
            <w:tcW w:type="dxa" w:w="3498"/>
            <w:vAlign w:val="center"/>
            <w:shd w:fill="F4F6F8"/>
          </w:tcPr>
          <w:p>
            <w:pPr>
              <w:spacing w:after="20" w:before="20" w:line="247" w:lineRule="auto"/>
            </w:pPr>
            <w:r>
              <w:rPr>
                <w:b w:val="0"/>
                <w:i w:val="0"/>
                <w:sz w:val="20"/>
              </w:rPr>
              <w:t>Integration owner before connector activation</w:t>
            </w:r>
          </w:p>
        </w:tc>
      </w:tr>
      <w:tr>
        <w:trPr>
          <w:cantSplit/>
        </w:trPr>
        <w:tc>
          <w:tcPr>
            <w:tcW w:type="dxa" w:w="2199"/>
            <w:vAlign w:val="center"/>
            <w:shd w:fill="FFFFFF"/>
          </w:tcPr>
          <w:p>
            <w:pPr>
              <w:spacing w:after="20" w:before="20" w:line="247" w:lineRule="auto"/>
            </w:pPr>
            <w:r>
              <w:rPr>
                <w:b w:val="0"/>
                <w:i w:val="0"/>
                <w:sz w:val="20"/>
              </w:rPr>
              <w:t>Exact IATI standard and publication route</w:t>
            </w:r>
          </w:p>
        </w:tc>
        <w:tc>
          <w:tcPr>
            <w:tcW w:type="dxa" w:w="4297"/>
            <w:vAlign w:val="center"/>
            <w:shd w:fill="FFFFFF"/>
          </w:tcPr>
          <w:p>
            <w:pPr>
              <w:spacing w:after="20" w:before="20" w:line="247" w:lineRule="auto"/>
            </w:pPr>
            <w:r>
              <w:rPr>
                <w:b w:val="0"/>
                <w:i w:val="0"/>
                <w:sz w:val="20"/>
              </w:rPr>
              <w:t>R2 validation and acknowledgement contract; no unspecified schema support claim</w:t>
            </w:r>
          </w:p>
        </w:tc>
        <w:tc>
          <w:tcPr>
            <w:tcW w:type="dxa" w:w="3498"/>
            <w:vAlign w:val="center"/>
            <w:shd w:fill="FFFFFF"/>
          </w:tcPr>
          <w:p>
            <w:pPr>
              <w:spacing w:after="20" w:before="20" w:line="247" w:lineRule="auto"/>
            </w:pPr>
            <w:r>
              <w:rPr>
                <w:b w:val="0"/>
                <w:i w:val="0"/>
                <w:sz w:val="20"/>
              </w:rPr>
              <w:t>MEL and integration leads before R2 qualification</w:t>
            </w:r>
          </w:p>
        </w:tc>
      </w:tr>
      <w:tr>
        <w:trPr>
          <w:cantSplit/>
        </w:trPr>
        <w:tc>
          <w:tcPr>
            <w:tcW w:type="dxa" w:w="2199"/>
            <w:vAlign w:val="center"/>
            <w:shd w:fill="F4F6F8"/>
          </w:tcPr>
          <w:p>
            <w:pPr>
              <w:spacing w:after="20" w:before="20" w:line="247" w:lineRule="auto"/>
            </w:pPr>
            <w:r>
              <w:rPr>
                <w:b w:val="0"/>
                <w:i w:val="0"/>
                <w:sz w:val="20"/>
              </w:rPr>
              <w:t>AI model and provider choices</w:t>
            </w:r>
          </w:p>
        </w:tc>
        <w:tc>
          <w:tcPr>
            <w:tcW w:type="dxa" w:w="4297"/>
            <w:vAlign w:val="center"/>
            <w:shd w:fill="F4F6F8"/>
          </w:tcPr>
          <w:p>
            <w:pPr>
              <w:spacing w:after="20" w:before="20" w:line="247" w:lineRule="auto"/>
            </w:pPr>
            <w:r>
              <w:rPr>
                <w:b w:val="0"/>
                <w:i w:val="0"/>
                <w:sz w:val="20"/>
              </w:rPr>
              <w:t>Use-case and data-class allowlist, evaluation, region and retention requirements</w:t>
            </w:r>
          </w:p>
        </w:tc>
        <w:tc>
          <w:tcPr>
            <w:tcW w:type="dxa" w:w="3498"/>
            <w:vAlign w:val="center"/>
            <w:shd w:fill="F4F6F8"/>
          </w:tcPr>
          <w:p>
            <w:pPr>
              <w:spacing w:after="20" w:before="20" w:line="247" w:lineRule="auto"/>
            </w:pPr>
            <w:r>
              <w:rPr>
                <w:b w:val="0"/>
                <w:i w:val="0"/>
                <w:sz w:val="20"/>
              </w:rPr>
              <w:t>AI assurance and privacy before real data transmission</w:t>
            </w:r>
          </w:p>
        </w:tc>
      </w:tr>
      <w:tr>
        <w:trPr>
          <w:cantSplit/>
        </w:trPr>
        <w:tc>
          <w:tcPr>
            <w:tcW w:type="dxa" w:w="2199"/>
            <w:vAlign w:val="center"/>
            <w:shd w:fill="FFFFFF"/>
          </w:tcPr>
          <w:p>
            <w:pPr>
              <w:spacing w:after="20" w:before="20" w:line="247" w:lineRule="auto"/>
            </w:pPr>
            <w:r>
              <w:rPr>
                <w:b w:val="0"/>
                <w:i w:val="0"/>
                <w:sz w:val="20"/>
              </w:rPr>
              <w:t>Programme threshold templates</w:t>
            </w:r>
          </w:p>
        </w:tc>
        <w:tc>
          <w:tcPr>
            <w:tcW w:type="dxa" w:w="4297"/>
            <w:vAlign w:val="center"/>
            <w:shd w:fill="FFFFFF"/>
          </w:tcPr>
          <w:p>
            <w:pPr>
              <w:spacing w:after="20" w:before="20" w:line="247" w:lineRule="auto"/>
            </w:pPr>
            <w:r>
              <w:rPr>
                <w:b w:val="0"/>
                <w:i w:val="0"/>
                <w:sz w:val="20"/>
              </w:rPr>
              <w:t>Proposed visible defaults; measure-specific direction and thresholds reviewed</w:t>
            </w:r>
          </w:p>
        </w:tc>
        <w:tc>
          <w:tcPr>
            <w:tcW w:type="dxa" w:w="3498"/>
            <w:vAlign w:val="center"/>
            <w:shd w:fill="FFFFFF"/>
          </w:tcPr>
          <w:p>
            <w:pPr>
              <w:spacing w:after="20" w:before="20" w:line="247" w:lineRule="auto"/>
            </w:pPr>
            <w:r>
              <w:rPr>
                <w:b w:val="0"/>
                <w:i w:val="0"/>
                <w:sz w:val="20"/>
              </w:rPr>
              <w:t>MEL lead before measurement baseline approval</w:t>
            </w:r>
          </w:p>
        </w:tc>
      </w:tr>
      <w:tr>
        <w:trPr>
          <w:cantSplit/>
        </w:trPr>
        <w:tc>
          <w:tcPr>
            <w:tcW w:type="dxa" w:w="2199"/>
            <w:vAlign w:val="center"/>
            <w:shd w:fill="F4F6F8"/>
          </w:tcPr>
          <w:p>
            <w:pPr>
              <w:spacing w:after="20" w:before="20" w:line="247" w:lineRule="auto"/>
            </w:pPr>
            <w:r>
              <w:rPr>
                <w:b w:val="0"/>
                <w:i w:val="0"/>
                <w:sz w:val="20"/>
              </w:rPr>
              <w:t>Privacy disclosure policy</w:t>
            </w:r>
          </w:p>
        </w:tc>
        <w:tc>
          <w:tcPr>
            <w:tcW w:type="dxa" w:w="4297"/>
            <w:vAlign w:val="center"/>
            <w:shd w:fill="F4F6F8"/>
          </w:tcPr>
          <w:p>
            <w:pPr>
              <w:spacing w:after="20" w:before="20" w:line="247" w:lineRule="auto"/>
            </w:pPr>
            <w:r>
              <w:rPr>
                <w:b w:val="0"/>
                <w:i w:val="0"/>
                <w:sz w:val="20"/>
              </w:rPr>
              <w:t>Public off by default; fixed reviewed slices, threshold and inference controls</w:t>
            </w:r>
          </w:p>
        </w:tc>
        <w:tc>
          <w:tcPr>
            <w:tcW w:type="dxa" w:w="3498"/>
            <w:vAlign w:val="center"/>
            <w:shd w:fill="F4F6F8"/>
          </w:tcPr>
          <w:p>
            <w:pPr>
              <w:spacing w:after="20" w:before="20" w:line="247" w:lineRule="auto"/>
            </w:pPr>
            <w:r>
              <w:rPr>
                <w:b w:val="0"/>
                <w:i w:val="0"/>
                <w:sz w:val="20"/>
              </w:rPr>
              <w:t>Privacy lead before first external publication</w:t>
            </w:r>
          </w:p>
        </w:tc>
      </w:tr>
      <w:tr>
        <w:trPr>
          <w:cantSplit/>
        </w:trPr>
        <w:tc>
          <w:tcPr>
            <w:tcW w:type="dxa" w:w="2199"/>
            <w:vAlign w:val="center"/>
            <w:shd w:fill="FFFFFF"/>
          </w:tcPr>
          <w:p>
            <w:pPr>
              <w:spacing w:after="20" w:before="20" w:line="247" w:lineRule="auto"/>
            </w:pPr>
            <w:r>
              <w:rPr>
                <w:b w:val="0"/>
                <w:i w:val="0"/>
                <w:sz w:val="20"/>
              </w:rPr>
              <w:t>Support plan and commercial limits</w:t>
            </w:r>
          </w:p>
        </w:tc>
        <w:tc>
          <w:tcPr>
            <w:tcW w:type="dxa" w:w="4297"/>
            <w:vAlign w:val="center"/>
            <w:shd w:fill="FFFFFF"/>
          </w:tcPr>
          <w:p>
            <w:pPr>
              <w:spacing w:after="20" w:before="20" w:line="247" w:lineRule="auto"/>
            </w:pPr>
            <w:r>
              <w:rPr>
                <w:b w:val="0"/>
                <w:i w:val="0"/>
                <w:sz w:val="20"/>
              </w:rPr>
              <w:t>Separate from permissions; essential security and exit preserved</w:t>
            </w:r>
          </w:p>
        </w:tc>
        <w:tc>
          <w:tcPr>
            <w:tcW w:type="dxa" w:w="3498"/>
            <w:vAlign w:val="center"/>
            <w:shd w:fill="FFFFFF"/>
          </w:tcPr>
          <w:p>
            <w:pPr>
              <w:spacing w:after="20" w:before="20" w:line="247" w:lineRule="auto"/>
            </w:pPr>
            <w:r>
              <w:rPr>
                <w:b w:val="0"/>
                <w:i w:val="0"/>
                <w:sz w:val="20"/>
              </w:rPr>
              <w:t>Product and operations before contract commitment</w:t>
            </w:r>
          </w:p>
        </w:tc>
      </w:tr>
      <w:tr>
        <w:trPr>
          <w:cantSplit/>
        </w:trPr>
        <w:tc>
          <w:tcPr>
            <w:tcW w:type="dxa" w:w="2199"/>
            <w:vAlign w:val="center"/>
            <w:shd w:fill="F4F6F8"/>
          </w:tcPr>
          <w:p>
            <w:pPr>
              <w:spacing w:after="20" w:before="20" w:line="247" w:lineRule="auto"/>
            </w:pPr>
            <w:r>
              <w:rPr>
                <w:b w:val="0"/>
                <w:i w:val="0"/>
                <w:sz w:val="20"/>
              </w:rPr>
              <w:t>Capacity cost and deployment variants</w:t>
            </w:r>
          </w:p>
        </w:tc>
        <w:tc>
          <w:tcPr>
            <w:tcW w:type="dxa" w:w="4297"/>
            <w:vAlign w:val="center"/>
            <w:shd w:fill="F4F6F8"/>
          </w:tcPr>
          <w:p>
            <w:pPr>
              <w:spacing w:after="20" w:before="20" w:line="247" w:lineRule="auto"/>
            </w:pPr>
            <w:r>
              <w:rPr>
                <w:b w:val="0"/>
                <w:i w:val="0"/>
                <w:sz w:val="20"/>
              </w:rPr>
              <w:t>BRD qualification workload preserved; costs and scaling validated in HLD</w:t>
            </w:r>
          </w:p>
        </w:tc>
        <w:tc>
          <w:tcPr>
            <w:tcW w:type="dxa" w:w="3498"/>
            <w:vAlign w:val="center"/>
            <w:shd w:fill="F4F6F8"/>
          </w:tcPr>
          <w:p>
            <w:pPr>
              <w:spacing w:after="20" w:before="20" w:line="247" w:lineRule="auto"/>
            </w:pPr>
            <w:r>
              <w:rPr>
                <w:b w:val="0"/>
                <w:i w:val="0"/>
                <w:sz w:val="20"/>
              </w:rPr>
              <w:t>Engineering and operations before service commitment</w:t>
            </w:r>
          </w:p>
        </w:tc>
      </w:tr>
      <w:tr>
        <w:trPr>
          <w:cantSplit/>
        </w:trPr>
        <w:tc>
          <w:tcPr>
            <w:tcW w:type="dxa" w:w="2199"/>
            <w:vAlign w:val="center"/>
            <w:shd w:fill="FFFFFF"/>
          </w:tcPr>
          <w:p>
            <w:pPr>
              <w:spacing w:after="20" w:before="20" w:line="247" w:lineRule="auto"/>
            </w:pPr>
            <w:r>
              <w:rPr>
                <w:b w:val="0"/>
                <w:i w:val="0"/>
                <w:sz w:val="20"/>
              </w:rPr>
              <w:t>Independent assurance scope</w:t>
            </w:r>
          </w:p>
        </w:tc>
        <w:tc>
          <w:tcPr>
            <w:tcW w:type="dxa" w:w="4297"/>
            <w:vAlign w:val="center"/>
            <w:shd w:fill="FFFFFF"/>
          </w:tcPr>
          <w:p>
            <w:pPr>
              <w:spacing w:after="20" w:before="20" w:line="247" w:lineRule="auto"/>
            </w:pPr>
            <w:r>
              <w:rPr>
                <w:b w:val="0"/>
                <w:i w:val="0"/>
                <w:sz w:val="20"/>
              </w:rPr>
              <w:t>Applicable control mapping and assessment evidence; no certification assertion without evidence</w:t>
            </w:r>
          </w:p>
        </w:tc>
        <w:tc>
          <w:tcPr>
            <w:tcW w:type="dxa" w:w="3498"/>
            <w:vAlign w:val="center"/>
            <w:shd w:fill="FFFFFF"/>
          </w:tcPr>
          <w:p>
            <w:pPr>
              <w:spacing w:after="20" w:before="20" w:line="247" w:lineRule="auto"/>
            </w:pPr>
            <w:r>
              <w:rPr>
                <w:b w:val="0"/>
                <w:i w:val="0"/>
                <w:sz w:val="20"/>
              </w:rPr>
              <w:t>Security before general production release</w:t>
            </w:r>
          </w:p>
        </w:tc>
      </w:tr>
      <w:tr>
        <w:trPr>
          <w:cantSplit/>
        </w:trPr>
        <w:tc>
          <w:tcPr>
            <w:tcW w:type="dxa" w:w="2199"/>
            <w:vAlign w:val="center"/>
            <w:shd w:fill="F4F6F8"/>
          </w:tcPr>
          <w:p>
            <w:pPr>
              <w:spacing w:after="20" w:before="20" w:line="247" w:lineRule="auto"/>
            </w:pPr>
            <w:r>
              <w:rPr>
                <w:b w:val="0"/>
                <w:i w:val="0"/>
                <w:sz w:val="20"/>
              </w:rPr>
              <w:t>Final migration cutover method</w:t>
            </w:r>
          </w:p>
        </w:tc>
        <w:tc>
          <w:tcPr>
            <w:tcW w:type="dxa" w:w="4297"/>
            <w:vAlign w:val="center"/>
            <w:shd w:fill="F4F6F8"/>
          </w:tcPr>
          <w:p>
            <w:pPr>
              <w:spacing w:after="20" w:before="20" w:line="247" w:lineRule="auto"/>
            </w:pPr>
            <w:r>
              <w:rPr>
                <w:b w:val="0"/>
                <w:i w:val="0"/>
                <w:sz w:val="20"/>
              </w:rPr>
              <w:t>Source inventory, semantic reconciliation, freeze or delta plan and rollback rehearsal</w:t>
            </w:r>
          </w:p>
        </w:tc>
        <w:tc>
          <w:tcPr>
            <w:tcW w:type="dxa" w:w="3498"/>
            <w:vAlign w:val="center"/>
            <w:shd w:fill="F4F6F8"/>
          </w:tcPr>
          <w:p>
            <w:pPr>
              <w:spacing w:after="20" w:before="20" w:line="247" w:lineRule="auto"/>
            </w:pPr>
            <w:r>
              <w:rPr>
                <w:b w:val="0"/>
                <w:i w:val="0"/>
                <w:sz w:val="20"/>
              </w:rPr>
              <w:t>Implementation and tenant MEL leads before cutover</w:t>
            </w:r>
          </w:p>
        </w:tc>
      </w:tr>
    </w:tbl>
    <w:p>
      <w:pPr>
        <w:keepNext w:val="0"/>
        <w:spacing w:after="60" w:line="240" w:lineRule="auto" w:before="0"/>
      </w:pPr>
      <w:r>
        <w:rPr>
          <w:b w:val="0"/>
          <w:i w:val="0"/>
          <w:sz w:val="2"/>
        </w:rPr>
      </w:r>
    </w:p>
    <w:p>
      <w:pPr>
        <w:pStyle w:val="Heading2"/>
      </w:pPr>
      <w:r>
        <w:rPr>
          <w:b w:val="0"/>
          <w:i w:val="0"/>
        </w:rPr>
        <w:t>40 2 Required HLD outputs</w:t>
      </w:r>
    </w:p>
    <w:p>
      <w:r>
        <w:rPr>
          <w:b w:val="0"/>
          <w:i w:val="0"/>
        </w:rPr>
        <w:t>The HLD shall allocate each FR and VF to system responsibilities and trust boundaries, without changing the functional contract. It shall explain tenant isolation, identity and policy evaluation, versioned data and lineage, deterministic calculations, field clients, files and evidence, workflow, reporting snapshots, integration jobs, AI tool mediation, privacy lifecycle, audit and operations. It shall include deployment profiles, regional data flows, key custody, recovery dependencies, capacity and operating cost against the qualification workload.</w:t>
      </w:r>
    </w:p>
    <w:p>
      <w:r>
        <w:rPr>
          <w:b w:val="0"/>
          <w:i w:val="0"/>
        </w:rPr>
        <w:t>The design must show failure containment and authority checks at each asynchronous boundary. It must explain how revocation reaches caches, exports, search and AI within the fixed bound; how restored data receives current deletion and grant state; how ordinary acknowledgement durability differs from catastrophe recovery exposure; and how AI or connector failure leaves independent workflows available. Build versus adopt decisions shall include functional gaps, supported standards, operating burden, licence terms and total cost.</w:t>
      </w:r>
    </w:p>
    <w:p>
      <w:pPr>
        <w:pStyle w:val="Heading2"/>
      </w:pPr>
      <w:r>
        <w:rPr>
          <w:b w:val="0"/>
          <w:i w:val="0"/>
        </w:rPr>
        <w:t>40 3 Required LLD outputs</w:t>
      </w:r>
    </w:p>
    <w:p>
      <w:r>
        <w:rPr>
          <w:b w:val="0"/>
          <w:i w:val="0"/>
        </w:rPr>
        <w:t>LLD follows an approved HLD and defines concrete schemas, interface payloads, state transition enforcement, transaction boundaries, idempotency storage, concurrency checks, calculation algorithms, expression grammar, file handling, pagination, retry and cancellation implementation, audit fields, indexes and migrations. It shall specify source-to-result lineage references, privacy deletion propagation, offline conflict resolution and every allowed AI tool argument and response. Test fixtures shall link directly to FR, VF, CAL, FT and AT identifiers.</w:t>
      </w:r>
    </w:p>
    <w:p>
      <w:r>
        <w:rPr>
          <w:b w:val="0"/>
          <w:i w:val="0"/>
        </w:rPr>
        <w:t>Neither HLD nor LLD may add an unreviewed business approval shortcut, collapse value states, silently weaken scope checks or change a release assignment. A genuine incompatibility with performance or cost targets returns as an explicit baseline change with measured evidence and user impact, not an undocumented implementation assumption.</w:t>
      </w:r>
    </w:p>
    <w:p>
      <w:pPr>
        <w:pStyle w:val="Heading2"/>
      </w:pPr>
      <w:r>
        <w:rPr>
          <w:b w:val="0"/>
          <w:i w:val="0"/>
        </w:rPr>
        <w:t>40 4 Review and readiness evidence</w:t>
      </w:r>
    </w:p>
    <w:p>
      <w:r>
        <w:rPr>
          <w:b w:val="0"/>
          <w:i w:val="0"/>
        </w:rPr>
        <w:t>Product and MEL review the semantics, priorities, workflows and golden arithmetic. Design reviews complete role journeys and error recovery. Security and privacy review identity, derived content, sharing, AI and lifecycle controls. Engineering reviews feasibility, transaction boundaries, interfaces and qualification plans. Operations and implementation review support, recovery, migration and exit. Recorded dispositions are pending until those reviews actually occur; this document does not imply they have happened.</w:t>
      </w:r>
    </w:p>
    <w:p>
      <w:r>
        <w:rPr>
          <w:b w:val="0"/>
          <w:i w:val="0"/>
        </w:rPr>
        <w:t>Functional readiness requires every retained parent to have an implemented FR or satisfied VF, linked verification evidence, resolved or bounded decision inputs and the applicable independent gate. A passing happy-path demo cannot waive negative access, concurrency, privacy, correctness or recovery evidence. General production readiness also requires qualified operational targets and ownership. This FSD completes the proposed functional baseline for the full BRD scope; it is not a claim that the product has been built or tested.</w:t>
      </w:r>
    </w:p>
    <w:p>
      <w:pPr>
        <w:pStyle w:val="Heading2"/>
      </w:pPr>
      <w:r>
        <w:rPr>
          <w:b w:val="0"/>
          <w:i w:val="0"/>
        </w:rPr>
        <w:t>40 5 Source and terminology</w:t>
      </w:r>
    </w:p>
    <w:p>
      <w:r>
        <w:rPr>
          <w:b w:val="0"/>
          <w:i w:val="0"/>
        </w:rPr>
        <w:t>The governing source is Impact Management Platform Business Requirements Document version 1.0 dated 24 September 2026. Its cited TolaData benchmark and security, identity, accessibility and AI assurance references remain the upstream evidence baseline. This FSD adds proposed product behaviour and verification contracts; it makes no new claim about TolaData implementation or external standards certification. Connector and implementation-specific technical details require qualification against their then-current authoritative documentation during design.</w:t>
      </w:r>
    </w:p>
    <w:p>
      <w:r>
        <w:rPr>
          <w:b w:val="0"/>
          <w:i w:val="0"/>
        </w:rPr>
        <w:t>MEL means monitoring, evaluation and learning. A tenant is the independently governed organisational boundary. A definition version describes measurement meaning; an instance binds it to a programme. A snapshot freezes approved reporting context. A disclosure is an approved audience-specific artifact or exchange. A service identity is an attributable machine principal. Idempotency means repeating one intended operation does not create an additional business effect. A verification contract states how a nonfunctional target is measured; it is not itself evidence that the target has been achieved.</w:t>
      </w:r>
    </w:p>
    <w:sectPr w:rsidR="00FC693F" w:rsidRPr="0006063C" w:rsidSect="00034616">
      <w:headerReference w:type="default" r:id="rId9"/>
      <w:footerReference w:type="default" r:id="rId10"/>
      <w:pgSz w:w="12240" w:h="15840"/>
      <w:pgMar w:top="1008" w:right="1123" w:bottom="936"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t>Version 1.0   |   24 September 2026</w:t>
    </w:r>
    <w: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Impact Management Platform   |   Functional Specification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4" w:lineRule="auto"/>
    </w:pPr>
    <w:rPr>
      <w:rFonts w:ascii="Arial" w:hAnsi="Arial"/>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54" w:lineRule="auto" w:before="0"/>
    </w:pPr>
    <w:rPr>
      <w:rFonts w:ascii="Arial" w:hAnsi="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4" w:lineRule="auto" w:before="0"/>
    </w:pPr>
    <w:rPr>
      <w:rFonts w:ascii="Arial" w:hAnsi="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line="25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5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4"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4" w:lineRule="auto"/>
    </w:pPr>
    <w:rPr>
      <w:rFonts w:asciiTheme="majorHAnsi" w:eastAsiaTheme="majorEastAsia" w:hAnsiTheme="majorHAnsi" w:cstheme="majorBidi" w:ascii="Arial" w:hAnsi="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Functional Specification Document</dc:title>
  <dc:subject>Enterprise monitoring evaluation learning and impact reporting product requirements</dc:subject>
  <dc:creator>Product requirements</dc:creator>
  <cp:keywords>FSD MEL functional specification permissions calculations workflows AI security verification</cp:keywords>
  <dc:description/>
  <cp:lastModifiedBy/>
  <cp:revision>1</cp:revision>
  <dcterms:created xsi:type="dcterms:W3CDTF">2013-12-23T23:15:00Z</dcterms:created>
  <dcterms:modified xsi:type="dcterms:W3CDTF">2013-12-23T23:15:00Z</dcterms:modified>
  <cp:category/>
  <cp:version>1.0</cp:version>
</cp:coreProperties>
</file>