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Privacy and Clinical Safety</w:t>
      </w:r>
    </w:p>
    <w:p>
      <w:r>
        <w:t>Authority boundaries, data controls and accountable handling of technical and clinical risks.</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3024"/>
        <w:gridCol w:w="3888"/>
        <w:gridCol w:w="3168"/>
      </w:tblGrid>
      <w:tr>
        <w:trPr>
          <w:tblHeader/>
          <w:cantSplit/>
        </w:trPr>
        <w:tc>
          <w:tcPr>
            <w:tcW w:type="dxa" w:w="3024"/>
            <w:shd w:fill="173A50"/>
            <w:tcMar>
              <w:top w:w="90" w:type="dxa"/>
              <w:bottom w:w="90" w:type="dxa"/>
              <w:left w:w="90" w:type="dxa"/>
              <w:right w:w="90" w:type="dxa"/>
            </w:tcMar>
          </w:tcPr>
          <w:p>
            <w:pPr>
              <w:spacing w:after="60" w:before="20"/>
            </w:pPr>
            <w:r>
              <w:rPr>
                <w:b/>
                <w:color w:val="FFFFFF"/>
                <w:sz w:val="19"/>
              </w:rPr>
              <w:t>Document</w:t>
            </w:r>
          </w:p>
        </w:tc>
        <w:tc>
          <w:tcPr>
            <w:tcW w:type="dxa" w:w="3888"/>
            <w:shd w:fill="173A50"/>
            <w:tcMar>
              <w:top w:w="90" w:type="dxa"/>
              <w:bottom w:w="90" w:type="dxa"/>
              <w:left w:w="90" w:type="dxa"/>
              <w:right w:w="90" w:type="dxa"/>
            </w:tcMar>
          </w:tcPr>
          <w:p>
            <w:pPr>
              <w:spacing w:after="60" w:before="20"/>
            </w:pPr>
            <w:r>
              <w:rPr>
                <w:b/>
                <w:color w:val="FFFFFF"/>
                <w:sz w:val="19"/>
              </w:rPr>
              <w:t>Baseline</w:t>
            </w:r>
          </w:p>
        </w:tc>
        <w:tc>
          <w:tcPr>
            <w:tcW w:type="dxa" w:w="3168"/>
            <w:shd w:fill="173A50"/>
            <w:tcMar>
              <w:top w:w="90" w:type="dxa"/>
              <w:bottom w:w="90" w:type="dxa"/>
              <w:left w:w="90" w:type="dxa"/>
              <w:right w:w="90" w:type="dxa"/>
            </w:tcMar>
          </w:tcPr>
          <w:p>
            <w:pPr>
              <w:spacing w:after="60" w:before="20"/>
            </w:pPr>
            <w:r>
              <w:rPr>
                <w:b/>
                <w:color w:val="FFFFFF"/>
                <w:sz w:val="19"/>
              </w:rPr>
              <w:t>Status</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HAO 06 · Version 1.0</w:t>
            </w:r>
          </w:p>
        </w:tc>
        <w:tc>
          <w:tcPr>
            <w:tcW w:type="dxa" w:w="3888"/>
            <w:shd w:fill="FFFFFF"/>
            <w:tcMar>
              <w:top w:w="90" w:type="dxa"/>
              <w:bottom w:w="90" w:type="dxa"/>
              <w:left w:w="90" w:type="dxa"/>
              <w:right w:w="90" w:type="dxa"/>
            </w:tcMar>
          </w:tcPr>
          <w:p>
            <w:pPr>
              <w:spacing w:after="60" w:before="20"/>
            </w:pPr>
            <w:r>
              <w:rPr>
                <w:b w:val="0"/>
                <w:color w:val="17242D"/>
                <w:sz w:val="19"/>
              </w:rPr>
              <w:t>BRD v1.1 · 26 September 2026</w:t>
            </w:r>
          </w:p>
        </w:tc>
        <w:tc>
          <w:tcPr>
            <w:tcW w:type="dxa" w:w="3168"/>
            <w:shd w:fill="FFFFFF"/>
            <w:tcMar>
              <w:top w:w="90" w:type="dxa"/>
              <w:bottom w:w="90" w:type="dxa"/>
              <w:left w:w="90" w:type="dxa"/>
              <w:right w:w="90" w:type="dxa"/>
            </w:tcMar>
          </w:tcPr>
          <w:p>
            <w:pPr>
              <w:spacing w:after="60" w:before="20"/>
            </w:pPr>
            <w:r>
              <w:rPr>
                <w:b w:val="0"/>
                <w:color w:val="17242D"/>
                <w:sz w:val="19"/>
              </w:rPr>
              <w:t>Proposed for review</w:t>
            </w:r>
          </w:p>
        </w:tc>
      </w:tr>
    </w:tbl>
    <w:p>
      <w:pPr>
        <w:spacing w:after="20"/>
      </w:pPr>
    </w:p>
    <w:p>
      <w:r>
        <w:t>This document expands the existing BRD. Source requirements retain their priority and release labels. Architecture choices are proposals until the named owners accept them. Specified behaviour, implemented behaviour and executed evidence are separate statuses.</w:t>
      </w:r>
    </w:p>
    <w:p>
      <w:pPr>
        <w:pStyle w:val="Heading1"/>
      </w:pPr>
      <w:r>
        <w:t>Policy decision model</w:t>
      </w:r>
    </w:p>
    <w:p>
      <w:r>
        <w:t>Permit an action only when verified identity, active membership, role, tenant, person relationship, programme or facility, purpose, current processing authority, resource sensitivity and action class all match. Deny by default. The planner, provider result, browser state and household relationship cannot grant access. A consent record is necessary for the flows that require it, but does not override institutional authority, professional scope or external system permission.</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2088"/>
        <w:gridCol w:w="4176"/>
        <w:gridCol w:w="3816"/>
      </w:tblGrid>
      <w:tr>
        <w:trPr>
          <w:tblHeader/>
          <w:cantSplit/>
        </w:trPr>
        <w:tc>
          <w:tcPr>
            <w:tcW w:type="dxa" w:w="2088"/>
            <w:shd w:fill="173A50"/>
            <w:tcMar>
              <w:top w:w="90" w:type="dxa"/>
              <w:bottom w:w="90" w:type="dxa"/>
              <w:left w:w="90" w:type="dxa"/>
              <w:right w:w="90" w:type="dxa"/>
            </w:tcMar>
          </w:tcPr>
          <w:p>
            <w:pPr>
              <w:spacing w:after="60" w:before="20"/>
            </w:pPr>
            <w:r>
              <w:rPr>
                <w:b/>
                <w:color w:val="FFFFFF"/>
                <w:sz w:val="19"/>
              </w:rPr>
              <w:t>Role</w:t>
            </w:r>
          </w:p>
        </w:tc>
        <w:tc>
          <w:tcPr>
            <w:tcW w:type="dxa" w:w="4176"/>
            <w:shd w:fill="173A50"/>
            <w:tcMar>
              <w:top w:w="90" w:type="dxa"/>
              <w:bottom w:w="90" w:type="dxa"/>
              <w:left w:w="90" w:type="dxa"/>
              <w:right w:w="90" w:type="dxa"/>
            </w:tcMar>
          </w:tcPr>
          <w:p>
            <w:pPr>
              <w:spacing w:after="60" w:before="20"/>
            </w:pPr>
            <w:r>
              <w:rPr>
                <w:b/>
                <w:color w:val="FFFFFF"/>
                <w:sz w:val="19"/>
              </w:rPr>
              <w:t>Permitted work</w:t>
            </w:r>
          </w:p>
        </w:tc>
        <w:tc>
          <w:tcPr>
            <w:tcW w:type="dxa" w:w="3816"/>
            <w:shd w:fill="173A50"/>
            <w:tcMar>
              <w:top w:w="90" w:type="dxa"/>
              <w:bottom w:w="90" w:type="dxa"/>
              <w:left w:w="90" w:type="dxa"/>
              <w:right w:w="90" w:type="dxa"/>
            </w:tcMar>
          </w:tcPr>
          <w:p>
            <w:pPr>
              <w:spacing w:after="60" w:before="20"/>
            </w:pPr>
            <w:r>
              <w:rPr>
                <w:b/>
                <w:color w:val="FFFFFF"/>
                <w:sz w:val="19"/>
              </w:rPr>
              <w:t>Additional restriction</w:t>
            </w:r>
          </w:p>
        </w:tc>
      </w:tr>
      <w:tr>
        <w:trPr>
          <w:cantSplit/>
        </w:trPr>
        <w:tc>
          <w:tcPr>
            <w:tcW w:type="dxa" w:w="2088"/>
            <w:shd w:fill="FFFFFF"/>
            <w:tcMar>
              <w:top w:w="90" w:type="dxa"/>
              <w:bottom w:w="90" w:type="dxa"/>
              <w:left w:w="90" w:type="dxa"/>
              <w:right w:w="90" w:type="dxa"/>
            </w:tcMar>
          </w:tcPr>
          <w:p>
            <w:pPr>
              <w:spacing w:after="60" w:before="20"/>
            </w:pPr>
            <w:r>
              <w:rPr>
                <w:b w:val="0"/>
                <w:color w:val="17242D"/>
                <w:sz w:val="19"/>
              </w:rPr>
              <w:t>ASHA or frontline worker</w:t>
            </w:r>
          </w:p>
        </w:tc>
        <w:tc>
          <w:tcPr>
            <w:tcW w:type="dxa" w:w="4176"/>
            <w:shd w:fill="FFFFFF"/>
            <w:tcMar>
              <w:top w:w="90" w:type="dxa"/>
              <w:bottom w:w="90" w:type="dxa"/>
              <w:left w:w="90" w:type="dxa"/>
              <w:right w:w="90" w:type="dxa"/>
            </w:tcMar>
          </w:tcPr>
          <w:p>
            <w:pPr>
              <w:spacing w:after="60" w:before="20"/>
            </w:pPr>
            <w:r>
              <w:rPr>
                <w:b w:val="0"/>
                <w:color w:val="17242D"/>
                <w:sz w:val="19"/>
              </w:rPr>
              <w:t>Assigned capture, review, permitted AI and referral preparation</w:t>
            </w:r>
          </w:p>
        </w:tc>
        <w:tc>
          <w:tcPr>
            <w:tcW w:type="dxa" w:w="3816"/>
            <w:shd w:fill="FFFFFF"/>
            <w:tcMar>
              <w:top w:w="90" w:type="dxa"/>
              <w:bottom w:w="90" w:type="dxa"/>
              <w:left w:w="90" w:type="dxa"/>
              <w:right w:w="90" w:type="dxa"/>
            </w:tcMar>
          </w:tcPr>
          <w:p>
            <w:pPr>
              <w:spacing w:after="60" w:before="20"/>
            </w:pPr>
            <w:r>
              <w:rPr>
                <w:b w:val="0"/>
                <w:color w:val="17242D"/>
                <w:sz w:val="19"/>
              </w:rPr>
              <w:t>No unsupported diagnosis or clinical ordering</w:t>
            </w:r>
          </w:p>
        </w:tc>
      </w:tr>
      <w:tr>
        <w:trPr>
          <w:cantSplit/>
        </w:trPr>
        <w:tc>
          <w:tcPr>
            <w:tcW w:type="dxa" w:w="2088"/>
            <w:shd w:fill="F2F6F8"/>
            <w:tcMar>
              <w:top w:w="90" w:type="dxa"/>
              <w:bottom w:w="90" w:type="dxa"/>
              <w:left w:w="90" w:type="dxa"/>
              <w:right w:w="90" w:type="dxa"/>
            </w:tcMar>
          </w:tcPr>
          <w:p>
            <w:pPr>
              <w:spacing w:after="60" w:before="20"/>
            </w:pPr>
            <w:r>
              <w:rPr>
                <w:b w:val="0"/>
                <w:color w:val="17242D"/>
                <w:sz w:val="19"/>
              </w:rPr>
              <w:t>Clinician</w:t>
            </w:r>
          </w:p>
        </w:tc>
        <w:tc>
          <w:tcPr>
            <w:tcW w:type="dxa" w:w="4176"/>
            <w:shd w:fill="F2F6F8"/>
            <w:tcMar>
              <w:top w:w="90" w:type="dxa"/>
              <w:bottom w:w="90" w:type="dxa"/>
              <w:left w:w="90" w:type="dxa"/>
              <w:right w:w="90" w:type="dxa"/>
            </w:tcMar>
          </w:tcPr>
          <w:p>
            <w:pPr>
              <w:spacing w:after="60" w:before="20"/>
            </w:pPr>
            <w:r>
              <w:rPr>
                <w:b w:val="0"/>
                <w:color w:val="17242D"/>
                <w:sz w:val="19"/>
              </w:rPr>
              <w:t>Clinical review and decisions within verified scope</w:t>
            </w:r>
          </w:p>
        </w:tc>
        <w:tc>
          <w:tcPr>
            <w:tcW w:type="dxa" w:w="3816"/>
            <w:shd w:fill="F2F6F8"/>
            <w:tcMar>
              <w:top w:w="90" w:type="dxa"/>
              <w:bottom w:w="90" w:type="dxa"/>
              <w:left w:w="90" w:type="dxa"/>
              <w:right w:w="90" w:type="dxa"/>
            </w:tcMar>
          </w:tcPr>
          <w:p>
            <w:pPr>
              <w:spacing w:after="60" w:before="20"/>
            </w:pPr>
            <w:r>
              <w:rPr>
                <w:b w:val="0"/>
                <w:color w:val="17242D"/>
                <w:sz w:val="19"/>
              </w:rPr>
              <w:t>Clinical credential and patient relationship required</w:t>
            </w:r>
          </w:p>
        </w:tc>
      </w:tr>
      <w:tr>
        <w:trPr>
          <w:cantSplit/>
        </w:trPr>
        <w:tc>
          <w:tcPr>
            <w:tcW w:type="dxa" w:w="2088"/>
            <w:shd w:fill="FFFFFF"/>
            <w:tcMar>
              <w:top w:w="90" w:type="dxa"/>
              <w:bottom w:w="90" w:type="dxa"/>
              <w:left w:w="90" w:type="dxa"/>
              <w:right w:w="90" w:type="dxa"/>
            </w:tcMar>
          </w:tcPr>
          <w:p>
            <w:pPr>
              <w:spacing w:after="60" w:before="20"/>
            </w:pPr>
            <w:r>
              <w:rPr>
                <w:b w:val="0"/>
                <w:color w:val="17242D"/>
                <w:sz w:val="19"/>
              </w:rPr>
              <w:t>Supervisor</w:t>
            </w:r>
          </w:p>
        </w:tc>
        <w:tc>
          <w:tcPr>
            <w:tcW w:type="dxa" w:w="4176"/>
            <w:shd w:fill="FFFFFF"/>
            <w:tcMar>
              <w:top w:w="90" w:type="dxa"/>
              <w:bottom w:w="90" w:type="dxa"/>
              <w:left w:w="90" w:type="dxa"/>
              <w:right w:w="90" w:type="dxa"/>
            </w:tcMar>
          </w:tcPr>
          <w:p>
            <w:pPr>
              <w:spacing w:after="60" w:before="20"/>
            </w:pPr>
            <w:r>
              <w:rPr>
                <w:b w:val="0"/>
                <w:color w:val="17242D"/>
                <w:sz w:val="19"/>
              </w:rPr>
              <w:t>Assigned caseload oversight and follow-up</w:t>
            </w:r>
          </w:p>
        </w:tc>
        <w:tc>
          <w:tcPr>
            <w:tcW w:type="dxa" w:w="3816"/>
            <w:shd w:fill="FFFFFF"/>
            <w:tcMar>
              <w:top w:w="90" w:type="dxa"/>
              <w:bottom w:w="90" w:type="dxa"/>
              <w:left w:w="90" w:type="dxa"/>
              <w:right w:w="90" w:type="dxa"/>
            </w:tcMar>
          </w:tcPr>
          <w:p>
            <w:pPr>
              <w:spacing w:after="60" w:before="20"/>
            </w:pPr>
            <w:r>
              <w:rPr>
                <w:b w:val="0"/>
                <w:color w:val="17242D"/>
                <w:sz w:val="19"/>
              </w:rPr>
              <w:t>Aggregate access does not imply every person record</w:t>
            </w:r>
          </w:p>
        </w:tc>
      </w:tr>
      <w:tr>
        <w:trPr>
          <w:cantSplit/>
        </w:trPr>
        <w:tc>
          <w:tcPr>
            <w:tcW w:type="dxa" w:w="2088"/>
            <w:shd w:fill="F2F6F8"/>
            <w:tcMar>
              <w:top w:w="90" w:type="dxa"/>
              <w:bottom w:w="90" w:type="dxa"/>
              <w:left w:w="90" w:type="dxa"/>
              <w:right w:w="90" w:type="dxa"/>
            </w:tcMar>
          </w:tcPr>
          <w:p>
            <w:pPr>
              <w:spacing w:after="60" w:before="20"/>
            </w:pPr>
            <w:r>
              <w:rPr>
                <w:b w:val="0"/>
                <w:color w:val="17242D"/>
                <w:sz w:val="19"/>
              </w:rPr>
              <w:t>Programme owner</w:t>
            </w:r>
          </w:p>
        </w:tc>
        <w:tc>
          <w:tcPr>
            <w:tcW w:type="dxa" w:w="4176"/>
            <w:shd w:fill="F2F6F8"/>
            <w:tcMar>
              <w:top w:w="90" w:type="dxa"/>
              <w:bottom w:w="90" w:type="dxa"/>
              <w:left w:w="90" w:type="dxa"/>
              <w:right w:w="90" w:type="dxa"/>
            </w:tcMar>
          </w:tcPr>
          <w:p>
            <w:pPr>
              <w:spacing w:after="60" w:before="20"/>
            </w:pPr>
            <w:r>
              <w:rPr>
                <w:b w:val="0"/>
                <w:color w:val="17242D"/>
                <w:sz w:val="19"/>
              </w:rPr>
              <w:t>Approved programme configuration and measures</w:t>
            </w:r>
          </w:p>
        </w:tc>
        <w:tc>
          <w:tcPr>
            <w:tcW w:type="dxa" w:w="3816"/>
            <w:shd w:fill="F2F6F8"/>
            <w:tcMar>
              <w:top w:w="90" w:type="dxa"/>
              <w:bottom w:w="90" w:type="dxa"/>
              <w:left w:w="90" w:type="dxa"/>
              <w:right w:w="90" w:type="dxa"/>
            </w:tcMar>
          </w:tcPr>
          <w:p>
            <w:pPr>
              <w:spacing w:after="60" w:before="20"/>
            </w:pPr>
            <w:r>
              <w:rPr>
                <w:b w:val="0"/>
                <w:color w:val="17242D"/>
                <w:sz w:val="19"/>
              </w:rPr>
              <w:t>Clinical content requires clinical review</w:t>
            </w:r>
          </w:p>
        </w:tc>
      </w:tr>
      <w:tr>
        <w:trPr>
          <w:cantSplit/>
        </w:trPr>
        <w:tc>
          <w:tcPr>
            <w:tcW w:type="dxa" w:w="2088"/>
            <w:shd w:fill="FFFFFF"/>
            <w:tcMar>
              <w:top w:w="90" w:type="dxa"/>
              <w:bottom w:w="90" w:type="dxa"/>
              <w:left w:w="90" w:type="dxa"/>
              <w:right w:w="90" w:type="dxa"/>
            </w:tcMar>
          </w:tcPr>
          <w:p>
            <w:pPr>
              <w:spacing w:after="60" w:before="20"/>
            </w:pPr>
            <w:r>
              <w:rPr>
                <w:b w:val="0"/>
                <w:color w:val="17242D"/>
                <w:sz w:val="19"/>
              </w:rPr>
              <w:t>AI governance</w:t>
            </w:r>
          </w:p>
        </w:tc>
        <w:tc>
          <w:tcPr>
            <w:tcW w:type="dxa" w:w="4176"/>
            <w:shd w:fill="FFFFFF"/>
            <w:tcMar>
              <w:top w:w="90" w:type="dxa"/>
              <w:bottom w:w="90" w:type="dxa"/>
              <w:left w:w="90" w:type="dxa"/>
              <w:right w:w="90" w:type="dxa"/>
            </w:tcMar>
          </w:tcPr>
          <w:p>
            <w:pPr>
              <w:spacing w:after="60" w:before="20"/>
            </w:pPr>
            <w:r>
              <w:rPr>
                <w:b w:val="0"/>
                <w:color w:val="17242D"/>
                <w:sz w:val="19"/>
              </w:rPr>
              <w:t>Evidence and capability activation workflow</w:t>
            </w:r>
          </w:p>
        </w:tc>
        <w:tc>
          <w:tcPr>
            <w:tcW w:type="dxa" w:w="3816"/>
            <w:shd w:fill="FFFFFF"/>
            <w:tcMar>
              <w:top w:w="90" w:type="dxa"/>
              <w:bottom w:w="90" w:type="dxa"/>
              <w:left w:w="90" w:type="dxa"/>
              <w:right w:w="90" w:type="dxa"/>
            </w:tcMar>
          </w:tcPr>
          <w:p>
            <w:pPr>
              <w:spacing w:after="60" w:before="20"/>
            </w:pPr>
            <w:r>
              <w:rPr>
                <w:b w:val="0"/>
                <w:color w:val="17242D"/>
                <w:sz w:val="19"/>
              </w:rPr>
              <w:t>No default access to raw patient data</w:t>
            </w:r>
          </w:p>
        </w:tc>
      </w:tr>
      <w:tr>
        <w:trPr>
          <w:cantSplit/>
        </w:trPr>
        <w:tc>
          <w:tcPr>
            <w:tcW w:type="dxa" w:w="2088"/>
            <w:shd w:fill="F2F6F8"/>
            <w:tcMar>
              <w:top w:w="90" w:type="dxa"/>
              <w:bottom w:w="90" w:type="dxa"/>
              <w:left w:w="90" w:type="dxa"/>
              <w:right w:w="90" w:type="dxa"/>
            </w:tcMar>
          </w:tcPr>
          <w:p>
            <w:pPr>
              <w:spacing w:after="60" w:before="20"/>
            </w:pPr>
            <w:r>
              <w:rPr>
                <w:b w:val="0"/>
                <w:color w:val="17242D"/>
                <w:sz w:val="19"/>
              </w:rPr>
              <w:t>Integration operator</w:t>
            </w:r>
          </w:p>
        </w:tc>
        <w:tc>
          <w:tcPr>
            <w:tcW w:type="dxa" w:w="4176"/>
            <w:shd w:fill="F2F6F8"/>
            <w:tcMar>
              <w:top w:w="90" w:type="dxa"/>
              <w:bottom w:w="90" w:type="dxa"/>
              <w:left w:w="90" w:type="dxa"/>
              <w:right w:w="90" w:type="dxa"/>
            </w:tcMar>
          </w:tcPr>
          <w:p>
            <w:pPr>
              <w:spacing w:after="60" w:before="20"/>
            </w:pPr>
            <w:r>
              <w:rPr>
                <w:b w:val="0"/>
                <w:color w:val="17242D"/>
                <w:sz w:val="19"/>
              </w:rPr>
              <w:t>Connector health, mapping and reconciliation</w:t>
            </w:r>
          </w:p>
        </w:tc>
        <w:tc>
          <w:tcPr>
            <w:tcW w:type="dxa" w:w="3816"/>
            <w:shd w:fill="F2F6F8"/>
            <w:tcMar>
              <w:top w:w="90" w:type="dxa"/>
              <w:bottom w:w="90" w:type="dxa"/>
              <w:left w:w="90" w:type="dxa"/>
              <w:right w:w="90" w:type="dxa"/>
            </w:tcMar>
          </w:tcPr>
          <w:p>
            <w:pPr>
              <w:spacing w:after="60" w:before="20"/>
            </w:pPr>
            <w:r>
              <w:rPr>
                <w:b w:val="0"/>
                <w:color w:val="17242D"/>
                <w:sz w:val="19"/>
              </w:rPr>
              <w:t>Use redacted metadata unless a scoped case permits data</w:t>
            </w:r>
          </w:p>
        </w:tc>
      </w:tr>
      <w:tr>
        <w:trPr>
          <w:cantSplit/>
        </w:trPr>
        <w:tc>
          <w:tcPr>
            <w:tcW w:type="dxa" w:w="2088"/>
            <w:shd w:fill="FFFFFF"/>
            <w:tcMar>
              <w:top w:w="90" w:type="dxa"/>
              <w:bottom w:w="90" w:type="dxa"/>
              <w:left w:w="90" w:type="dxa"/>
              <w:right w:w="90" w:type="dxa"/>
            </w:tcMar>
          </w:tcPr>
          <w:p>
            <w:pPr>
              <w:spacing w:after="60" w:before="20"/>
            </w:pPr>
            <w:r>
              <w:rPr>
                <w:b w:val="0"/>
                <w:color w:val="17242D"/>
                <w:sz w:val="19"/>
              </w:rPr>
              <w:t>Deployment administrator</w:t>
            </w:r>
          </w:p>
        </w:tc>
        <w:tc>
          <w:tcPr>
            <w:tcW w:type="dxa" w:w="4176"/>
            <w:shd w:fill="FFFFFF"/>
            <w:tcMar>
              <w:top w:w="90" w:type="dxa"/>
              <w:bottom w:w="90" w:type="dxa"/>
              <w:left w:w="90" w:type="dxa"/>
              <w:right w:w="90" w:type="dxa"/>
            </w:tcMar>
          </w:tcPr>
          <w:p>
            <w:pPr>
              <w:spacing w:after="60" w:before="20"/>
            </w:pPr>
            <w:r>
              <w:rPr>
                <w:b w:val="0"/>
                <w:color w:val="17242D"/>
                <w:sz w:val="19"/>
              </w:rPr>
              <w:t>Membership and controlled configuration</w:t>
            </w:r>
          </w:p>
        </w:tc>
        <w:tc>
          <w:tcPr>
            <w:tcW w:type="dxa" w:w="3816"/>
            <w:shd w:fill="FFFFFF"/>
            <w:tcMar>
              <w:top w:w="90" w:type="dxa"/>
              <w:bottom w:w="90" w:type="dxa"/>
              <w:left w:w="90" w:type="dxa"/>
              <w:right w:w="90" w:type="dxa"/>
            </w:tcMar>
          </w:tcPr>
          <w:p>
            <w:pPr>
              <w:spacing w:after="60" w:before="20"/>
            </w:pPr>
            <w:r>
              <w:rPr>
                <w:b w:val="0"/>
                <w:color w:val="17242D"/>
                <w:sz w:val="19"/>
              </w:rPr>
              <w:t>Cannot self-grant unrestricted patient access</w:t>
            </w:r>
          </w:p>
        </w:tc>
      </w:tr>
      <w:tr>
        <w:trPr>
          <w:cantSplit/>
        </w:trPr>
        <w:tc>
          <w:tcPr>
            <w:tcW w:type="dxa" w:w="2088"/>
            <w:shd w:fill="F2F6F8"/>
            <w:tcMar>
              <w:top w:w="90" w:type="dxa"/>
              <w:bottom w:w="90" w:type="dxa"/>
              <w:left w:w="90" w:type="dxa"/>
              <w:right w:w="90" w:type="dxa"/>
            </w:tcMar>
          </w:tcPr>
          <w:p>
            <w:pPr>
              <w:spacing w:after="60" w:before="20"/>
            </w:pPr>
            <w:r>
              <w:rPr>
                <w:b w:val="0"/>
                <w:color w:val="17242D"/>
                <w:sz w:val="19"/>
              </w:rPr>
              <w:t>Auditor and privacy lead</w:t>
            </w:r>
          </w:p>
        </w:tc>
        <w:tc>
          <w:tcPr>
            <w:tcW w:type="dxa" w:w="4176"/>
            <w:shd w:fill="F2F6F8"/>
            <w:tcMar>
              <w:top w:w="90" w:type="dxa"/>
              <w:bottom w:w="90" w:type="dxa"/>
              <w:left w:w="90" w:type="dxa"/>
              <w:right w:w="90" w:type="dxa"/>
            </w:tcMar>
          </w:tcPr>
          <w:p>
            <w:pPr>
              <w:spacing w:after="60" w:before="20"/>
            </w:pPr>
            <w:r>
              <w:rPr>
                <w:b w:val="0"/>
                <w:color w:val="17242D"/>
                <w:sz w:val="19"/>
              </w:rPr>
              <w:t>Purpose-limited accountability evidence</w:t>
            </w:r>
          </w:p>
        </w:tc>
        <w:tc>
          <w:tcPr>
            <w:tcW w:type="dxa" w:w="3816"/>
            <w:shd w:fill="F2F6F8"/>
            <w:tcMar>
              <w:top w:w="90" w:type="dxa"/>
              <w:bottom w:w="90" w:type="dxa"/>
              <w:left w:w="90" w:type="dxa"/>
              <w:right w:w="90" w:type="dxa"/>
            </w:tcMar>
          </w:tcPr>
          <w:p>
            <w:pPr>
              <w:spacing w:after="60" w:before="20"/>
            </w:pPr>
            <w:r>
              <w:rPr>
                <w:b w:val="0"/>
                <w:color w:val="17242D"/>
                <w:sz w:val="19"/>
              </w:rPr>
              <w:t>Record content only where separately justified</w:t>
            </w:r>
          </w:p>
        </w:tc>
      </w:tr>
      <w:tr>
        <w:trPr>
          <w:cantSplit/>
        </w:trPr>
        <w:tc>
          <w:tcPr>
            <w:tcW w:type="dxa" w:w="2088"/>
            <w:shd w:fill="FFFFFF"/>
            <w:tcMar>
              <w:top w:w="90" w:type="dxa"/>
              <w:bottom w:w="90" w:type="dxa"/>
              <w:left w:w="90" w:type="dxa"/>
              <w:right w:w="90" w:type="dxa"/>
            </w:tcMar>
          </w:tcPr>
          <w:p>
            <w:pPr>
              <w:spacing w:after="60" w:before="20"/>
            </w:pPr>
            <w:r>
              <w:rPr>
                <w:b w:val="0"/>
                <w:color w:val="17242D"/>
                <w:sz w:val="19"/>
              </w:rPr>
              <w:t>Support</w:t>
            </w:r>
          </w:p>
        </w:tc>
        <w:tc>
          <w:tcPr>
            <w:tcW w:type="dxa" w:w="4176"/>
            <w:shd w:fill="FFFFFF"/>
            <w:tcMar>
              <w:top w:w="90" w:type="dxa"/>
              <w:bottom w:w="90" w:type="dxa"/>
              <w:left w:w="90" w:type="dxa"/>
              <w:right w:w="90" w:type="dxa"/>
            </w:tcMar>
          </w:tcPr>
          <w:p>
            <w:pPr>
              <w:spacing w:after="60" w:before="20"/>
            </w:pPr>
            <w:r>
              <w:rPr>
                <w:b w:val="0"/>
                <w:color w:val="17242D"/>
                <w:sz w:val="19"/>
              </w:rPr>
              <w:t>Redacted tickets and diagnostics</w:t>
            </w:r>
          </w:p>
        </w:tc>
        <w:tc>
          <w:tcPr>
            <w:tcW w:type="dxa" w:w="3816"/>
            <w:shd w:fill="FFFFFF"/>
            <w:tcMar>
              <w:top w:w="90" w:type="dxa"/>
              <w:bottom w:w="90" w:type="dxa"/>
              <w:left w:w="90" w:type="dxa"/>
              <w:right w:w="90" w:type="dxa"/>
            </w:tcMar>
          </w:tcPr>
          <w:p>
            <w:pPr>
              <w:spacing w:after="60" w:before="20"/>
            </w:pPr>
            <w:r>
              <w:rPr>
                <w:b w:val="0"/>
                <w:color w:val="17242D"/>
                <w:sz w:val="19"/>
              </w:rPr>
              <w:t>Time-bound approved access for a named case</w:t>
            </w:r>
          </w:p>
        </w:tc>
      </w:tr>
    </w:tbl>
    <w:p>
      <w:pPr>
        <w:spacing w:after="20"/>
      </w:pPr>
    </w:p>
    <w:p>
      <w:r>
        <w:t>The workbook Access Matrix provides 20 actions across 10 roles. “Conditional” means the full policy predicate must pass; it is not blanket permission. Administrative and clinical approvals must be separated where a change affects safety or disclosure. Emergency access, if a buyer permits it, requires a separately designed lawful policy and evidence; no generic bypass is enabled in this baseline.</w:t>
      </w:r>
    </w:p>
    <w:p>
      <w:pPr>
        <w:pStyle w:val="Heading1"/>
      </w:pPr>
      <w:r>
        <w:t>Data flow and processing record</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2160"/>
        <w:gridCol w:w="3744"/>
        <w:gridCol w:w="4176"/>
      </w:tblGrid>
      <w:tr>
        <w:trPr>
          <w:tblHeader/>
          <w:cantSplit/>
        </w:trPr>
        <w:tc>
          <w:tcPr>
            <w:tcW w:type="dxa" w:w="2160"/>
            <w:shd w:fill="173A50"/>
            <w:tcMar>
              <w:top w:w="90" w:type="dxa"/>
              <w:bottom w:w="90" w:type="dxa"/>
              <w:left w:w="90" w:type="dxa"/>
              <w:right w:w="90" w:type="dxa"/>
            </w:tcMar>
          </w:tcPr>
          <w:p>
            <w:pPr>
              <w:spacing w:after="60" w:before="20"/>
            </w:pPr>
            <w:r>
              <w:rPr>
                <w:b/>
                <w:color w:val="FFFFFF"/>
                <w:sz w:val="19"/>
              </w:rPr>
              <w:t>Flow</w:t>
            </w:r>
          </w:p>
        </w:tc>
        <w:tc>
          <w:tcPr>
            <w:tcW w:type="dxa" w:w="3744"/>
            <w:shd w:fill="173A50"/>
            <w:tcMar>
              <w:top w:w="90" w:type="dxa"/>
              <w:bottom w:w="90" w:type="dxa"/>
              <w:left w:w="90" w:type="dxa"/>
              <w:right w:w="90" w:type="dxa"/>
            </w:tcMar>
          </w:tcPr>
          <w:p>
            <w:pPr>
              <w:spacing w:after="60" w:before="20"/>
            </w:pPr>
            <w:r>
              <w:rPr>
                <w:b/>
                <w:color w:val="FFFFFF"/>
                <w:sz w:val="19"/>
              </w:rPr>
              <w:t>Minimum data</w:t>
            </w:r>
          </w:p>
        </w:tc>
        <w:tc>
          <w:tcPr>
            <w:tcW w:type="dxa" w:w="4176"/>
            <w:shd w:fill="173A50"/>
            <w:tcMar>
              <w:top w:w="90" w:type="dxa"/>
              <w:bottom w:w="90" w:type="dxa"/>
              <w:left w:w="90" w:type="dxa"/>
              <w:right w:w="90" w:type="dxa"/>
            </w:tcMar>
          </w:tcPr>
          <w:p>
            <w:pPr>
              <w:spacing w:after="60" w:before="20"/>
            </w:pPr>
            <w:r>
              <w:rPr>
                <w:b/>
                <w:color w:val="FFFFFF"/>
                <w:sz w:val="19"/>
              </w:rPr>
              <w:t>Required decision</w:t>
            </w:r>
          </w:p>
        </w:tc>
      </w:tr>
      <w:tr>
        <w:trPr>
          <w:cantSplit/>
        </w:trPr>
        <w:tc>
          <w:tcPr>
            <w:tcW w:type="dxa" w:w="2160"/>
            <w:shd w:fill="FFFFFF"/>
            <w:tcMar>
              <w:top w:w="90" w:type="dxa"/>
              <w:bottom w:w="90" w:type="dxa"/>
              <w:left w:w="90" w:type="dxa"/>
              <w:right w:w="90" w:type="dxa"/>
            </w:tcMar>
          </w:tcPr>
          <w:p>
            <w:pPr>
              <w:spacing w:after="60" w:before="20"/>
            </w:pPr>
            <w:r>
              <w:rPr>
                <w:b w:val="0"/>
                <w:color w:val="17242D"/>
                <w:sz w:val="19"/>
              </w:rPr>
              <w:t>Device to platform</w:t>
            </w:r>
          </w:p>
        </w:tc>
        <w:tc>
          <w:tcPr>
            <w:tcW w:type="dxa" w:w="3744"/>
            <w:shd w:fill="FFFFFF"/>
            <w:tcMar>
              <w:top w:w="90" w:type="dxa"/>
              <w:bottom w:w="90" w:type="dxa"/>
              <w:left w:w="90" w:type="dxa"/>
              <w:right w:w="90" w:type="dxa"/>
            </w:tcMar>
          </w:tcPr>
          <w:p>
            <w:pPr>
              <w:spacing w:after="60" w:before="20"/>
            </w:pPr>
            <w:r>
              <w:rPr>
                <w:b w:val="0"/>
                <w:color w:val="17242D"/>
                <w:sz w:val="19"/>
              </w:rPr>
              <w:t>Assigned person context and captured facts</w:t>
            </w:r>
          </w:p>
        </w:tc>
        <w:tc>
          <w:tcPr>
            <w:tcW w:type="dxa" w:w="4176"/>
            <w:shd w:fill="FFFFFF"/>
            <w:tcMar>
              <w:top w:w="90" w:type="dxa"/>
              <w:bottom w:w="90" w:type="dxa"/>
              <w:left w:w="90" w:type="dxa"/>
              <w:right w:w="90" w:type="dxa"/>
            </w:tcMar>
          </w:tcPr>
          <w:p>
            <w:pPr>
              <w:spacing w:after="60" w:before="20"/>
            </w:pPr>
            <w:r>
              <w:rPr>
                <w:b w:val="0"/>
                <w:color w:val="17242D"/>
                <w:sz w:val="19"/>
              </w:rPr>
              <w:t>Buyer authority, notice, device and workforce controls</w:t>
            </w:r>
          </w:p>
        </w:tc>
      </w:tr>
      <w:tr>
        <w:trPr>
          <w:cantSplit/>
        </w:trPr>
        <w:tc>
          <w:tcPr>
            <w:tcW w:type="dxa" w:w="2160"/>
            <w:shd w:fill="F2F6F8"/>
            <w:tcMar>
              <w:top w:w="90" w:type="dxa"/>
              <w:bottom w:w="90" w:type="dxa"/>
              <w:left w:w="90" w:type="dxa"/>
              <w:right w:w="90" w:type="dxa"/>
            </w:tcMar>
          </w:tcPr>
          <w:p>
            <w:pPr>
              <w:spacing w:after="60" w:before="20"/>
            </w:pPr>
            <w:r>
              <w:rPr>
                <w:b w:val="0"/>
                <w:color w:val="17242D"/>
                <w:sz w:val="19"/>
              </w:rPr>
              <w:t>Platform to AI provider</w:t>
            </w:r>
          </w:p>
        </w:tc>
        <w:tc>
          <w:tcPr>
            <w:tcW w:type="dxa" w:w="3744"/>
            <w:shd w:fill="F2F6F8"/>
            <w:tcMar>
              <w:top w:w="90" w:type="dxa"/>
              <w:bottom w:w="90" w:type="dxa"/>
              <w:left w:w="90" w:type="dxa"/>
              <w:right w:w="90" w:type="dxa"/>
            </w:tcMar>
          </w:tcPr>
          <w:p>
            <w:pPr>
              <w:spacing w:after="60" w:before="20"/>
            </w:pPr>
            <w:r>
              <w:rPr>
                <w:b w:val="0"/>
                <w:color w:val="17242D"/>
                <w:sz w:val="19"/>
              </w:rPr>
              <w:t>Only approved capability inputs</w:t>
            </w:r>
          </w:p>
        </w:tc>
        <w:tc>
          <w:tcPr>
            <w:tcW w:type="dxa" w:w="4176"/>
            <w:shd w:fill="F2F6F8"/>
            <w:tcMar>
              <w:top w:w="90" w:type="dxa"/>
              <w:bottom w:w="90" w:type="dxa"/>
              <w:left w:w="90" w:type="dxa"/>
              <w:right w:w="90" w:type="dxa"/>
            </w:tcMar>
          </w:tcPr>
          <w:p>
            <w:pPr>
              <w:spacing w:after="60" w:before="20"/>
            </w:pPr>
            <w:r>
              <w:rPr>
                <w:b w:val="0"/>
                <w:color w:val="17242D"/>
                <w:sz w:val="19"/>
              </w:rPr>
              <w:t>Purpose, recipient, retention, location and intended use</w:t>
            </w:r>
          </w:p>
        </w:tc>
      </w:tr>
      <w:tr>
        <w:trPr>
          <w:cantSplit/>
        </w:trPr>
        <w:tc>
          <w:tcPr>
            <w:tcW w:type="dxa" w:w="2160"/>
            <w:shd w:fill="FFFFFF"/>
            <w:tcMar>
              <w:top w:w="90" w:type="dxa"/>
              <w:bottom w:w="90" w:type="dxa"/>
              <w:left w:w="90" w:type="dxa"/>
              <w:right w:w="90" w:type="dxa"/>
            </w:tcMar>
          </w:tcPr>
          <w:p>
            <w:pPr>
              <w:spacing w:after="60" w:before="20"/>
            </w:pPr>
            <w:r>
              <w:rPr>
                <w:b w:val="0"/>
                <w:color w:val="17242D"/>
                <w:sz w:val="19"/>
              </w:rPr>
              <w:t>Platform to programme MIS</w:t>
            </w:r>
          </w:p>
        </w:tc>
        <w:tc>
          <w:tcPr>
            <w:tcW w:type="dxa" w:w="3744"/>
            <w:shd w:fill="FFFFFF"/>
            <w:tcMar>
              <w:top w:w="90" w:type="dxa"/>
              <w:bottom w:w="90" w:type="dxa"/>
              <w:left w:w="90" w:type="dxa"/>
              <w:right w:w="90" w:type="dxa"/>
            </w:tcMar>
          </w:tcPr>
          <w:p>
            <w:pPr>
              <w:spacing w:after="60" w:before="20"/>
            </w:pPr>
            <w:r>
              <w:rPr>
                <w:b w:val="0"/>
                <w:color w:val="17242D"/>
                <w:sz w:val="19"/>
              </w:rPr>
              <w:t>Mapped required fields and approved action</w:t>
            </w:r>
          </w:p>
        </w:tc>
        <w:tc>
          <w:tcPr>
            <w:tcW w:type="dxa" w:w="4176"/>
            <w:shd w:fill="FFFFFF"/>
            <w:tcMar>
              <w:top w:w="90" w:type="dxa"/>
              <w:bottom w:w="90" w:type="dxa"/>
              <w:left w:w="90" w:type="dxa"/>
              <w:right w:w="90" w:type="dxa"/>
            </w:tcMar>
          </w:tcPr>
          <w:p>
            <w:pPr>
              <w:spacing w:after="60" w:before="20"/>
            </w:pPr>
            <w:r>
              <w:rPr>
                <w:b w:val="0"/>
                <w:color w:val="17242D"/>
                <w:sz w:val="19"/>
              </w:rPr>
              <w:t>System owner write authority and data-sharing basis</w:t>
            </w:r>
          </w:p>
        </w:tc>
      </w:tr>
      <w:tr>
        <w:trPr>
          <w:cantSplit/>
        </w:trPr>
        <w:tc>
          <w:tcPr>
            <w:tcW w:type="dxa" w:w="2160"/>
            <w:shd w:fill="F2F6F8"/>
            <w:tcMar>
              <w:top w:w="90" w:type="dxa"/>
              <w:bottom w:w="90" w:type="dxa"/>
              <w:left w:w="90" w:type="dxa"/>
              <w:right w:w="90" w:type="dxa"/>
            </w:tcMar>
          </w:tcPr>
          <w:p>
            <w:pPr>
              <w:spacing w:after="60" w:before="20"/>
            </w:pPr>
            <w:r>
              <w:rPr>
                <w:b w:val="0"/>
                <w:color w:val="17242D"/>
                <w:sz w:val="19"/>
              </w:rPr>
              <w:t>ABDM health information exchange</w:t>
            </w:r>
          </w:p>
        </w:tc>
        <w:tc>
          <w:tcPr>
            <w:tcW w:type="dxa" w:w="3744"/>
            <w:shd w:fill="F2F6F8"/>
            <w:tcMar>
              <w:top w:w="90" w:type="dxa"/>
              <w:bottom w:w="90" w:type="dxa"/>
              <w:left w:w="90" w:type="dxa"/>
              <w:right w:w="90" w:type="dxa"/>
            </w:tcMar>
          </w:tcPr>
          <w:p>
            <w:pPr>
              <w:spacing w:after="60" w:before="20"/>
            </w:pPr>
            <w:r>
              <w:rPr>
                <w:b w:val="0"/>
                <w:color w:val="17242D"/>
                <w:sz w:val="19"/>
              </w:rPr>
              <w:t>Scoped clinical documents and identifiers</w:t>
            </w:r>
          </w:p>
        </w:tc>
        <w:tc>
          <w:tcPr>
            <w:tcW w:type="dxa" w:w="4176"/>
            <w:shd w:fill="F2F6F8"/>
            <w:tcMar>
              <w:top w:w="90" w:type="dxa"/>
              <w:bottom w:w="90" w:type="dxa"/>
              <w:left w:w="90" w:type="dxa"/>
              <w:right w:w="90" w:type="dxa"/>
            </w:tcMar>
          </w:tcPr>
          <w:p>
            <w:pPr>
              <w:spacing w:after="60" w:before="20"/>
            </w:pPr>
            <w:r>
              <w:rPr>
                <w:b w:val="0"/>
                <w:color w:val="17242D"/>
                <w:sz w:val="19"/>
              </w:rPr>
              <w:t>Enabled role and applicable consent/data-transfer flow</w:t>
            </w:r>
          </w:p>
        </w:tc>
      </w:tr>
      <w:tr>
        <w:trPr>
          <w:cantSplit/>
        </w:trPr>
        <w:tc>
          <w:tcPr>
            <w:tcW w:type="dxa" w:w="2160"/>
            <w:shd w:fill="FFFFFF"/>
            <w:tcMar>
              <w:top w:w="90" w:type="dxa"/>
              <w:bottom w:w="90" w:type="dxa"/>
              <w:left w:w="90" w:type="dxa"/>
              <w:right w:w="90" w:type="dxa"/>
            </w:tcMar>
          </w:tcPr>
          <w:p>
            <w:pPr>
              <w:spacing w:after="60" w:before="20"/>
            </w:pPr>
            <w:r>
              <w:rPr>
                <w:b w:val="0"/>
                <w:color w:val="17242D"/>
                <w:sz w:val="19"/>
              </w:rPr>
              <w:t>Direct EHR access</w:t>
            </w:r>
          </w:p>
        </w:tc>
        <w:tc>
          <w:tcPr>
            <w:tcW w:type="dxa" w:w="3744"/>
            <w:shd w:fill="FFFFFF"/>
            <w:tcMar>
              <w:top w:w="90" w:type="dxa"/>
              <w:bottom w:w="90" w:type="dxa"/>
              <w:left w:w="90" w:type="dxa"/>
              <w:right w:w="90" w:type="dxa"/>
            </w:tcMar>
          </w:tcPr>
          <w:p>
            <w:pPr>
              <w:spacing w:after="60" w:before="20"/>
            </w:pPr>
            <w:r>
              <w:rPr>
                <w:b w:val="0"/>
                <w:color w:val="17242D"/>
                <w:sz w:val="19"/>
              </w:rPr>
              <w:t>Supported operation and selected record scope</w:t>
            </w:r>
          </w:p>
        </w:tc>
        <w:tc>
          <w:tcPr>
            <w:tcW w:type="dxa" w:w="4176"/>
            <w:shd w:fill="FFFFFF"/>
            <w:tcMar>
              <w:top w:w="90" w:type="dxa"/>
              <w:bottom w:w="90" w:type="dxa"/>
              <w:left w:w="90" w:type="dxa"/>
              <w:right w:w="90" w:type="dxa"/>
            </w:tcMar>
          </w:tcPr>
          <w:p>
            <w:pPr>
              <w:spacing w:after="60" w:before="20"/>
            </w:pPr>
            <w:r>
              <w:rPr>
                <w:b w:val="0"/>
                <w:color w:val="17242D"/>
                <w:sz w:val="19"/>
              </w:rPr>
              <w:t>Owner permission, identity match and resource capability</w:t>
            </w:r>
          </w:p>
        </w:tc>
      </w:tr>
      <w:tr>
        <w:trPr>
          <w:cantSplit/>
        </w:trPr>
        <w:tc>
          <w:tcPr>
            <w:tcW w:type="dxa" w:w="2160"/>
            <w:shd w:fill="F2F6F8"/>
            <w:tcMar>
              <w:top w:w="90" w:type="dxa"/>
              <w:bottom w:w="90" w:type="dxa"/>
              <w:left w:w="90" w:type="dxa"/>
              <w:right w:w="90" w:type="dxa"/>
            </w:tcMar>
          </w:tcPr>
          <w:p>
            <w:pPr>
              <w:spacing w:after="60" w:before="20"/>
            </w:pPr>
            <w:r>
              <w:rPr>
                <w:b w:val="0"/>
                <w:color w:val="17242D"/>
                <w:sz w:val="19"/>
              </w:rPr>
              <w:t>Report or export</w:t>
            </w:r>
          </w:p>
        </w:tc>
        <w:tc>
          <w:tcPr>
            <w:tcW w:type="dxa" w:w="3744"/>
            <w:shd w:fill="F2F6F8"/>
            <w:tcMar>
              <w:top w:w="90" w:type="dxa"/>
              <w:bottom w:w="90" w:type="dxa"/>
              <w:left w:w="90" w:type="dxa"/>
              <w:right w:w="90" w:type="dxa"/>
            </w:tcMar>
          </w:tcPr>
          <w:p>
            <w:pPr>
              <w:spacing w:after="60" w:before="20"/>
            </w:pPr>
            <w:r>
              <w:rPr>
                <w:b w:val="0"/>
                <w:color w:val="17242D"/>
                <w:sz w:val="19"/>
              </w:rPr>
              <w:t>Governed aggregate or approved person list</w:t>
            </w:r>
          </w:p>
        </w:tc>
        <w:tc>
          <w:tcPr>
            <w:tcW w:type="dxa" w:w="4176"/>
            <w:shd w:fill="F2F6F8"/>
            <w:tcMar>
              <w:top w:w="90" w:type="dxa"/>
              <w:bottom w:w="90" w:type="dxa"/>
              <w:left w:w="90" w:type="dxa"/>
              <w:right w:w="90" w:type="dxa"/>
            </w:tcMar>
          </w:tcPr>
          <w:p>
            <w:pPr>
              <w:spacing w:after="60" w:before="20"/>
            </w:pPr>
            <w:r>
              <w:rPr>
                <w:b w:val="0"/>
                <w:color w:val="17242D"/>
                <w:sz w:val="19"/>
              </w:rPr>
              <w:t>Scope, suppression, recipient, retention and expiry</w:t>
            </w:r>
          </w:p>
        </w:tc>
      </w:tr>
    </w:tbl>
    <w:p>
      <w:pPr>
        <w:spacing w:after="20"/>
      </w:pPr>
    </w:p>
    <w:p>
      <w:r>
        <w:t>Maintain a deployment-specific processing register and determine applicable Indian privacy, health, professional and institutional obligations with the responsible owners before real data. This pack specifies controls and evidence; it does not assert legal compliance or a blanket ABDM certification. A source change or deployment in another jurisdiction triggers renewed review of the affected flows.</w:t>
      </w:r>
    </w:p>
    <w:p>
      <w:pPr>
        <w:pStyle w:val="Heading1"/>
      </w:pPr>
      <w:r>
        <w:t>Security control baseline</w:t>
      </w:r>
    </w:p>
    <w:p>
      <w:r>
        <w:t>1. Use individual workforce accounts, verified institutional enrollment, short-lived sessions and stronger authentication for privileged roles. Revoke sessions and assignments on role change. Recovery must verify the worker independently of patient data.</w:t>
      </w:r>
    </w:p>
    <w:p>
      <w:r>
        <w:t>2. Encrypt data in transit and at rest with controlled keys. Scope credentials per environment and connector. Rotate and revoke secrets through the selected vault; never place them in prompts, mobile builds or programme packs.</w:t>
      </w:r>
    </w:p>
    <w:p>
      <w:r>
        <w:t>3. Apply policy at every read, mutation, export, object ticket and background action. Enforce tenant isolation in service queries and database RLS; test cross-tenant and cross-person denial.</w:t>
      </w:r>
    </w:p>
    <w:p>
      <w:r>
        <w:t>4. Separate synthetic, test and production credentials and network routes. Providers receive only approved fields. Prevent production data from entering demonstration fixtures or model training without separately approved authority.</w:t>
      </w:r>
    </w:p>
    <w:p>
      <w:r>
        <w:t>5. Audit decisions and external disclosures with restricted evidence references. Redact payloads from logs, traces, crash reports and support tickets. Monitor privileged access and retention exceptions.</w:t>
      </w:r>
    </w:p>
    <w:p>
      <w:r>
        <w:t>6. Scan and constrain uploaded media, validate output schemas, authenticate callbacks and limit outbound network destinations. Treat retrieved content as data and deny attempts to request extra tools or secrets.</w:t>
      </w:r>
    </w:p>
    <w:p>
      <w:r>
        <w:t>7. Test backup restoration, key recovery, device loss, incident handling and exit exports. A successful backup job alone does not prove recoverability.</w:t>
      </w:r>
    </w:p>
    <w:p>
      <w:pPr>
        <w:pStyle w:val="Heading1"/>
      </w:pPr>
      <w:r>
        <w:t>Threat register</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864"/>
        <w:gridCol w:w="2664"/>
        <w:gridCol w:w="3528"/>
        <w:gridCol w:w="3024"/>
      </w:tblGrid>
      <w:tr>
        <w:trPr>
          <w:tblHeader/>
          <w:cantSplit/>
        </w:trPr>
        <w:tc>
          <w:tcPr>
            <w:tcW w:type="dxa" w:w="864"/>
            <w:shd w:fill="173A50"/>
            <w:tcMar>
              <w:top w:w="90" w:type="dxa"/>
              <w:bottom w:w="90" w:type="dxa"/>
              <w:left w:w="90" w:type="dxa"/>
              <w:right w:w="90" w:type="dxa"/>
            </w:tcMar>
          </w:tcPr>
          <w:p>
            <w:pPr>
              <w:spacing w:after="60" w:before="20"/>
            </w:pPr>
            <w:r>
              <w:rPr>
                <w:b/>
                <w:color w:val="FFFFFF"/>
                <w:sz w:val="19"/>
              </w:rPr>
              <w:t>ID</w:t>
            </w:r>
          </w:p>
        </w:tc>
        <w:tc>
          <w:tcPr>
            <w:tcW w:type="dxa" w:w="2664"/>
            <w:shd w:fill="173A50"/>
            <w:tcMar>
              <w:top w:w="90" w:type="dxa"/>
              <w:bottom w:w="90" w:type="dxa"/>
              <w:left w:w="90" w:type="dxa"/>
              <w:right w:w="90" w:type="dxa"/>
            </w:tcMar>
          </w:tcPr>
          <w:p>
            <w:pPr>
              <w:spacing w:after="60" w:before="20"/>
            </w:pPr>
            <w:r>
              <w:rPr>
                <w:b/>
                <w:color w:val="FFFFFF"/>
                <w:sz w:val="19"/>
              </w:rPr>
              <w:t>Threat</w:t>
            </w:r>
          </w:p>
        </w:tc>
        <w:tc>
          <w:tcPr>
            <w:tcW w:type="dxa" w:w="3528"/>
            <w:shd w:fill="173A50"/>
            <w:tcMar>
              <w:top w:w="90" w:type="dxa"/>
              <w:bottom w:w="90" w:type="dxa"/>
              <w:left w:w="90" w:type="dxa"/>
              <w:right w:w="90" w:type="dxa"/>
            </w:tcMar>
          </w:tcPr>
          <w:p>
            <w:pPr>
              <w:spacing w:after="60" w:before="20"/>
            </w:pPr>
            <w:r>
              <w:rPr>
                <w:b/>
                <w:color w:val="FFFFFF"/>
                <w:sz w:val="19"/>
              </w:rPr>
              <w:t>Control</w:t>
            </w:r>
          </w:p>
        </w:tc>
        <w:tc>
          <w:tcPr>
            <w:tcW w:type="dxa" w:w="3024"/>
            <w:shd w:fill="173A50"/>
            <w:tcMar>
              <w:top w:w="90" w:type="dxa"/>
              <w:bottom w:w="90" w:type="dxa"/>
              <w:left w:w="90" w:type="dxa"/>
              <w:right w:w="90" w:type="dxa"/>
            </w:tcMar>
          </w:tcPr>
          <w:p>
            <w:pPr>
              <w:spacing w:after="60" w:before="20"/>
            </w:pPr>
            <w:r>
              <w:rPr>
                <w:b/>
                <w:color w:val="FFFFFF"/>
                <w:sz w:val="19"/>
              </w:rPr>
              <w:t>Evidence</w:t>
            </w:r>
          </w:p>
        </w:tc>
      </w:tr>
      <w:tr>
        <w:trPr>
          <w:cantSplit/>
        </w:trPr>
        <w:tc>
          <w:tcPr>
            <w:tcW w:type="dxa" w:w="864"/>
            <w:shd w:fill="FFFFFF"/>
            <w:tcMar>
              <w:top w:w="90" w:type="dxa"/>
              <w:bottom w:w="90" w:type="dxa"/>
              <w:left w:w="90" w:type="dxa"/>
              <w:right w:w="90" w:type="dxa"/>
            </w:tcMar>
          </w:tcPr>
          <w:p>
            <w:pPr>
              <w:spacing w:after="60" w:before="20"/>
            </w:pPr>
            <w:r>
              <w:rPr>
                <w:b w:val="0"/>
                <w:color w:val="17242D"/>
                <w:sz w:val="19"/>
              </w:rPr>
              <w:t>TH01</w:t>
            </w:r>
          </w:p>
        </w:tc>
        <w:tc>
          <w:tcPr>
            <w:tcW w:type="dxa" w:w="2664"/>
            <w:shd w:fill="FFFFFF"/>
            <w:tcMar>
              <w:top w:w="90" w:type="dxa"/>
              <w:bottom w:w="90" w:type="dxa"/>
              <w:left w:w="90" w:type="dxa"/>
              <w:right w:w="90" w:type="dxa"/>
            </w:tcMar>
          </w:tcPr>
          <w:p>
            <w:pPr>
              <w:spacing w:after="60" w:before="20"/>
            </w:pPr>
            <w:r>
              <w:rPr>
                <w:b w:val="0"/>
                <w:color w:val="17242D"/>
                <w:sz w:val="19"/>
              </w:rPr>
              <w:t>Wrong tenant or person reference</w:t>
            </w:r>
          </w:p>
        </w:tc>
        <w:tc>
          <w:tcPr>
            <w:tcW w:type="dxa" w:w="3528"/>
            <w:shd w:fill="FFFFFF"/>
            <w:tcMar>
              <w:top w:w="90" w:type="dxa"/>
              <w:bottom w:w="90" w:type="dxa"/>
              <w:left w:w="90" w:type="dxa"/>
              <w:right w:w="90" w:type="dxa"/>
            </w:tcMar>
          </w:tcPr>
          <w:p>
            <w:pPr>
              <w:spacing w:after="60" w:before="20"/>
            </w:pPr>
            <w:r>
              <w:rPr>
                <w:b w:val="0"/>
                <w:color w:val="17242D"/>
                <w:sz w:val="19"/>
              </w:rPr>
              <w:t>Server-derived scope, patient binding and RLS</w:t>
            </w:r>
          </w:p>
        </w:tc>
        <w:tc>
          <w:tcPr>
            <w:tcW w:type="dxa" w:w="3024"/>
            <w:shd w:fill="FFFFFF"/>
            <w:tcMar>
              <w:top w:w="90" w:type="dxa"/>
              <w:bottom w:w="90" w:type="dxa"/>
              <w:left w:w="90" w:type="dxa"/>
              <w:right w:w="90" w:type="dxa"/>
            </w:tcMar>
          </w:tcPr>
          <w:p>
            <w:pPr>
              <w:spacing w:after="60" w:before="20"/>
            </w:pPr>
            <w:r>
              <w:rPr>
                <w:b w:val="0"/>
                <w:color w:val="17242D"/>
                <w:sz w:val="19"/>
              </w:rPr>
              <w:t>Cross-tenant and wrong-person negative tests</w:t>
            </w:r>
          </w:p>
        </w:tc>
      </w:tr>
      <w:tr>
        <w:trPr>
          <w:cantSplit/>
        </w:trPr>
        <w:tc>
          <w:tcPr>
            <w:tcW w:type="dxa" w:w="864"/>
            <w:shd w:fill="F2F6F8"/>
            <w:tcMar>
              <w:top w:w="90" w:type="dxa"/>
              <w:bottom w:w="90" w:type="dxa"/>
              <w:left w:w="90" w:type="dxa"/>
              <w:right w:w="90" w:type="dxa"/>
            </w:tcMar>
          </w:tcPr>
          <w:p>
            <w:pPr>
              <w:spacing w:after="60" w:before="20"/>
            </w:pPr>
            <w:r>
              <w:rPr>
                <w:b w:val="0"/>
                <w:color w:val="17242D"/>
                <w:sz w:val="19"/>
              </w:rPr>
              <w:t>TH02</w:t>
            </w:r>
          </w:p>
        </w:tc>
        <w:tc>
          <w:tcPr>
            <w:tcW w:type="dxa" w:w="2664"/>
            <w:shd w:fill="F2F6F8"/>
            <w:tcMar>
              <w:top w:w="90" w:type="dxa"/>
              <w:bottom w:w="90" w:type="dxa"/>
              <w:left w:w="90" w:type="dxa"/>
              <w:right w:w="90" w:type="dxa"/>
            </w:tcMar>
          </w:tcPr>
          <w:p>
            <w:pPr>
              <w:spacing w:after="60" w:before="20"/>
            </w:pPr>
            <w:r>
              <w:rPr>
                <w:b w:val="0"/>
                <w:color w:val="17242D"/>
                <w:sz w:val="19"/>
              </w:rPr>
              <w:t>Prompt injection in note or provider response</w:t>
            </w:r>
          </w:p>
        </w:tc>
        <w:tc>
          <w:tcPr>
            <w:tcW w:type="dxa" w:w="3528"/>
            <w:shd w:fill="F2F6F8"/>
            <w:tcMar>
              <w:top w:w="90" w:type="dxa"/>
              <w:bottom w:w="90" w:type="dxa"/>
              <w:left w:w="90" w:type="dxa"/>
              <w:right w:w="90" w:type="dxa"/>
            </w:tcMar>
          </w:tcPr>
          <w:p>
            <w:pPr>
              <w:spacing w:after="60" w:before="20"/>
            </w:pPr>
            <w:r>
              <w:rPr>
                <w:b w:val="0"/>
                <w:color w:val="17242D"/>
                <w:sz w:val="19"/>
              </w:rPr>
              <w:t>Closed tools, independent policy and output validation</w:t>
            </w:r>
          </w:p>
        </w:tc>
        <w:tc>
          <w:tcPr>
            <w:tcW w:type="dxa" w:w="3024"/>
            <w:shd w:fill="F2F6F8"/>
            <w:tcMar>
              <w:top w:w="90" w:type="dxa"/>
              <w:bottom w:w="90" w:type="dxa"/>
              <w:left w:w="90" w:type="dxa"/>
              <w:right w:w="90" w:type="dxa"/>
            </w:tcMar>
          </w:tcPr>
          <w:p>
            <w:pPr>
              <w:spacing w:after="60" w:before="20"/>
            </w:pPr>
            <w:r>
              <w:rPr>
                <w:b w:val="0"/>
                <w:color w:val="17242D"/>
                <w:sz w:val="19"/>
              </w:rPr>
              <w:t>Malicious content cannot trigger unapproved action</w:t>
            </w:r>
          </w:p>
        </w:tc>
      </w:tr>
      <w:tr>
        <w:trPr>
          <w:cantSplit/>
        </w:trPr>
        <w:tc>
          <w:tcPr>
            <w:tcW w:type="dxa" w:w="864"/>
            <w:shd w:fill="FFFFFF"/>
            <w:tcMar>
              <w:top w:w="90" w:type="dxa"/>
              <w:bottom w:w="90" w:type="dxa"/>
              <w:left w:w="90" w:type="dxa"/>
              <w:right w:w="90" w:type="dxa"/>
            </w:tcMar>
          </w:tcPr>
          <w:p>
            <w:pPr>
              <w:spacing w:after="60" w:before="20"/>
            </w:pPr>
            <w:r>
              <w:rPr>
                <w:b w:val="0"/>
                <w:color w:val="17242D"/>
                <w:sz w:val="19"/>
              </w:rPr>
              <w:t>TH03</w:t>
            </w:r>
          </w:p>
        </w:tc>
        <w:tc>
          <w:tcPr>
            <w:tcW w:type="dxa" w:w="2664"/>
            <w:shd w:fill="FFFFFF"/>
            <w:tcMar>
              <w:top w:w="90" w:type="dxa"/>
              <w:bottom w:w="90" w:type="dxa"/>
              <w:left w:w="90" w:type="dxa"/>
              <w:right w:w="90" w:type="dxa"/>
            </w:tcMar>
          </w:tcPr>
          <w:p>
            <w:pPr>
              <w:spacing w:after="60" w:before="20"/>
            </w:pPr>
            <w:r>
              <w:rPr>
                <w:b w:val="0"/>
                <w:color w:val="17242D"/>
                <w:sz w:val="19"/>
              </w:rPr>
              <w:t>Lost device or clock rollback</w:t>
            </w:r>
          </w:p>
        </w:tc>
        <w:tc>
          <w:tcPr>
            <w:tcW w:type="dxa" w:w="3528"/>
            <w:shd w:fill="FFFFFF"/>
            <w:tcMar>
              <w:top w:w="90" w:type="dxa"/>
              <w:bottom w:w="90" w:type="dxa"/>
              <w:left w:w="90" w:type="dxa"/>
              <w:right w:w="90" w:type="dxa"/>
            </w:tcMar>
          </w:tcPr>
          <w:p>
            <w:pPr>
              <w:spacing w:after="60" w:before="20"/>
            </w:pPr>
            <w:r>
              <w:rPr>
                <w:b w:val="0"/>
                <w:color w:val="17242D"/>
                <w:sz w:val="19"/>
              </w:rPr>
              <w:t>Encrypted cache, short lease, trusted time and lock</w:t>
            </w:r>
          </w:p>
        </w:tc>
        <w:tc>
          <w:tcPr>
            <w:tcW w:type="dxa" w:w="3024"/>
            <w:shd w:fill="FFFFFF"/>
            <w:tcMar>
              <w:top w:w="90" w:type="dxa"/>
              <w:bottom w:w="90" w:type="dxa"/>
              <w:left w:w="90" w:type="dxa"/>
              <w:right w:w="90" w:type="dxa"/>
            </w:tcMar>
          </w:tcPr>
          <w:p>
            <w:pPr>
              <w:spacing w:after="60" w:before="20"/>
            </w:pPr>
            <w:r>
              <w:rPr>
                <w:b w:val="0"/>
                <w:color w:val="17242D"/>
                <w:sz w:val="19"/>
              </w:rPr>
              <w:t>Offline expiry and reboot recovery tests</w:t>
            </w:r>
          </w:p>
        </w:tc>
      </w:tr>
      <w:tr>
        <w:trPr>
          <w:cantSplit/>
        </w:trPr>
        <w:tc>
          <w:tcPr>
            <w:tcW w:type="dxa" w:w="864"/>
            <w:shd w:fill="F2F6F8"/>
            <w:tcMar>
              <w:top w:w="90" w:type="dxa"/>
              <w:bottom w:w="90" w:type="dxa"/>
              <w:left w:w="90" w:type="dxa"/>
              <w:right w:w="90" w:type="dxa"/>
            </w:tcMar>
          </w:tcPr>
          <w:p>
            <w:pPr>
              <w:spacing w:after="60" w:before="20"/>
            </w:pPr>
            <w:r>
              <w:rPr>
                <w:b w:val="0"/>
                <w:color w:val="17242D"/>
                <w:sz w:val="19"/>
              </w:rPr>
              <w:t>TH04</w:t>
            </w:r>
          </w:p>
        </w:tc>
        <w:tc>
          <w:tcPr>
            <w:tcW w:type="dxa" w:w="2664"/>
            <w:shd w:fill="F2F6F8"/>
            <w:tcMar>
              <w:top w:w="90" w:type="dxa"/>
              <w:bottom w:w="90" w:type="dxa"/>
              <w:left w:w="90" w:type="dxa"/>
              <w:right w:w="90" w:type="dxa"/>
            </w:tcMar>
          </w:tcPr>
          <w:p>
            <w:pPr>
              <w:spacing w:after="60" w:before="20"/>
            </w:pPr>
            <w:r>
              <w:rPr>
                <w:b w:val="0"/>
                <w:color w:val="17242D"/>
                <w:sz w:val="19"/>
              </w:rPr>
              <w:t>Replayed callback or command</w:t>
            </w:r>
          </w:p>
        </w:tc>
        <w:tc>
          <w:tcPr>
            <w:tcW w:type="dxa" w:w="3528"/>
            <w:shd w:fill="F2F6F8"/>
            <w:tcMar>
              <w:top w:w="90" w:type="dxa"/>
              <w:bottom w:w="90" w:type="dxa"/>
              <w:left w:w="90" w:type="dxa"/>
              <w:right w:w="90" w:type="dxa"/>
            </w:tcMar>
          </w:tcPr>
          <w:p>
            <w:pPr>
              <w:spacing w:after="60" w:before="20"/>
            </w:pPr>
            <w:r>
              <w:rPr>
                <w:b w:val="0"/>
                <w:color w:val="17242D"/>
                <w:sz w:val="19"/>
              </w:rPr>
              <w:t>Authenticated correlation, timestamp and deduplication</w:t>
            </w:r>
          </w:p>
        </w:tc>
        <w:tc>
          <w:tcPr>
            <w:tcW w:type="dxa" w:w="3024"/>
            <w:shd w:fill="F2F6F8"/>
            <w:tcMar>
              <w:top w:w="90" w:type="dxa"/>
              <w:bottom w:w="90" w:type="dxa"/>
              <w:left w:w="90" w:type="dxa"/>
              <w:right w:w="90" w:type="dxa"/>
            </w:tcMar>
          </w:tcPr>
          <w:p>
            <w:pPr>
              <w:spacing w:after="60" w:before="20"/>
            </w:pPr>
            <w:r>
              <w:rPr>
                <w:b w:val="0"/>
                <w:color w:val="17242D"/>
                <w:sz w:val="19"/>
              </w:rPr>
              <w:t>Same logical result has one state and charge effect</w:t>
            </w:r>
          </w:p>
        </w:tc>
      </w:tr>
      <w:tr>
        <w:trPr>
          <w:cantSplit/>
        </w:trPr>
        <w:tc>
          <w:tcPr>
            <w:tcW w:type="dxa" w:w="864"/>
            <w:shd w:fill="FFFFFF"/>
            <w:tcMar>
              <w:top w:w="90" w:type="dxa"/>
              <w:bottom w:w="90" w:type="dxa"/>
              <w:left w:w="90" w:type="dxa"/>
              <w:right w:w="90" w:type="dxa"/>
            </w:tcMar>
          </w:tcPr>
          <w:p>
            <w:pPr>
              <w:spacing w:after="60" w:before="20"/>
            </w:pPr>
            <w:r>
              <w:rPr>
                <w:b w:val="0"/>
                <w:color w:val="17242D"/>
                <w:sz w:val="19"/>
              </w:rPr>
              <w:t>TH05</w:t>
            </w:r>
          </w:p>
        </w:tc>
        <w:tc>
          <w:tcPr>
            <w:tcW w:type="dxa" w:w="2664"/>
            <w:shd w:fill="FFFFFF"/>
            <w:tcMar>
              <w:top w:w="90" w:type="dxa"/>
              <w:bottom w:w="90" w:type="dxa"/>
              <w:left w:w="90" w:type="dxa"/>
              <w:right w:w="90" w:type="dxa"/>
            </w:tcMar>
          </w:tcPr>
          <w:p>
            <w:pPr>
              <w:spacing w:after="60" w:before="20"/>
            </w:pPr>
            <w:r>
              <w:rPr>
                <w:b w:val="0"/>
                <w:color w:val="17242D"/>
                <w:sz w:val="19"/>
              </w:rPr>
              <w:t>Stale approval or consent</w:t>
            </w:r>
          </w:p>
        </w:tc>
        <w:tc>
          <w:tcPr>
            <w:tcW w:type="dxa" w:w="3528"/>
            <w:shd w:fill="FFFFFF"/>
            <w:tcMar>
              <w:top w:w="90" w:type="dxa"/>
              <w:bottom w:w="90" w:type="dxa"/>
              <w:left w:w="90" w:type="dxa"/>
              <w:right w:w="90" w:type="dxa"/>
            </w:tcMar>
          </w:tcPr>
          <w:p>
            <w:pPr>
              <w:spacing w:after="60" w:before="20"/>
            </w:pPr>
            <w:r>
              <w:rPr>
                <w:b w:val="0"/>
                <w:color w:val="17242D"/>
                <w:sz w:val="19"/>
              </w:rPr>
              <w:t>Exact snapshot hash and dispatch-time policy</w:t>
            </w:r>
          </w:p>
        </w:tc>
        <w:tc>
          <w:tcPr>
            <w:tcW w:type="dxa" w:w="3024"/>
            <w:shd w:fill="FFFFFF"/>
            <w:tcMar>
              <w:top w:w="90" w:type="dxa"/>
              <w:bottom w:w="90" w:type="dxa"/>
              <w:left w:w="90" w:type="dxa"/>
              <w:right w:w="90" w:type="dxa"/>
            </w:tcMar>
          </w:tcPr>
          <w:p>
            <w:pPr>
              <w:spacing w:after="60" w:before="20"/>
            </w:pPr>
            <w:r>
              <w:rPr>
                <w:b w:val="0"/>
                <w:color w:val="17242D"/>
                <w:sz w:val="19"/>
              </w:rPr>
              <w:t>Changed inputs or revoked authority block transmission</w:t>
            </w:r>
          </w:p>
        </w:tc>
      </w:tr>
      <w:tr>
        <w:trPr>
          <w:cantSplit/>
        </w:trPr>
        <w:tc>
          <w:tcPr>
            <w:tcW w:type="dxa" w:w="864"/>
            <w:shd w:fill="F2F6F8"/>
            <w:tcMar>
              <w:top w:w="90" w:type="dxa"/>
              <w:bottom w:w="90" w:type="dxa"/>
              <w:left w:w="90" w:type="dxa"/>
              <w:right w:w="90" w:type="dxa"/>
            </w:tcMar>
          </w:tcPr>
          <w:p>
            <w:pPr>
              <w:spacing w:after="60" w:before="20"/>
            </w:pPr>
            <w:r>
              <w:rPr>
                <w:b w:val="0"/>
                <w:color w:val="17242D"/>
                <w:sz w:val="19"/>
              </w:rPr>
              <w:t>TH06</w:t>
            </w:r>
          </w:p>
        </w:tc>
        <w:tc>
          <w:tcPr>
            <w:tcW w:type="dxa" w:w="2664"/>
            <w:shd w:fill="F2F6F8"/>
            <w:tcMar>
              <w:top w:w="90" w:type="dxa"/>
              <w:bottom w:w="90" w:type="dxa"/>
              <w:left w:w="90" w:type="dxa"/>
              <w:right w:w="90" w:type="dxa"/>
            </w:tcMar>
          </w:tcPr>
          <w:p>
            <w:pPr>
              <w:spacing w:after="60" w:before="20"/>
            </w:pPr>
            <w:r>
              <w:rPr>
                <w:b w:val="0"/>
                <w:color w:val="17242D"/>
                <w:sz w:val="19"/>
              </w:rPr>
              <w:t>Privileged misuse or support extraction</w:t>
            </w:r>
          </w:p>
        </w:tc>
        <w:tc>
          <w:tcPr>
            <w:tcW w:type="dxa" w:w="3528"/>
            <w:shd w:fill="F2F6F8"/>
            <w:tcMar>
              <w:top w:w="90" w:type="dxa"/>
              <w:bottom w:w="90" w:type="dxa"/>
              <w:left w:w="90" w:type="dxa"/>
              <w:right w:w="90" w:type="dxa"/>
            </w:tcMar>
          </w:tcPr>
          <w:p>
            <w:pPr>
              <w:spacing w:after="60" w:before="20"/>
            </w:pPr>
            <w:r>
              <w:rPr>
                <w:b w:val="0"/>
                <w:color w:val="17242D"/>
                <w:sz w:val="19"/>
              </w:rPr>
              <w:t>Least privilege, separation, temporary grant and audit</w:t>
            </w:r>
          </w:p>
        </w:tc>
        <w:tc>
          <w:tcPr>
            <w:tcW w:type="dxa" w:w="3024"/>
            <w:shd w:fill="F2F6F8"/>
            <w:tcMar>
              <w:top w:w="90" w:type="dxa"/>
              <w:bottom w:w="90" w:type="dxa"/>
              <w:left w:w="90" w:type="dxa"/>
              <w:right w:w="90" w:type="dxa"/>
            </w:tcMar>
          </w:tcPr>
          <w:p>
            <w:pPr>
              <w:spacing w:after="60" w:before="20"/>
            </w:pPr>
            <w:r>
              <w:rPr>
                <w:b w:val="0"/>
                <w:color w:val="17242D"/>
                <w:sz w:val="19"/>
              </w:rPr>
              <w:t>Grant expiry and scope enforcement demonstrated</w:t>
            </w:r>
          </w:p>
        </w:tc>
      </w:tr>
      <w:tr>
        <w:trPr>
          <w:cantSplit/>
        </w:trPr>
        <w:tc>
          <w:tcPr>
            <w:tcW w:type="dxa" w:w="864"/>
            <w:shd w:fill="FFFFFF"/>
            <w:tcMar>
              <w:top w:w="90" w:type="dxa"/>
              <w:bottom w:w="90" w:type="dxa"/>
              <w:left w:w="90" w:type="dxa"/>
              <w:right w:w="90" w:type="dxa"/>
            </w:tcMar>
          </w:tcPr>
          <w:p>
            <w:pPr>
              <w:spacing w:after="60" w:before="20"/>
            </w:pPr>
            <w:r>
              <w:rPr>
                <w:b w:val="0"/>
                <w:color w:val="17242D"/>
                <w:sz w:val="19"/>
              </w:rPr>
              <w:t>TH07</w:t>
            </w:r>
          </w:p>
        </w:tc>
        <w:tc>
          <w:tcPr>
            <w:tcW w:type="dxa" w:w="2664"/>
            <w:shd w:fill="FFFFFF"/>
            <w:tcMar>
              <w:top w:w="90" w:type="dxa"/>
              <w:bottom w:w="90" w:type="dxa"/>
              <w:left w:w="90" w:type="dxa"/>
              <w:right w:w="90" w:type="dxa"/>
            </w:tcMar>
          </w:tcPr>
          <w:p>
            <w:pPr>
              <w:spacing w:after="60" w:before="20"/>
            </w:pPr>
            <w:r>
              <w:rPr>
                <w:b w:val="0"/>
                <w:color w:val="17242D"/>
                <w:sz w:val="19"/>
              </w:rPr>
              <w:t>Secret or patient data in telemetry</w:t>
            </w:r>
          </w:p>
        </w:tc>
        <w:tc>
          <w:tcPr>
            <w:tcW w:type="dxa" w:w="3528"/>
            <w:shd w:fill="FFFFFF"/>
            <w:tcMar>
              <w:top w:w="90" w:type="dxa"/>
              <w:bottom w:w="90" w:type="dxa"/>
              <w:left w:w="90" w:type="dxa"/>
              <w:right w:w="90" w:type="dxa"/>
            </w:tcMar>
          </w:tcPr>
          <w:p>
            <w:pPr>
              <w:spacing w:after="60" w:before="20"/>
            </w:pPr>
            <w:r>
              <w:rPr>
                <w:b w:val="0"/>
                <w:color w:val="17242D"/>
                <w:sz w:val="19"/>
              </w:rPr>
              <w:t>Redaction, restricted sinks and sampling review</w:t>
            </w:r>
          </w:p>
        </w:tc>
        <w:tc>
          <w:tcPr>
            <w:tcW w:type="dxa" w:w="3024"/>
            <w:shd w:fill="FFFFFF"/>
            <w:tcMar>
              <w:top w:w="90" w:type="dxa"/>
              <w:bottom w:w="90" w:type="dxa"/>
              <w:left w:w="90" w:type="dxa"/>
              <w:right w:w="90" w:type="dxa"/>
            </w:tcMar>
          </w:tcPr>
          <w:p>
            <w:pPr>
              <w:spacing w:after="60" w:before="20"/>
            </w:pPr>
            <w:r>
              <w:rPr>
                <w:b w:val="0"/>
                <w:color w:val="17242D"/>
                <w:sz w:val="19"/>
              </w:rPr>
              <w:t>Canary sensitive strings absent from logs</w:t>
            </w:r>
          </w:p>
        </w:tc>
      </w:tr>
      <w:tr>
        <w:trPr>
          <w:cantSplit/>
        </w:trPr>
        <w:tc>
          <w:tcPr>
            <w:tcW w:type="dxa" w:w="864"/>
            <w:shd w:fill="F2F6F8"/>
            <w:tcMar>
              <w:top w:w="90" w:type="dxa"/>
              <w:bottom w:w="90" w:type="dxa"/>
              <w:left w:w="90" w:type="dxa"/>
              <w:right w:w="90" w:type="dxa"/>
            </w:tcMar>
          </w:tcPr>
          <w:p>
            <w:pPr>
              <w:spacing w:after="60" w:before="20"/>
            </w:pPr>
            <w:r>
              <w:rPr>
                <w:b w:val="0"/>
                <w:color w:val="17242D"/>
                <w:sz w:val="19"/>
              </w:rPr>
              <w:t>TH08</w:t>
            </w:r>
          </w:p>
        </w:tc>
        <w:tc>
          <w:tcPr>
            <w:tcW w:type="dxa" w:w="2664"/>
            <w:shd w:fill="F2F6F8"/>
            <w:tcMar>
              <w:top w:w="90" w:type="dxa"/>
              <w:bottom w:w="90" w:type="dxa"/>
              <w:left w:w="90" w:type="dxa"/>
              <w:right w:w="90" w:type="dxa"/>
            </w:tcMar>
          </w:tcPr>
          <w:p>
            <w:pPr>
              <w:spacing w:after="60" w:before="20"/>
            </w:pPr>
            <w:r>
              <w:rPr>
                <w:b w:val="0"/>
                <w:color w:val="17242D"/>
                <w:sz w:val="19"/>
              </w:rPr>
              <w:t>Report inference or repeated differencing</w:t>
            </w:r>
          </w:p>
        </w:tc>
        <w:tc>
          <w:tcPr>
            <w:tcW w:type="dxa" w:w="3528"/>
            <w:shd w:fill="F2F6F8"/>
            <w:tcMar>
              <w:top w:w="90" w:type="dxa"/>
              <w:bottom w:w="90" w:type="dxa"/>
              <w:left w:w="90" w:type="dxa"/>
              <w:right w:w="90" w:type="dxa"/>
            </w:tcMar>
          </w:tcPr>
          <w:p>
            <w:pPr>
              <w:spacing w:after="60" w:before="20"/>
            </w:pPr>
            <w:r>
              <w:rPr>
                <w:b w:val="0"/>
                <w:color w:val="17242D"/>
                <w:sz w:val="19"/>
              </w:rPr>
              <w:t>Suppression and query policy</w:t>
            </w:r>
          </w:p>
        </w:tc>
        <w:tc>
          <w:tcPr>
            <w:tcW w:type="dxa" w:w="3024"/>
            <w:shd w:fill="F2F6F8"/>
            <w:tcMar>
              <w:top w:w="90" w:type="dxa"/>
              <w:bottom w:w="90" w:type="dxa"/>
              <w:left w:w="90" w:type="dxa"/>
              <w:right w:w="90" w:type="dxa"/>
            </w:tcMar>
          </w:tcPr>
          <w:p>
            <w:pPr>
              <w:spacing w:after="60" w:before="20"/>
            </w:pPr>
            <w:r>
              <w:rPr>
                <w:b w:val="0"/>
                <w:color w:val="17242D"/>
                <w:sz w:val="19"/>
              </w:rPr>
              <w:t>Small-cell and repeated-filter tests</w:t>
            </w:r>
          </w:p>
        </w:tc>
      </w:tr>
      <w:tr>
        <w:trPr>
          <w:cantSplit/>
        </w:trPr>
        <w:tc>
          <w:tcPr>
            <w:tcW w:type="dxa" w:w="864"/>
            <w:shd w:fill="FFFFFF"/>
            <w:tcMar>
              <w:top w:w="90" w:type="dxa"/>
              <w:bottom w:w="90" w:type="dxa"/>
              <w:left w:w="90" w:type="dxa"/>
              <w:right w:w="90" w:type="dxa"/>
            </w:tcMar>
          </w:tcPr>
          <w:p>
            <w:pPr>
              <w:spacing w:after="60" w:before="20"/>
            </w:pPr>
            <w:r>
              <w:rPr>
                <w:b w:val="0"/>
                <w:color w:val="17242D"/>
                <w:sz w:val="19"/>
              </w:rPr>
              <w:t>TH09</w:t>
            </w:r>
          </w:p>
        </w:tc>
        <w:tc>
          <w:tcPr>
            <w:tcW w:type="dxa" w:w="2664"/>
            <w:shd w:fill="FFFFFF"/>
            <w:tcMar>
              <w:top w:w="90" w:type="dxa"/>
              <w:bottom w:w="90" w:type="dxa"/>
              <w:left w:w="90" w:type="dxa"/>
              <w:right w:w="90" w:type="dxa"/>
            </w:tcMar>
          </w:tcPr>
          <w:p>
            <w:pPr>
              <w:spacing w:after="60" w:before="20"/>
            </w:pPr>
            <w:r>
              <w:rPr>
                <w:b w:val="0"/>
                <w:color w:val="17242D"/>
                <w:sz w:val="19"/>
              </w:rPr>
              <w:t>Malicious media or arbitrary URL fetch</w:t>
            </w:r>
          </w:p>
        </w:tc>
        <w:tc>
          <w:tcPr>
            <w:tcW w:type="dxa" w:w="3528"/>
            <w:shd w:fill="FFFFFF"/>
            <w:tcMar>
              <w:top w:w="90" w:type="dxa"/>
              <w:bottom w:w="90" w:type="dxa"/>
              <w:left w:w="90" w:type="dxa"/>
              <w:right w:w="90" w:type="dxa"/>
            </w:tcMar>
          </w:tcPr>
          <w:p>
            <w:pPr>
              <w:spacing w:after="60" w:before="20"/>
            </w:pPr>
            <w:r>
              <w:rPr>
                <w:b w:val="0"/>
                <w:color w:val="17242D"/>
                <w:sz w:val="19"/>
              </w:rPr>
              <w:t>Upload constraints, approved storage references, network policy</w:t>
            </w:r>
          </w:p>
        </w:tc>
        <w:tc>
          <w:tcPr>
            <w:tcW w:type="dxa" w:w="3024"/>
            <w:shd w:fill="FFFFFF"/>
            <w:tcMar>
              <w:top w:w="90" w:type="dxa"/>
              <w:bottom w:w="90" w:type="dxa"/>
              <w:left w:w="90" w:type="dxa"/>
              <w:right w:w="90" w:type="dxa"/>
            </w:tcMar>
          </w:tcPr>
          <w:p>
            <w:pPr>
              <w:spacing w:after="60" w:before="20"/>
            </w:pPr>
            <w:r>
              <w:rPr>
                <w:b w:val="0"/>
                <w:color w:val="17242D"/>
                <w:sz w:val="19"/>
              </w:rPr>
              <w:t>Unsupported type and external URL rejected</w:t>
            </w:r>
          </w:p>
        </w:tc>
      </w:tr>
      <w:tr>
        <w:trPr>
          <w:cantSplit/>
        </w:trPr>
        <w:tc>
          <w:tcPr>
            <w:tcW w:type="dxa" w:w="864"/>
            <w:shd w:fill="F2F6F8"/>
            <w:tcMar>
              <w:top w:w="90" w:type="dxa"/>
              <w:bottom w:w="90" w:type="dxa"/>
              <w:left w:w="90" w:type="dxa"/>
              <w:right w:w="90" w:type="dxa"/>
            </w:tcMar>
          </w:tcPr>
          <w:p>
            <w:pPr>
              <w:spacing w:after="60" w:before="20"/>
            </w:pPr>
            <w:r>
              <w:rPr>
                <w:b w:val="0"/>
                <w:color w:val="17242D"/>
                <w:sz w:val="19"/>
              </w:rPr>
              <w:t>TH10</w:t>
            </w:r>
          </w:p>
        </w:tc>
        <w:tc>
          <w:tcPr>
            <w:tcW w:type="dxa" w:w="2664"/>
            <w:shd w:fill="F2F6F8"/>
            <w:tcMar>
              <w:top w:w="90" w:type="dxa"/>
              <w:bottom w:w="90" w:type="dxa"/>
              <w:left w:w="90" w:type="dxa"/>
              <w:right w:w="90" w:type="dxa"/>
            </w:tcMar>
          </w:tcPr>
          <w:p>
            <w:pPr>
              <w:spacing w:after="60" w:before="20"/>
            </w:pPr>
            <w:r>
              <w:rPr>
                <w:b w:val="0"/>
                <w:color w:val="17242D"/>
                <w:sz w:val="19"/>
              </w:rPr>
              <w:t>Vendor or schema change</w:t>
            </w:r>
          </w:p>
        </w:tc>
        <w:tc>
          <w:tcPr>
            <w:tcW w:type="dxa" w:w="3528"/>
            <w:shd w:fill="F2F6F8"/>
            <w:tcMar>
              <w:top w:w="90" w:type="dxa"/>
              <w:bottom w:w="90" w:type="dxa"/>
              <w:left w:w="90" w:type="dxa"/>
              <w:right w:w="90" w:type="dxa"/>
            </w:tcMar>
          </w:tcPr>
          <w:p>
            <w:pPr>
              <w:spacing w:after="60" w:before="20"/>
            </w:pPr>
            <w:r>
              <w:rPr>
                <w:b w:val="0"/>
                <w:color w:val="17242D"/>
                <w:sz w:val="19"/>
              </w:rPr>
              <w:t>Pinned version, drift detection and suspension</w:t>
            </w:r>
          </w:p>
        </w:tc>
        <w:tc>
          <w:tcPr>
            <w:tcW w:type="dxa" w:w="3024"/>
            <w:shd w:fill="F2F6F8"/>
            <w:tcMar>
              <w:top w:w="90" w:type="dxa"/>
              <w:bottom w:w="90" w:type="dxa"/>
              <w:left w:w="90" w:type="dxa"/>
              <w:right w:w="90" w:type="dxa"/>
            </w:tcMar>
          </w:tcPr>
          <w:p>
            <w:pPr>
              <w:spacing w:after="60" w:before="20"/>
            </w:pPr>
            <w:r>
              <w:rPr>
                <w:b w:val="0"/>
                <w:color w:val="17242D"/>
                <w:sz w:val="19"/>
              </w:rPr>
              <w:t>Undeclared change cannot silently enter clinical use</w:t>
            </w:r>
          </w:p>
        </w:tc>
      </w:tr>
    </w:tbl>
    <w:p>
      <w:pPr>
        <w:spacing w:after="20"/>
      </w:pPr>
    </w:p>
    <w:p>
      <w:pPr>
        <w:pStyle w:val="Heading1"/>
      </w:pPr>
      <w:r>
        <w:t>Clinical hazard register</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792"/>
        <w:gridCol w:w="3384"/>
        <w:gridCol w:w="4104"/>
        <w:gridCol w:w="1800"/>
      </w:tblGrid>
      <w:tr>
        <w:trPr>
          <w:tblHeader/>
          <w:cantSplit/>
        </w:trPr>
        <w:tc>
          <w:tcPr>
            <w:tcW w:type="dxa" w:w="792"/>
            <w:shd w:fill="173A50"/>
            <w:tcMar>
              <w:top w:w="90" w:type="dxa"/>
              <w:bottom w:w="90" w:type="dxa"/>
              <w:left w:w="90" w:type="dxa"/>
              <w:right w:w="90" w:type="dxa"/>
            </w:tcMar>
          </w:tcPr>
          <w:p>
            <w:pPr>
              <w:spacing w:after="60" w:before="20"/>
            </w:pPr>
            <w:r>
              <w:rPr>
                <w:b/>
                <w:color w:val="FFFFFF"/>
                <w:sz w:val="19"/>
              </w:rPr>
              <w:t>ID</w:t>
            </w:r>
          </w:p>
        </w:tc>
        <w:tc>
          <w:tcPr>
            <w:tcW w:type="dxa" w:w="3384"/>
            <w:shd w:fill="173A50"/>
            <w:tcMar>
              <w:top w:w="90" w:type="dxa"/>
              <w:bottom w:w="90" w:type="dxa"/>
              <w:left w:w="90" w:type="dxa"/>
              <w:right w:w="90" w:type="dxa"/>
            </w:tcMar>
          </w:tcPr>
          <w:p>
            <w:pPr>
              <w:spacing w:after="60" w:before="20"/>
            </w:pPr>
            <w:r>
              <w:rPr>
                <w:b/>
                <w:color w:val="FFFFFF"/>
                <w:sz w:val="19"/>
              </w:rPr>
              <w:t>Hazard and consequence</w:t>
            </w:r>
          </w:p>
        </w:tc>
        <w:tc>
          <w:tcPr>
            <w:tcW w:type="dxa" w:w="4104"/>
            <w:shd w:fill="173A50"/>
            <w:tcMar>
              <w:top w:w="90" w:type="dxa"/>
              <w:bottom w:w="90" w:type="dxa"/>
              <w:left w:w="90" w:type="dxa"/>
              <w:right w:w="90" w:type="dxa"/>
            </w:tcMar>
          </w:tcPr>
          <w:p>
            <w:pPr>
              <w:spacing w:after="60" w:before="20"/>
            </w:pPr>
            <w:r>
              <w:rPr>
                <w:b/>
                <w:color w:val="FFFFFF"/>
                <w:sz w:val="19"/>
              </w:rPr>
              <w:t>Control</w:t>
            </w:r>
          </w:p>
        </w:tc>
        <w:tc>
          <w:tcPr>
            <w:tcW w:type="dxa" w:w="1800"/>
            <w:shd w:fill="173A50"/>
            <w:tcMar>
              <w:top w:w="90" w:type="dxa"/>
              <w:bottom w:w="90" w:type="dxa"/>
              <w:left w:w="90" w:type="dxa"/>
              <w:right w:w="90" w:type="dxa"/>
            </w:tcMar>
          </w:tcPr>
          <w:p>
            <w:pPr>
              <w:spacing w:after="60" w:before="20"/>
            </w:pPr>
            <w:r>
              <w:rPr>
                <w:b/>
                <w:color w:val="FFFFFF"/>
                <w:sz w:val="19"/>
              </w:rPr>
              <w:t>Accountable role</w:t>
            </w:r>
          </w:p>
        </w:tc>
      </w:tr>
      <w:tr>
        <w:trPr>
          <w:cantSplit/>
        </w:trPr>
        <w:tc>
          <w:tcPr>
            <w:tcW w:type="dxa" w:w="792"/>
            <w:shd w:fill="FFFFFF"/>
            <w:tcMar>
              <w:top w:w="90" w:type="dxa"/>
              <w:bottom w:w="90" w:type="dxa"/>
              <w:left w:w="90" w:type="dxa"/>
              <w:right w:w="90" w:type="dxa"/>
            </w:tcMar>
          </w:tcPr>
          <w:p>
            <w:pPr>
              <w:spacing w:after="60" w:before="20"/>
            </w:pPr>
            <w:r>
              <w:rPr>
                <w:b w:val="0"/>
                <w:color w:val="17242D"/>
                <w:sz w:val="19"/>
              </w:rPr>
              <w:t>HZ01</w:t>
            </w:r>
          </w:p>
        </w:tc>
        <w:tc>
          <w:tcPr>
            <w:tcW w:type="dxa" w:w="3384"/>
            <w:shd w:fill="FFFFFF"/>
            <w:tcMar>
              <w:top w:w="90" w:type="dxa"/>
              <w:bottom w:w="90" w:type="dxa"/>
              <w:left w:w="90" w:type="dxa"/>
              <w:right w:w="90" w:type="dxa"/>
            </w:tcMar>
          </w:tcPr>
          <w:p>
            <w:pPr>
              <w:spacing w:after="60" w:before="20"/>
            </w:pPr>
            <w:r>
              <w:rPr>
                <w:b w:val="0"/>
                <w:color w:val="17242D"/>
                <w:sz w:val="19"/>
              </w:rPr>
              <w:t>Record attached to wrong person — Potential incorrect care or disclosure</w:t>
            </w:r>
          </w:p>
        </w:tc>
        <w:tc>
          <w:tcPr>
            <w:tcW w:type="dxa" w:w="4104"/>
            <w:shd w:fill="FFFFFF"/>
            <w:tcMar>
              <w:top w:w="90" w:type="dxa"/>
              <w:bottom w:w="90" w:type="dxa"/>
              <w:left w:w="90" w:type="dxa"/>
              <w:right w:w="90" w:type="dxa"/>
            </w:tcMar>
          </w:tcPr>
          <w:p>
            <w:pPr>
              <w:spacing w:after="60" w:before="20"/>
            </w:pPr>
            <w:r>
              <w:rPr>
                <w:b w:val="0"/>
                <w:color w:val="17242D"/>
                <w:sz w:val="19"/>
              </w:rPr>
              <w:t>Stop ambiguous matching; verify person before capture and every action; steward repairs affected records</w:t>
            </w:r>
          </w:p>
        </w:tc>
        <w:tc>
          <w:tcPr>
            <w:tcW w:type="dxa" w:w="1800"/>
            <w:shd w:fill="FFFFFF"/>
            <w:tcMar>
              <w:top w:w="90" w:type="dxa"/>
              <w:bottom w:w="90" w:type="dxa"/>
              <w:left w:w="90" w:type="dxa"/>
              <w:right w:w="90" w:type="dxa"/>
            </w:tcMar>
          </w:tcPr>
          <w:p>
            <w:pPr>
              <w:spacing w:after="60" w:before="20"/>
            </w:pPr>
            <w:r>
              <w:rPr>
                <w:b w:val="0"/>
                <w:color w:val="17242D"/>
                <w:sz w:val="19"/>
              </w:rPr>
              <w:t>Clinical and identity owners</w:t>
            </w:r>
          </w:p>
        </w:tc>
      </w:tr>
      <w:tr>
        <w:trPr>
          <w:cantSplit/>
        </w:trPr>
        <w:tc>
          <w:tcPr>
            <w:tcW w:type="dxa" w:w="792"/>
            <w:shd w:fill="F2F6F8"/>
            <w:tcMar>
              <w:top w:w="90" w:type="dxa"/>
              <w:bottom w:w="90" w:type="dxa"/>
              <w:left w:w="90" w:type="dxa"/>
              <w:right w:w="90" w:type="dxa"/>
            </w:tcMar>
          </w:tcPr>
          <w:p>
            <w:pPr>
              <w:spacing w:after="60" w:before="20"/>
            </w:pPr>
            <w:r>
              <w:rPr>
                <w:b w:val="0"/>
                <w:color w:val="17242D"/>
                <w:sz w:val="19"/>
              </w:rPr>
              <w:t>HZ02</w:t>
            </w:r>
          </w:p>
        </w:tc>
        <w:tc>
          <w:tcPr>
            <w:tcW w:type="dxa" w:w="3384"/>
            <w:shd w:fill="F2F6F8"/>
            <w:tcMar>
              <w:top w:w="90" w:type="dxa"/>
              <w:bottom w:w="90" w:type="dxa"/>
              <w:left w:w="90" w:type="dxa"/>
              <w:right w:w="90" w:type="dxa"/>
            </w:tcMar>
          </w:tcPr>
          <w:p>
            <w:pPr>
              <w:spacing w:after="60" w:before="20"/>
            </w:pPr>
            <w:r>
              <w:rPr>
                <w:b w:val="0"/>
                <w:color w:val="17242D"/>
                <w:sz w:val="19"/>
              </w:rPr>
              <w:t>Extraction reverses negation or changes number — Potential missed or inappropriate escalation</w:t>
            </w:r>
          </w:p>
        </w:tc>
        <w:tc>
          <w:tcPr>
            <w:tcW w:type="dxa" w:w="4104"/>
            <w:shd w:fill="F2F6F8"/>
            <w:tcMar>
              <w:top w:w="90" w:type="dxa"/>
              <w:bottom w:w="90" w:type="dxa"/>
              <w:left w:w="90" w:type="dxa"/>
              <w:right w:w="90" w:type="dxa"/>
            </w:tcMar>
          </w:tcPr>
          <w:p>
            <w:pPr>
              <w:spacing w:after="60" w:before="20"/>
            </w:pPr>
            <w:r>
              <w:rPr>
                <w:b w:val="0"/>
                <w:color w:val="17242D"/>
                <w:sz w:val="19"/>
              </w:rPr>
              <w:t>Review source spans and critical values; distinguish draft from confirmed; test local languages</w:t>
            </w:r>
          </w:p>
        </w:tc>
        <w:tc>
          <w:tcPr>
            <w:tcW w:type="dxa" w:w="1800"/>
            <w:shd w:fill="F2F6F8"/>
            <w:tcMar>
              <w:top w:w="90" w:type="dxa"/>
              <w:bottom w:w="90" w:type="dxa"/>
              <w:left w:w="90" w:type="dxa"/>
              <w:right w:w="90" w:type="dxa"/>
            </w:tcMar>
          </w:tcPr>
          <w:p>
            <w:pPr>
              <w:spacing w:after="60" w:before="20"/>
            </w:pPr>
            <w:r>
              <w:rPr>
                <w:b w:val="0"/>
                <w:color w:val="17242D"/>
                <w:sz w:val="19"/>
              </w:rPr>
              <w:t>Clinical and language owners</w:t>
            </w:r>
          </w:p>
        </w:tc>
      </w:tr>
      <w:tr>
        <w:trPr>
          <w:cantSplit/>
        </w:trPr>
        <w:tc>
          <w:tcPr>
            <w:tcW w:type="dxa" w:w="792"/>
            <w:shd w:fill="FFFFFF"/>
            <w:tcMar>
              <w:top w:w="90" w:type="dxa"/>
              <w:bottom w:w="90" w:type="dxa"/>
              <w:left w:w="90" w:type="dxa"/>
              <w:right w:w="90" w:type="dxa"/>
            </w:tcMar>
          </w:tcPr>
          <w:p>
            <w:pPr>
              <w:spacing w:after="60" w:before="20"/>
            </w:pPr>
            <w:r>
              <w:rPr>
                <w:b w:val="0"/>
                <w:color w:val="17242D"/>
                <w:sz w:val="19"/>
              </w:rPr>
              <w:t>HZ03</w:t>
            </w:r>
          </w:p>
        </w:tc>
        <w:tc>
          <w:tcPr>
            <w:tcW w:type="dxa" w:w="3384"/>
            <w:shd w:fill="FFFFFF"/>
            <w:tcMar>
              <w:top w:w="90" w:type="dxa"/>
              <w:bottom w:w="90" w:type="dxa"/>
              <w:left w:w="90" w:type="dxa"/>
              <w:right w:w="90" w:type="dxa"/>
            </w:tcMar>
          </w:tcPr>
          <w:p>
            <w:pPr>
              <w:spacing w:after="60" w:before="20"/>
            </w:pPr>
            <w:r>
              <w:rPr>
                <w:b w:val="0"/>
                <w:color w:val="17242D"/>
                <w:sz w:val="19"/>
              </w:rPr>
              <w:t>AI failure interpreted as reassuring result — Potential delayed care</w:t>
            </w:r>
          </w:p>
        </w:tc>
        <w:tc>
          <w:tcPr>
            <w:tcW w:type="dxa" w:w="4104"/>
            <w:shd w:fill="FFFFFF"/>
            <w:tcMar>
              <w:top w:w="90" w:type="dxa"/>
              <w:bottom w:w="90" w:type="dxa"/>
              <w:left w:w="90" w:type="dxa"/>
              <w:right w:w="90" w:type="dxa"/>
            </w:tcMar>
          </w:tcPr>
          <w:p>
            <w:pPr>
              <w:spacing w:after="60" w:before="20"/>
            </w:pPr>
            <w:r>
              <w:rPr>
                <w:b w:val="0"/>
                <w:color w:val="17242D"/>
                <w:sz w:val="19"/>
              </w:rPr>
              <w:t>Distinct unable-to-assess and transport states; approved pathway continues without AI</w:t>
            </w:r>
          </w:p>
        </w:tc>
        <w:tc>
          <w:tcPr>
            <w:tcW w:type="dxa" w:w="1800"/>
            <w:shd w:fill="FFFFFF"/>
            <w:tcMar>
              <w:top w:w="90" w:type="dxa"/>
              <w:bottom w:w="90" w:type="dxa"/>
              <w:left w:w="90" w:type="dxa"/>
              <w:right w:w="90" w:type="dxa"/>
            </w:tcMar>
          </w:tcPr>
          <w:p>
            <w:pPr>
              <w:spacing w:after="60" w:before="20"/>
            </w:pPr>
            <w:r>
              <w:rPr>
                <w:b w:val="0"/>
                <w:color w:val="17242D"/>
                <w:sz w:val="19"/>
              </w:rPr>
              <w:t>Clinical safety</w:t>
            </w:r>
          </w:p>
        </w:tc>
      </w:tr>
      <w:tr>
        <w:trPr>
          <w:cantSplit/>
        </w:trPr>
        <w:tc>
          <w:tcPr>
            <w:tcW w:type="dxa" w:w="792"/>
            <w:shd w:fill="F2F6F8"/>
            <w:tcMar>
              <w:top w:w="90" w:type="dxa"/>
              <w:bottom w:w="90" w:type="dxa"/>
              <w:left w:w="90" w:type="dxa"/>
              <w:right w:w="90" w:type="dxa"/>
            </w:tcMar>
          </w:tcPr>
          <w:p>
            <w:pPr>
              <w:spacing w:after="60" w:before="20"/>
            </w:pPr>
            <w:r>
              <w:rPr>
                <w:b w:val="0"/>
                <w:color w:val="17242D"/>
                <w:sz w:val="19"/>
              </w:rPr>
              <w:t>HZ04</w:t>
            </w:r>
          </w:p>
        </w:tc>
        <w:tc>
          <w:tcPr>
            <w:tcW w:type="dxa" w:w="3384"/>
            <w:shd w:fill="F2F6F8"/>
            <w:tcMar>
              <w:top w:w="90" w:type="dxa"/>
              <w:bottom w:w="90" w:type="dxa"/>
              <w:left w:w="90" w:type="dxa"/>
              <w:right w:w="90" w:type="dxa"/>
            </w:tcMar>
          </w:tcPr>
          <w:p>
            <w:pPr>
              <w:spacing w:after="60" w:before="20"/>
            </w:pPr>
            <w:r>
              <w:rPr>
                <w:b w:val="0"/>
                <w:color w:val="17242D"/>
                <w:sz w:val="19"/>
              </w:rPr>
              <w:t>Model used outside intended population — Unreliable guidance</w:t>
            </w:r>
          </w:p>
        </w:tc>
        <w:tc>
          <w:tcPr>
            <w:tcW w:type="dxa" w:w="4104"/>
            <w:shd w:fill="F2F6F8"/>
            <w:tcMar>
              <w:top w:w="90" w:type="dxa"/>
              <w:bottom w:w="90" w:type="dxa"/>
              <w:left w:w="90" w:type="dxa"/>
              <w:right w:w="90" w:type="dxa"/>
            </w:tcMar>
          </w:tcPr>
          <w:p>
            <w:pPr>
              <w:spacing w:after="60" w:before="20"/>
            </w:pPr>
            <w:r>
              <w:rPr>
                <w:b w:val="0"/>
                <w:color w:val="17242D"/>
                <w:sz w:val="19"/>
              </w:rPr>
              <w:t>Manifest eligibility, quality checks and deployment scope; reject unknown eligibility</w:t>
            </w:r>
          </w:p>
        </w:tc>
        <w:tc>
          <w:tcPr>
            <w:tcW w:type="dxa" w:w="1800"/>
            <w:shd w:fill="F2F6F8"/>
            <w:tcMar>
              <w:top w:w="90" w:type="dxa"/>
              <w:bottom w:w="90" w:type="dxa"/>
              <w:left w:w="90" w:type="dxa"/>
              <w:right w:w="90" w:type="dxa"/>
            </w:tcMar>
          </w:tcPr>
          <w:p>
            <w:pPr>
              <w:spacing w:after="60" w:before="20"/>
            </w:pPr>
            <w:r>
              <w:rPr>
                <w:b w:val="0"/>
                <w:color w:val="17242D"/>
                <w:sz w:val="19"/>
              </w:rPr>
              <w:t>AI governance</w:t>
            </w:r>
          </w:p>
        </w:tc>
      </w:tr>
      <w:tr>
        <w:trPr>
          <w:cantSplit/>
        </w:trPr>
        <w:tc>
          <w:tcPr>
            <w:tcW w:type="dxa" w:w="792"/>
            <w:shd w:fill="FFFFFF"/>
            <w:tcMar>
              <w:top w:w="90" w:type="dxa"/>
              <w:bottom w:w="90" w:type="dxa"/>
              <w:left w:w="90" w:type="dxa"/>
              <w:right w:w="90" w:type="dxa"/>
            </w:tcMar>
          </w:tcPr>
          <w:p>
            <w:pPr>
              <w:spacing w:after="60" w:before="20"/>
            </w:pPr>
            <w:r>
              <w:rPr>
                <w:b w:val="0"/>
                <w:color w:val="17242D"/>
                <w:sz w:val="19"/>
              </w:rPr>
              <w:t>HZ05</w:t>
            </w:r>
          </w:p>
        </w:tc>
        <w:tc>
          <w:tcPr>
            <w:tcW w:type="dxa" w:w="3384"/>
            <w:shd w:fill="FFFFFF"/>
            <w:tcMar>
              <w:top w:w="90" w:type="dxa"/>
              <w:bottom w:w="90" w:type="dxa"/>
              <w:left w:w="90" w:type="dxa"/>
              <w:right w:w="90" w:type="dxa"/>
            </w:tcMar>
          </w:tcPr>
          <w:p>
            <w:pPr>
              <w:spacing w:after="60" w:before="20"/>
            </w:pPr>
            <w:r>
              <w:rPr>
                <w:b w:val="0"/>
                <w:color w:val="17242D"/>
                <w:sz w:val="19"/>
              </w:rPr>
              <w:t>Multiple AI outputs combined without evidence — Misleading composite recommendation</w:t>
            </w:r>
          </w:p>
        </w:tc>
        <w:tc>
          <w:tcPr>
            <w:tcW w:type="dxa" w:w="4104"/>
            <w:shd w:fill="FFFFFF"/>
            <w:tcMar>
              <w:top w:w="90" w:type="dxa"/>
              <w:bottom w:w="90" w:type="dxa"/>
              <w:left w:w="90" w:type="dxa"/>
              <w:right w:w="90" w:type="dxa"/>
            </w:tcMar>
          </w:tcPr>
          <w:p>
            <w:pPr>
              <w:spacing w:after="60" w:before="20"/>
            </w:pPr>
            <w:r>
              <w:rPr>
                <w:b w:val="0"/>
                <w:color w:val="17242D"/>
                <w:sz w:val="19"/>
              </w:rPr>
              <w:t>Preserve independent outputs; human review of conflict; approve composition separately</w:t>
            </w:r>
          </w:p>
        </w:tc>
        <w:tc>
          <w:tcPr>
            <w:tcW w:type="dxa" w:w="1800"/>
            <w:shd w:fill="FFFFFF"/>
            <w:tcMar>
              <w:top w:w="90" w:type="dxa"/>
              <w:bottom w:w="90" w:type="dxa"/>
              <w:left w:w="90" w:type="dxa"/>
              <w:right w:w="90" w:type="dxa"/>
            </w:tcMar>
          </w:tcPr>
          <w:p>
            <w:pPr>
              <w:spacing w:after="60" w:before="20"/>
            </w:pPr>
            <w:r>
              <w:rPr>
                <w:b w:val="0"/>
                <w:color w:val="17242D"/>
                <w:sz w:val="19"/>
              </w:rPr>
              <w:t>Clinical safety</w:t>
            </w:r>
          </w:p>
        </w:tc>
      </w:tr>
      <w:tr>
        <w:trPr>
          <w:cantSplit/>
        </w:trPr>
        <w:tc>
          <w:tcPr>
            <w:tcW w:type="dxa" w:w="792"/>
            <w:shd w:fill="F2F6F8"/>
            <w:tcMar>
              <w:top w:w="90" w:type="dxa"/>
              <w:bottom w:w="90" w:type="dxa"/>
              <w:left w:w="90" w:type="dxa"/>
              <w:right w:w="90" w:type="dxa"/>
            </w:tcMar>
          </w:tcPr>
          <w:p>
            <w:pPr>
              <w:spacing w:after="60" w:before="20"/>
            </w:pPr>
            <w:r>
              <w:rPr>
                <w:b w:val="0"/>
                <w:color w:val="17242D"/>
                <w:sz w:val="19"/>
              </w:rPr>
              <w:t>HZ06</w:t>
            </w:r>
          </w:p>
        </w:tc>
        <w:tc>
          <w:tcPr>
            <w:tcW w:type="dxa" w:w="3384"/>
            <w:shd w:fill="F2F6F8"/>
            <w:tcMar>
              <w:top w:w="90" w:type="dxa"/>
              <w:bottom w:w="90" w:type="dxa"/>
              <w:left w:w="90" w:type="dxa"/>
              <w:right w:w="90" w:type="dxa"/>
            </w:tcMar>
          </w:tcPr>
          <w:p>
            <w:pPr>
              <w:spacing w:after="60" w:before="20"/>
            </w:pPr>
            <w:r>
              <w:rPr>
                <w:b w:val="0"/>
                <w:color w:val="17242D"/>
                <w:sz w:val="19"/>
              </w:rPr>
              <w:t>Stale fact reused after clinical change — Wrong next action</w:t>
            </w:r>
          </w:p>
        </w:tc>
        <w:tc>
          <w:tcPr>
            <w:tcW w:type="dxa" w:w="4104"/>
            <w:shd w:fill="F2F6F8"/>
            <w:tcMar>
              <w:top w:w="90" w:type="dxa"/>
              <w:bottom w:w="90" w:type="dxa"/>
              <w:left w:w="90" w:type="dxa"/>
              <w:right w:w="90" w:type="dxa"/>
            </w:tcMar>
          </w:tcPr>
          <w:p>
            <w:pPr>
              <w:spacing w:after="60" w:before="20"/>
            </w:pPr>
            <w:r>
              <w:rPr>
                <w:b w:val="0"/>
                <w:color w:val="17242D"/>
                <w:sz w:val="19"/>
              </w:rPr>
              <w:t>Time and episode rules; provenance; invalidation after correction</w:t>
            </w:r>
          </w:p>
        </w:tc>
        <w:tc>
          <w:tcPr>
            <w:tcW w:type="dxa" w:w="1800"/>
            <w:shd w:fill="F2F6F8"/>
            <w:tcMar>
              <w:top w:w="90" w:type="dxa"/>
              <w:bottom w:w="90" w:type="dxa"/>
              <w:left w:w="90" w:type="dxa"/>
              <w:right w:w="90" w:type="dxa"/>
            </w:tcMar>
          </w:tcPr>
          <w:p>
            <w:pPr>
              <w:spacing w:after="60" w:before="20"/>
            </w:pPr>
            <w:r>
              <w:rPr>
                <w:b w:val="0"/>
                <w:color w:val="17242D"/>
                <w:sz w:val="19"/>
              </w:rPr>
              <w:t>Programme clinical owner</w:t>
            </w:r>
          </w:p>
        </w:tc>
      </w:tr>
      <w:tr>
        <w:trPr>
          <w:cantSplit/>
        </w:trPr>
        <w:tc>
          <w:tcPr>
            <w:tcW w:type="dxa" w:w="792"/>
            <w:shd w:fill="FFFFFF"/>
            <w:tcMar>
              <w:top w:w="90" w:type="dxa"/>
              <w:bottom w:w="90" w:type="dxa"/>
              <w:left w:w="90" w:type="dxa"/>
              <w:right w:w="90" w:type="dxa"/>
            </w:tcMar>
          </w:tcPr>
          <w:p>
            <w:pPr>
              <w:spacing w:after="60" w:before="20"/>
            </w:pPr>
            <w:r>
              <w:rPr>
                <w:b w:val="0"/>
                <w:color w:val="17242D"/>
                <w:sz w:val="19"/>
              </w:rPr>
              <w:t>HZ07</w:t>
            </w:r>
          </w:p>
        </w:tc>
        <w:tc>
          <w:tcPr>
            <w:tcW w:type="dxa" w:w="3384"/>
            <w:shd w:fill="FFFFFF"/>
            <w:tcMar>
              <w:top w:w="90" w:type="dxa"/>
              <w:bottom w:w="90" w:type="dxa"/>
              <w:left w:w="90" w:type="dxa"/>
              <w:right w:w="90" w:type="dxa"/>
            </w:tcMar>
          </w:tcPr>
          <w:p>
            <w:pPr>
              <w:spacing w:after="60" w:before="20"/>
            </w:pPr>
            <w:r>
              <w:rPr>
                <w:b w:val="0"/>
                <w:color w:val="17242D"/>
                <w:sz w:val="19"/>
              </w:rPr>
              <w:t>Urgent care blocked by software or connectivity — Delayed escalation</w:t>
            </w:r>
          </w:p>
        </w:tc>
        <w:tc>
          <w:tcPr>
            <w:tcW w:type="dxa" w:w="4104"/>
            <w:shd w:fill="FFFFFF"/>
            <w:tcMar>
              <w:top w:w="90" w:type="dxa"/>
              <w:bottom w:w="90" w:type="dxa"/>
              <w:left w:w="90" w:type="dxa"/>
              <w:right w:w="90" w:type="dxa"/>
            </w:tcMar>
          </w:tcPr>
          <w:p>
            <w:pPr>
              <w:spacing w:after="60" w:before="20"/>
            </w:pPr>
            <w:r>
              <w:rPr>
                <w:b w:val="0"/>
                <w:color w:val="17242D"/>
                <w:sz w:val="19"/>
              </w:rPr>
              <w:t>Locally approved offline protocol and human contact route; forms cannot gate urgent action</w:t>
            </w:r>
          </w:p>
        </w:tc>
        <w:tc>
          <w:tcPr>
            <w:tcW w:type="dxa" w:w="1800"/>
            <w:shd w:fill="FFFFFF"/>
            <w:tcMar>
              <w:top w:w="90" w:type="dxa"/>
              <w:bottom w:w="90" w:type="dxa"/>
              <w:left w:w="90" w:type="dxa"/>
              <w:right w:w="90" w:type="dxa"/>
            </w:tcMar>
          </w:tcPr>
          <w:p>
            <w:pPr>
              <w:spacing w:after="60" w:before="20"/>
            </w:pPr>
            <w:r>
              <w:rPr>
                <w:b w:val="0"/>
                <w:color w:val="17242D"/>
                <w:sz w:val="19"/>
              </w:rPr>
              <w:t>Deployment clinical owner</w:t>
            </w:r>
          </w:p>
        </w:tc>
      </w:tr>
      <w:tr>
        <w:trPr>
          <w:cantSplit/>
        </w:trPr>
        <w:tc>
          <w:tcPr>
            <w:tcW w:type="dxa" w:w="792"/>
            <w:shd w:fill="F2F6F8"/>
            <w:tcMar>
              <w:top w:w="90" w:type="dxa"/>
              <w:bottom w:w="90" w:type="dxa"/>
              <w:left w:w="90" w:type="dxa"/>
              <w:right w:w="90" w:type="dxa"/>
            </w:tcMar>
          </w:tcPr>
          <w:p>
            <w:pPr>
              <w:spacing w:after="60" w:before="20"/>
            </w:pPr>
            <w:r>
              <w:rPr>
                <w:b w:val="0"/>
                <w:color w:val="17242D"/>
                <w:sz w:val="19"/>
              </w:rPr>
              <w:t>HZ08</w:t>
            </w:r>
          </w:p>
        </w:tc>
        <w:tc>
          <w:tcPr>
            <w:tcW w:type="dxa" w:w="3384"/>
            <w:shd w:fill="F2F6F8"/>
            <w:tcMar>
              <w:top w:w="90" w:type="dxa"/>
              <w:bottom w:w="90" w:type="dxa"/>
              <w:left w:w="90" w:type="dxa"/>
              <w:right w:w="90" w:type="dxa"/>
            </w:tcMar>
          </w:tcPr>
          <w:p>
            <w:pPr>
              <w:spacing w:after="60" w:before="20"/>
            </w:pPr>
            <w:r>
              <w:rPr>
                <w:b w:val="0"/>
                <w:color w:val="17242D"/>
                <w:sz w:val="19"/>
              </w:rPr>
              <w:t>Referral marked complete on message delivery — Missed care hidden from follow-up</w:t>
            </w:r>
          </w:p>
        </w:tc>
        <w:tc>
          <w:tcPr>
            <w:tcW w:type="dxa" w:w="4104"/>
            <w:shd w:fill="F2F6F8"/>
            <w:tcMar>
              <w:top w:w="90" w:type="dxa"/>
              <w:bottom w:w="90" w:type="dxa"/>
              <w:left w:w="90" w:type="dxa"/>
              <w:right w:w="90" w:type="dxa"/>
            </w:tcMar>
          </w:tcPr>
          <w:p>
            <w:pPr>
              <w:spacing w:after="60" w:before="20"/>
            </w:pPr>
            <w:r>
              <w:rPr>
                <w:b w:val="0"/>
                <w:color w:val="17242D"/>
                <w:sz w:val="19"/>
              </w:rPr>
              <w:t>Separate receipt, attendance and outcome; verified completion evidence</w:t>
            </w:r>
          </w:p>
        </w:tc>
        <w:tc>
          <w:tcPr>
            <w:tcW w:type="dxa" w:w="1800"/>
            <w:shd w:fill="F2F6F8"/>
            <w:tcMar>
              <w:top w:w="90" w:type="dxa"/>
              <w:bottom w:w="90" w:type="dxa"/>
              <w:left w:w="90" w:type="dxa"/>
              <w:right w:w="90" w:type="dxa"/>
            </w:tcMar>
          </w:tcPr>
          <w:p>
            <w:pPr>
              <w:spacing w:after="60" w:before="20"/>
            </w:pPr>
            <w:r>
              <w:rPr>
                <w:b w:val="0"/>
                <w:color w:val="17242D"/>
                <w:sz w:val="19"/>
              </w:rPr>
              <w:t>Care network owner</w:t>
            </w:r>
          </w:p>
        </w:tc>
      </w:tr>
      <w:tr>
        <w:trPr>
          <w:cantSplit/>
        </w:trPr>
        <w:tc>
          <w:tcPr>
            <w:tcW w:type="dxa" w:w="792"/>
            <w:shd w:fill="FFFFFF"/>
            <w:tcMar>
              <w:top w:w="90" w:type="dxa"/>
              <w:bottom w:w="90" w:type="dxa"/>
              <w:left w:w="90" w:type="dxa"/>
              <w:right w:w="90" w:type="dxa"/>
            </w:tcMar>
          </w:tcPr>
          <w:p>
            <w:pPr>
              <w:spacing w:after="60" w:before="20"/>
            </w:pPr>
            <w:r>
              <w:rPr>
                <w:b w:val="0"/>
                <w:color w:val="17242D"/>
                <w:sz w:val="19"/>
              </w:rPr>
              <w:t>HZ09</w:t>
            </w:r>
          </w:p>
        </w:tc>
        <w:tc>
          <w:tcPr>
            <w:tcW w:type="dxa" w:w="3384"/>
            <w:shd w:fill="FFFFFF"/>
            <w:tcMar>
              <w:top w:w="90" w:type="dxa"/>
              <w:bottom w:w="90" w:type="dxa"/>
              <w:left w:w="90" w:type="dxa"/>
              <w:right w:w="90" w:type="dxa"/>
            </w:tcMar>
          </w:tcPr>
          <w:p>
            <w:pPr>
              <w:spacing w:after="60" w:before="20"/>
            </w:pPr>
            <w:r>
              <w:rPr>
                <w:b w:val="0"/>
                <w:color w:val="17242D"/>
                <w:sz w:val="19"/>
              </w:rPr>
              <w:t>Duplicate accepted programme or EHR action — Contradictory or repeated downstream work</w:t>
            </w:r>
          </w:p>
        </w:tc>
        <w:tc>
          <w:tcPr>
            <w:tcW w:type="dxa" w:w="4104"/>
            <w:shd w:fill="FFFFFF"/>
            <w:tcMar>
              <w:top w:w="90" w:type="dxa"/>
              <w:bottom w:w="90" w:type="dxa"/>
              <w:left w:w="90" w:type="dxa"/>
              <w:right w:w="90" w:type="dxa"/>
            </w:tcMar>
          </w:tcPr>
          <w:p>
            <w:pPr>
              <w:spacing w:after="60" w:before="20"/>
            </w:pPr>
            <w:r>
              <w:rPr>
                <w:b w:val="0"/>
                <w:color w:val="17242D"/>
                <w:sz w:val="19"/>
              </w:rPr>
              <w:t>Stable logical identity and uncertain-write reconciliation</w:t>
            </w:r>
          </w:p>
        </w:tc>
        <w:tc>
          <w:tcPr>
            <w:tcW w:type="dxa" w:w="1800"/>
            <w:shd w:fill="FFFFFF"/>
            <w:tcMar>
              <w:top w:w="90" w:type="dxa"/>
              <w:bottom w:w="90" w:type="dxa"/>
              <w:left w:w="90" w:type="dxa"/>
              <w:right w:w="90" w:type="dxa"/>
            </w:tcMar>
          </w:tcPr>
          <w:p>
            <w:pPr>
              <w:spacing w:after="60" w:before="20"/>
            </w:pPr>
            <w:r>
              <w:rPr>
                <w:b w:val="0"/>
                <w:color w:val="17242D"/>
                <w:sz w:val="19"/>
              </w:rPr>
              <w:t>Integration owner</w:t>
            </w:r>
          </w:p>
        </w:tc>
      </w:tr>
      <w:tr>
        <w:trPr>
          <w:cantSplit/>
        </w:trPr>
        <w:tc>
          <w:tcPr>
            <w:tcW w:type="dxa" w:w="792"/>
            <w:shd w:fill="F2F6F8"/>
            <w:tcMar>
              <w:top w:w="90" w:type="dxa"/>
              <w:bottom w:w="90" w:type="dxa"/>
              <w:left w:w="90" w:type="dxa"/>
              <w:right w:w="90" w:type="dxa"/>
            </w:tcMar>
          </w:tcPr>
          <w:p>
            <w:pPr>
              <w:spacing w:after="60" w:before="20"/>
            </w:pPr>
            <w:r>
              <w:rPr>
                <w:b w:val="0"/>
                <w:color w:val="17242D"/>
                <w:sz w:val="19"/>
              </w:rPr>
              <w:t>HZ10</w:t>
            </w:r>
          </w:p>
        </w:tc>
        <w:tc>
          <w:tcPr>
            <w:tcW w:type="dxa" w:w="3384"/>
            <w:shd w:fill="F2F6F8"/>
            <w:tcMar>
              <w:top w:w="90" w:type="dxa"/>
              <w:bottom w:w="90" w:type="dxa"/>
              <w:left w:w="90" w:type="dxa"/>
              <w:right w:w="90" w:type="dxa"/>
            </w:tcMar>
          </w:tcPr>
          <w:p>
            <w:pPr>
              <w:spacing w:after="60" w:before="20"/>
            </w:pPr>
            <w:r>
              <w:rPr>
                <w:b w:val="0"/>
                <w:color w:val="17242D"/>
                <w:sz w:val="19"/>
              </w:rPr>
              <w:t>Outdated protocol or hidden provider release — Invalid guidance</w:t>
            </w:r>
          </w:p>
        </w:tc>
        <w:tc>
          <w:tcPr>
            <w:tcW w:type="dxa" w:w="4104"/>
            <w:shd w:fill="F2F6F8"/>
            <w:tcMar>
              <w:top w:w="90" w:type="dxa"/>
              <w:bottom w:w="90" w:type="dxa"/>
              <w:left w:w="90" w:type="dxa"/>
              <w:right w:w="90" w:type="dxa"/>
            </w:tcMar>
          </w:tcPr>
          <w:p>
            <w:pPr>
              <w:spacing w:after="60" w:before="20"/>
            </w:pPr>
            <w:r>
              <w:rPr>
                <w:b w:val="0"/>
                <w:color w:val="17242D"/>
                <w:sz w:val="19"/>
              </w:rPr>
              <w:t>Versioned pack and model; impact assessment; controlled activation and rollback</w:t>
            </w:r>
          </w:p>
        </w:tc>
        <w:tc>
          <w:tcPr>
            <w:tcW w:type="dxa" w:w="1800"/>
            <w:shd w:fill="F2F6F8"/>
            <w:tcMar>
              <w:top w:w="90" w:type="dxa"/>
              <w:bottom w:w="90" w:type="dxa"/>
              <w:left w:w="90" w:type="dxa"/>
              <w:right w:w="90" w:type="dxa"/>
            </w:tcMar>
          </w:tcPr>
          <w:p>
            <w:pPr>
              <w:spacing w:after="60" w:before="20"/>
            </w:pPr>
            <w:r>
              <w:rPr>
                <w:b w:val="0"/>
                <w:color w:val="17242D"/>
                <w:sz w:val="19"/>
              </w:rPr>
              <w:t>Programme and AI owners</w:t>
            </w:r>
          </w:p>
        </w:tc>
      </w:tr>
    </w:tbl>
    <w:p>
      <w:pPr>
        <w:spacing w:after="20"/>
      </w:pPr>
    </w:p>
    <w:p>
      <w:r>
        <w:t>The register identifies potential severity; likelihood and residual risk require deployment evidence and qualified review. Assign detection, containment and follow-up owners before activation. No clinical performance threshold, referral cutoff or patient advice is invented by these documents. All such values come from approved programme protocols and capability evidence.</w:t>
      </w:r>
    </w:p>
    <w:p>
      <w:pPr>
        <w:pStyle w:val="Heading1"/>
      </w:pPr>
      <w:r>
        <w:t>Safety lifecycle and incident response</w:t>
      </w:r>
    </w:p>
    <w:p>
      <w:r>
        <w:t>1. Before activation, assess intended use, user competence, clinical pathway, input quality, population, failure modes and human factors. Record approved limitations and escalation instructions.</w:t>
      </w:r>
    </w:p>
    <w:p>
      <w:r>
        <w:t>2. Monitor unable-to-assess rates, workflow overrides, missing follow-up, safety complaints and model version changes. Investigate outcome differences without assuming causality from aggregate usage.</w:t>
      </w:r>
    </w:p>
    <w:p>
      <w:r>
        <w:t>3. For suspected serious harm, preserve evidence, provide the existing clinical escalation route, suspend affected optional automation and identify exposed records. Do not hide uncertainty or erase accepted actions.</w:t>
      </w:r>
    </w:p>
    <w:p>
      <w:r>
        <w:t>4. Separate care response from technical investigation. Notify responsible organisational and clinical owners through the approved incident plan and applicable obligations.</w:t>
      </w:r>
    </w:p>
    <w:p>
      <w:r>
        <w:t>5. Release a fix only after regression, affected-case disposition, communication and independent closure approval. Preserve the incident and residual-risk decision in the release evidence.</w:t>
      </w:r>
    </w:p>
    <w:p>
      <w:pPr>
        <w:pStyle w:val="Heading1"/>
      </w:pPr>
      <w:r>
        <w:t>Privacy and consent change</w:t>
      </w:r>
    </w:p>
    <w:p>
      <w:r>
        <w:t>Revocation stops new optional disclosure and cancels queued work that no longer has a valid basis. In-flight transmissions may already have reached a recipient; record actual state and use the agreed recipient process. Revocation does not imply automatic deletion of all historical clinical records. Retention, correction, access requests and holds follow the approved custody policy and applicable obligations.</w:t>
      </w:r>
    </w:p>
    <w:p>
      <w:pPr>
        <w:pStyle w:val="Heading1"/>
      </w:pPr>
      <w:r>
        <w:t>Required approval evidence</w:t>
      </w:r>
    </w:p>
    <w:p>
      <w:r>
        <w:t>G3 requires provider and workflow clinical evidence; G4 requires security, isolation, offline custody, backup and incident evidence; G2 requires owner-authorised integrations and the selected ABDM scope. Record named approvers, document versions, unresolved limitations and expiry or review dates. A successful technical test never substitutes for clinical or data-use approval.</w:t>
      </w:r>
    </w:p>
    <w:p>
      <w:pPr>
        <w:pStyle w:val="Heading1"/>
      </w:pPr>
      <w:r>
        <w:t>Sources and related artefacts</w:t>
      </w:r>
    </w:p>
    <w:p>
      <w:r>
        <w:rPr>
          <w:b/>
        </w:rPr>
        <w:t xml:space="preserve">S01 BRD v1.1 </w:t>
      </w:r>
      <w:r>
        <w:t>Health-AI-Orchestration-Platform-BRD-v1.1.docx — Product source of authority; 176 requirements and 12 journeys</w:t>
      </w:r>
    </w:p>
    <w:p>
      <w:r>
        <w:rPr>
          <w:b/>
        </w:rPr>
        <w:t xml:space="preserve">S02 NRCeS ABDM FHIR guide </w:t>
      </w:r>
      <w:r>
        <w:t>https://nrces.in/ndhm/fhir/r4/ — Published guide retrieved 26 September 2026 shows version 6.5.0 on FHIR R4; pin deployment package at onboarding</w:t>
      </w:r>
    </w:p>
    <w:p>
      <w:r>
        <w:rPr>
          <w:b/>
        </w:rPr>
        <w:t xml:space="preserve">S05 ABDM Sandbox </w:t>
      </w:r>
      <w:r>
        <w:t>https://sandbox.abdm.gov.in/ — External onboarding dependency; actual API and callback versions require official account-specific confirmation</w:t>
      </w:r>
    </w:p>
    <w:p>
      <w:r>
        <w:t>Companion workbook: Health-AI-Delivery-Control-Workbook-v1.0.xlsx. Machine-readable contracts and reference checks: engineering folder. Requirements and test IDs are stable across the pack. Open decisions remain in the Decisions sheet; no document changes their approval status.</w:t>
      </w:r>
    </w:p>
    <w:sectPr w:rsidR="00FC693F" w:rsidRPr="0006063C" w:rsidSect="00034616">
      <w:headerReference w:type="default" r:id="rId9"/>
      <w:footerReference w:type="default" r:id="rId10"/>
      <w:pgSz w:w="12240" w:h="15840"/>
      <w:pgMar w:top="979"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HAO 06  |  v1.0  |  Proposed baseline</w:t>
    </w:r>
    <w:r>
      <w:rPr>
        <w:sz w:val="16"/>
      </w:rPr>
      <w:t xml:space="preserve">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36D"/>
        <w:sz w:val="16"/>
      </w:rPr>
      <w:t>HEALTH AI ORCHESTRATION PLATFORM  /  SPECIFICATION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Privacy and Clinical Safety</dc:title>
  <dc:subject>Health AI Orchestration Platform</dc:subject>
  <dc:creator>Product and engineering working draft</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