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Implementation Plan</w:t>
      </w:r>
    </w:p>
    <w:p>
      <w:r>
        <w:t>Dependency-based work packages and a traceable backlog for moving from specification to an authorised pilot.</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3024"/>
        <w:gridCol w:w="3888"/>
        <w:gridCol w:w="3168"/>
      </w:tblGrid>
      <w:tr>
        <w:trPr>
          <w:tblHeader/>
          <w:cantSplit/>
        </w:trPr>
        <w:tc>
          <w:tcPr>
            <w:tcW w:type="dxa" w:w="3024"/>
            <w:shd w:fill="173A50"/>
            <w:tcMar>
              <w:top w:w="90" w:type="dxa"/>
              <w:bottom w:w="90" w:type="dxa"/>
              <w:left w:w="90" w:type="dxa"/>
              <w:right w:w="90" w:type="dxa"/>
            </w:tcMar>
          </w:tcPr>
          <w:p>
            <w:pPr>
              <w:spacing w:after="60" w:before="20"/>
            </w:pPr>
            <w:r>
              <w:rPr>
                <w:b/>
                <w:color w:val="FFFFFF"/>
                <w:sz w:val="19"/>
              </w:rPr>
              <w:t>Document</w:t>
            </w:r>
          </w:p>
        </w:tc>
        <w:tc>
          <w:tcPr>
            <w:tcW w:type="dxa" w:w="3888"/>
            <w:shd w:fill="173A50"/>
            <w:tcMar>
              <w:top w:w="90" w:type="dxa"/>
              <w:bottom w:w="90" w:type="dxa"/>
              <w:left w:w="90" w:type="dxa"/>
              <w:right w:w="90" w:type="dxa"/>
            </w:tcMar>
          </w:tcPr>
          <w:p>
            <w:pPr>
              <w:spacing w:after="60" w:before="20"/>
            </w:pPr>
            <w:r>
              <w:rPr>
                <w:b/>
                <w:color w:val="FFFFFF"/>
                <w:sz w:val="19"/>
              </w:rPr>
              <w:t>Baseline</w:t>
            </w:r>
          </w:p>
        </w:tc>
        <w:tc>
          <w:tcPr>
            <w:tcW w:type="dxa" w:w="3168"/>
            <w:shd w:fill="173A50"/>
            <w:tcMar>
              <w:top w:w="90" w:type="dxa"/>
              <w:bottom w:w="90" w:type="dxa"/>
              <w:left w:w="90" w:type="dxa"/>
              <w:right w:w="90" w:type="dxa"/>
            </w:tcMar>
          </w:tcPr>
          <w:p>
            <w:pPr>
              <w:spacing w:after="60" w:before="20"/>
            </w:pPr>
            <w:r>
              <w:rPr>
                <w:b/>
                <w:color w:val="FFFFFF"/>
                <w:sz w:val="19"/>
              </w:rPr>
              <w:t>Status</w:t>
            </w:r>
          </w:p>
        </w:tc>
      </w:tr>
      <w:tr>
        <w:trPr>
          <w:cantSplit/>
        </w:trPr>
        <w:tc>
          <w:tcPr>
            <w:tcW w:type="dxa" w:w="3024"/>
            <w:shd w:fill="FFFFFF"/>
            <w:tcMar>
              <w:top w:w="90" w:type="dxa"/>
              <w:bottom w:w="90" w:type="dxa"/>
              <w:left w:w="90" w:type="dxa"/>
              <w:right w:w="90" w:type="dxa"/>
            </w:tcMar>
          </w:tcPr>
          <w:p>
            <w:pPr>
              <w:spacing w:after="60" w:before="20"/>
            </w:pPr>
            <w:r>
              <w:rPr>
                <w:b w:val="0"/>
                <w:color w:val="17242D"/>
                <w:sz w:val="19"/>
              </w:rPr>
              <w:t>HAO 08 · Version 1.0</w:t>
            </w:r>
          </w:p>
        </w:tc>
        <w:tc>
          <w:tcPr>
            <w:tcW w:type="dxa" w:w="3888"/>
            <w:shd w:fill="FFFFFF"/>
            <w:tcMar>
              <w:top w:w="90" w:type="dxa"/>
              <w:bottom w:w="90" w:type="dxa"/>
              <w:left w:w="90" w:type="dxa"/>
              <w:right w:w="90" w:type="dxa"/>
            </w:tcMar>
          </w:tcPr>
          <w:p>
            <w:pPr>
              <w:spacing w:after="60" w:before="20"/>
            </w:pPr>
            <w:r>
              <w:rPr>
                <w:b w:val="0"/>
                <w:color w:val="17242D"/>
                <w:sz w:val="19"/>
              </w:rPr>
              <w:t>BRD v1.1 · 26 September 2026</w:t>
            </w:r>
          </w:p>
        </w:tc>
        <w:tc>
          <w:tcPr>
            <w:tcW w:type="dxa" w:w="3168"/>
            <w:shd w:fill="FFFFFF"/>
            <w:tcMar>
              <w:top w:w="90" w:type="dxa"/>
              <w:bottom w:w="90" w:type="dxa"/>
              <w:left w:w="90" w:type="dxa"/>
              <w:right w:w="90" w:type="dxa"/>
            </w:tcMar>
          </w:tcPr>
          <w:p>
            <w:pPr>
              <w:spacing w:after="60" w:before="20"/>
            </w:pPr>
            <w:r>
              <w:rPr>
                <w:b w:val="0"/>
                <w:color w:val="17242D"/>
                <w:sz w:val="19"/>
              </w:rPr>
              <w:t>Proposed for review</w:t>
            </w:r>
          </w:p>
        </w:tc>
      </w:tr>
    </w:tbl>
    <w:p>
      <w:pPr>
        <w:spacing w:after="20"/>
      </w:pPr>
    </w:p>
    <w:p>
      <w:r>
        <w:t>This document expands the existing BRD. Source requirements retain their priority and release labels. Architecture choices are proposals until the named owners accept them. Specified behaviour, implemented behaviour and executed evidence are separate statuses.</w:t>
      </w:r>
    </w:p>
    <w:p>
      <w:pPr>
        <w:pStyle w:val="Heading1"/>
      </w:pPr>
      <w:r>
        <w:t>Delivery basis</w:t>
      </w:r>
    </w:p>
    <w:p>
      <w:r>
        <w:t>The backlog contains 176 requirement-linked engineering items grouped into 11 work packages. Estimates, named assignees and dates are intentionally uncommitted until the team, partner access and target deployment are known. The source BRD release and priority labels remain authoritative. Do not convert this documentation baseline into a production readiness claim.</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2664"/>
        <w:gridCol w:w="1800"/>
        <w:gridCol w:w="1728"/>
        <w:gridCol w:w="3888"/>
      </w:tblGrid>
      <w:tr>
        <w:trPr>
          <w:tblHeader/>
          <w:cantSplit/>
        </w:trPr>
        <w:tc>
          <w:tcPr>
            <w:tcW w:type="dxa" w:w="2664"/>
            <w:shd w:fill="173A50"/>
            <w:tcMar>
              <w:top w:w="90" w:type="dxa"/>
              <w:bottom w:w="90" w:type="dxa"/>
              <w:left w:w="90" w:type="dxa"/>
              <w:right w:w="90" w:type="dxa"/>
            </w:tcMar>
          </w:tcPr>
          <w:p>
            <w:pPr>
              <w:spacing w:after="60" w:before="20"/>
            </w:pPr>
            <w:r>
              <w:rPr>
                <w:b/>
                <w:color w:val="FFFFFF"/>
                <w:sz w:val="19"/>
              </w:rPr>
              <w:t>Package</w:t>
            </w:r>
          </w:p>
        </w:tc>
        <w:tc>
          <w:tcPr>
            <w:tcW w:type="dxa" w:w="1800"/>
            <w:shd w:fill="173A50"/>
            <w:tcMar>
              <w:top w:w="90" w:type="dxa"/>
              <w:bottom w:w="90" w:type="dxa"/>
              <w:left w:w="90" w:type="dxa"/>
              <w:right w:w="90" w:type="dxa"/>
            </w:tcMar>
          </w:tcPr>
          <w:p>
            <w:pPr>
              <w:spacing w:after="60" w:before="20"/>
            </w:pPr>
            <w:r>
              <w:rPr>
                <w:b/>
                <w:color w:val="FFFFFF"/>
                <w:sz w:val="19"/>
              </w:rPr>
              <w:t>Owner</w:t>
            </w:r>
          </w:p>
        </w:tc>
        <w:tc>
          <w:tcPr>
            <w:tcW w:type="dxa" w:w="1728"/>
            <w:shd w:fill="173A50"/>
            <w:tcMar>
              <w:top w:w="90" w:type="dxa"/>
              <w:bottom w:w="90" w:type="dxa"/>
              <w:left w:w="90" w:type="dxa"/>
              <w:right w:w="90" w:type="dxa"/>
            </w:tcMar>
          </w:tcPr>
          <w:p>
            <w:pPr>
              <w:spacing w:after="60" w:before="20"/>
            </w:pPr>
            <w:r>
              <w:rPr>
                <w:b/>
                <w:color w:val="FFFFFF"/>
                <w:sz w:val="19"/>
              </w:rPr>
              <w:t>Depends on</w:t>
            </w:r>
          </w:p>
        </w:tc>
        <w:tc>
          <w:tcPr>
            <w:tcW w:type="dxa" w:w="3888"/>
            <w:shd w:fill="173A50"/>
            <w:tcMar>
              <w:top w:w="90" w:type="dxa"/>
              <w:bottom w:w="90" w:type="dxa"/>
              <w:left w:w="90" w:type="dxa"/>
              <w:right w:w="90" w:type="dxa"/>
            </w:tcMar>
          </w:tcPr>
          <w:p>
            <w:pPr>
              <w:spacing w:after="60" w:before="20"/>
            </w:pPr>
            <w:r>
              <w:rPr>
                <w:b/>
                <w:color w:val="FFFFFF"/>
                <w:sz w:val="19"/>
              </w:rPr>
              <w:t>Build outcome</w:t>
            </w:r>
          </w:p>
        </w:tc>
      </w:tr>
      <w:tr>
        <w:trPr>
          <w:cantSplit/>
        </w:trPr>
        <w:tc>
          <w:tcPr>
            <w:tcW w:type="dxa" w:w="2664"/>
            <w:shd w:fill="FFFFFF"/>
            <w:tcMar>
              <w:top w:w="90" w:type="dxa"/>
              <w:bottom w:w="90" w:type="dxa"/>
              <w:left w:w="90" w:type="dxa"/>
              <w:right w:w="90" w:type="dxa"/>
            </w:tcMar>
          </w:tcPr>
          <w:p>
            <w:pPr>
              <w:spacing w:after="60" w:before="20"/>
            </w:pPr>
            <w:r>
              <w:rPr>
                <w:b w:val="0"/>
                <w:color w:val="17242D"/>
                <w:sz w:val="19"/>
              </w:rPr>
              <w:t>WP01 Identity and assignments</w:t>
            </w:r>
          </w:p>
        </w:tc>
        <w:tc>
          <w:tcPr>
            <w:tcW w:type="dxa" w:w="1800"/>
            <w:shd w:fill="FFFFFF"/>
            <w:tcMar>
              <w:top w:w="90" w:type="dxa"/>
              <w:bottom w:w="90" w:type="dxa"/>
              <w:left w:w="90" w:type="dxa"/>
              <w:right w:w="90" w:type="dxa"/>
            </w:tcMar>
          </w:tcPr>
          <w:p>
            <w:pPr>
              <w:spacing w:after="60" w:before="20"/>
            </w:pPr>
            <w:r>
              <w:rPr>
                <w:b w:val="0"/>
                <w:color w:val="17242D"/>
                <w:sz w:val="19"/>
              </w:rPr>
              <w:t>Platform lead</w:t>
            </w:r>
          </w:p>
        </w:tc>
        <w:tc>
          <w:tcPr>
            <w:tcW w:type="dxa" w:w="1728"/>
            <w:shd w:fill="FFFFFF"/>
            <w:tcMar>
              <w:top w:w="90" w:type="dxa"/>
              <w:bottom w:w="90" w:type="dxa"/>
              <w:left w:w="90" w:type="dxa"/>
              <w:right w:w="90" w:type="dxa"/>
            </w:tcMar>
          </w:tcPr>
          <w:p>
            <w:pPr>
              <w:spacing w:after="60" w:before="20"/>
            </w:pPr>
            <w:r>
              <w:rPr>
                <w:b w:val="0"/>
                <w:color w:val="17242D"/>
                <w:sz w:val="19"/>
              </w:rPr>
              <w:t>None</w:t>
            </w:r>
          </w:p>
        </w:tc>
        <w:tc>
          <w:tcPr>
            <w:tcW w:type="dxa" w:w="3888"/>
            <w:shd w:fill="FFFFFF"/>
            <w:tcMar>
              <w:top w:w="90" w:type="dxa"/>
              <w:bottom w:w="90" w:type="dxa"/>
              <w:left w:w="90" w:type="dxa"/>
              <w:right w:w="90" w:type="dxa"/>
            </w:tcMar>
          </w:tcPr>
          <w:p>
            <w:pPr>
              <w:spacing w:after="60" w:before="20"/>
            </w:pPr>
            <w:r>
              <w:rPr>
                <w:b w:val="0"/>
                <w:color w:val="17242D"/>
                <w:sz w:val="19"/>
              </w:rPr>
              <w:t>Verified workforce login, role context, caseload and identity correction</w:t>
            </w:r>
          </w:p>
        </w:tc>
      </w:tr>
      <w:tr>
        <w:trPr>
          <w:cantSplit/>
        </w:trPr>
        <w:tc>
          <w:tcPr>
            <w:tcW w:type="dxa" w:w="2664"/>
            <w:shd w:fill="F2F6F8"/>
            <w:tcMar>
              <w:top w:w="90" w:type="dxa"/>
              <w:bottom w:w="90" w:type="dxa"/>
              <w:left w:w="90" w:type="dxa"/>
              <w:right w:w="90" w:type="dxa"/>
            </w:tcMar>
          </w:tcPr>
          <w:p>
            <w:pPr>
              <w:spacing w:after="60" w:before="20"/>
            </w:pPr>
            <w:r>
              <w:rPr>
                <w:b w:val="0"/>
                <w:color w:val="17242D"/>
                <w:sz w:val="19"/>
              </w:rPr>
              <w:t>WP02 Policy audit and invariants</w:t>
            </w:r>
          </w:p>
        </w:tc>
        <w:tc>
          <w:tcPr>
            <w:tcW w:type="dxa" w:w="1800"/>
            <w:shd w:fill="F2F6F8"/>
            <w:tcMar>
              <w:top w:w="90" w:type="dxa"/>
              <w:bottom w:w="90" w:type="dxa"/>
              <w:left w:w="90" w:type="dxa"/>
              <w:right w:w="90" w:type="dxa"/>
            </w:tcMar>
          </w:tcPr>
          <w:p>
            <w:pPr>
              <w:spacing w:after="60" w:before="20"/>
            </w:pPr>
            <w:r>
              <w:rPr>
                <w:b w:val="0"/>
                <w:color w:val="17242D"/>
                <w:sz w:val="19"/>
              </w:rPr>
              <w:t>Security lead</w:t>
            </w:r>
          </w:p>
        </w:tc>
        <w:tc>
          <w:tcPr>
            <w:tcW w:type="dxa" w:w="1728"/>
            <w:shd w:fill="F2F6F8"/>
            <w:tcMar>
              <w:top w:w="90" w:type="dxa"/>
              <w:bottom w:w="90" w:type="dxa"/>
              <w:left w:w="90" w:type="dxa"/>
              <w:right w:w="90" w:type="dxa"/>
            </w:tcMar>
          </w:tcPr>
          <w:p>
            <w:pPr>
              <w:spacing w:after="60" w:before="20"/>
            </w:pPr>
            <w:r>
              <w:rPr>
                <w:b w:val="0"/>
                <w:color w:val="17242D"/>
                <w:sz w:val="19"/>
              </w:rPr>
              <w:t>WP01</w:t>
            </w:r>
          </w:p>
        </w:tc>
        <w:tc>
          <w:tcPr>
            <w:tcW w:type="dxa" w:w="3888"/>
            <w:shd w:fill="F2F6F8"/>
            <w:tcMar>
              <w:top w:w="90" w:type="dxa"/>
              <w:bottom w:w="90" w:type="dxa"/>
              <w:left w:w="90" w:type="dxa"/>
              <w:right w:w="90" w:type="dxa"/>
            </w:tcMar>
          </w:tcPr>
          <w:p>
            <w:pPr>
              <w:spacing w:after="60" w:before="20"/>
            </w:pPr>
            <w:r>
              <w:rPr>
                <w:b w:val="0"/>
                <w:color w:val="17242D"/>
                <w:sz w:val="19"/>
              </w:rPr>
              <w:t>Purpose-bound policy, audit atomicity, approval binding and environment isolation</w:t>
            </w:r>
          </w:p>
        </w:tc>
      </w:tr>
      <w:tr>
        <w:trPr>
          <w:cantSplit/>
        </w:trPr>
        <w:tc>
          <w:tcPr>
            <w:tcW w:type="dxa" w:w="2664"/>
            <w:shd w:fill="FFFFFF"/>
            <w:tcMar>
              <w:top w:w="90" w:type="dxa"/>
              <w:bottom w:w="90" w:type="dxa"/>
              <w:left w:w="90" w:type="dxa"/>
              <w:right w:w="90" w:type="dxa"/>
            </w:tcMar>
          </w:tcPr>
          <w:p>
            <w:pPr>
              <w:spacing w:after="60" w:before="20"/>
            </w:pPr>
            <w:r>
              <w:rPr>
                <w:b w:val="0"/>
                <w:color w:val="17242D"/>
                <w:sz w:val="19"/>
              </w:rPr>
              <w:t>WP03 Encounter and shared data</w:t>
            </w:r>
          </w:p>
        </w:tc>
        <w:tc>
          <w:tcPr>
            <w:tcW w:type="dxa" w:w="1800"/>
            <w:shd w:fill="FFFFFF"/>
            <w:tcMar>
              <w:top w:w="90" w:type="dxa"/>
              <w:bottom w:w="90" w:type="dxa"/>
              <w:left w:w="90" w:type="dxa"/>
              <w:right w:w="90" w:type="dxa"/>
            </w:tcMar>
          </w:tcPr>
          <w:p>
            <w:pPr>
              <w:spacing w:after="60" w:before="20"/>
            </w:pPr>
            <w:r>
              <w:rPr>
                <w:b w:val="0"/>
                <w:color w:val="17242D"/>
                <w:sz w:val="19"/>
              </w:rPr>
              <w:t>Workflow lead</w:t>
            </w:r>
          </w:p>
        </w:tc>
        <w:tc>
          <w:tcPr>
            <w:tcW w:type="dxa" w:w="1728"/>
            <w:shd w:fill="FFFFFF"/>
            <w:tcMar>
              <w:top w:w="90" w:type="dxa"/>
              <w:bottom w:w="90" w:type="dxa"/>
              <w:left w:w="90" w:type="dxa"/>
              <w:right w:w="90" w:type="dxa"/>
            </w:tcMar>
          </w:tcPr>
          <w:p>
            <w:pPr>
              <w:spacing w:after="60" w:before="20"/>
            </w:pPr>
            <w:r>
              <w:rPr>
                <w:b w:val="0"/>
                <w:color w:val="17242D"/>
                <w:sz w:val="19"/>
              </w:rPr>
              <w:t>WP01 WP02</w:t>
            </w:r>
          </w:p>
        </w:tc>
        <w:tc>
          <w:tcPr>
            <w:tcW w:type="dxa" w:w="3888"/>
            <w:shd w:fill="FFFFFF"/>
            <w:tcMar>
              <w:top w:w="90" w:type="dxa"/>
              <w:bottom w:w="90" w:type="dxa"/>
              <w:left w:w="90" w:type="dxa"/>
              <w:right w:w="90" w:type="dxa"/>
            </w:tcMar>
          </w:tcPr>
          <w:p>
            <w:pPr>
              <w:spacing w:after="60" w:before="20"/>
            </w:pPr>
            <w:r>
              <w:rPr>
                <w:b w:val="0"/>
                <w:color w:val="17242D"/>
                <w:sz w:val="19"/>
              </w:rPr>
              <w:t>Local person and encounter model, draft capture, typed observations and revisions</w:t>
            </w:r>
          </w:p>
        </w:tc>
      </w:tr>
      <w:tr>
        <w:trPr>
          <w:cantSplit/>
        </w:trPr>
        <w:tc>
          <w:tcPr>
            <w:tcW w:type="dxa" w:w="2664"/>
            <w:shd w:fill="F2F6F8"/>
            <w:tcMar>
              <w:top w:w="90" w:type="dxa"/>
              <w:bottom w:w="90" w:type="dxa"/>
              <w:left w:w="90" w:type="dxa"/>
              <w:right w:w="90" w:type="dxa"/>
            </w:tcMar>
          </w:tcPr>
          <w:p>
            <w:pPr>
              <w:spacing w:after="60" w:before="20"/>
            </w:pPr>
            <w:r>
              <w:rPr>
                <w:b w:val="0"/>
                <w:color w:val="17242D"/>
                <w:sz w:val="19"/>
              </w:rPr>
              <w:t>WP04 Programme configuration</w:t>
            </w:r>
          </w:p>
        </w:tc>
        <w:tc>
          <w:tcPr>
            <w:tcW w:type="dxa" w:w="1800"/>
            <w:shd w:fill="F2F6F8"/>
            <w:tcMar>
              <w:top w:w="90" w:type="dxa"/>
              <w:bottom w:w="90" w:type="dxa"/>
              <w:left w:w="90" w:type="dxa"/>
              <w:right w:w="90" w:type="dxa"/>
            </w:tcMar>
          </w:tcPr>
          <w:p>
            <w:pPr>
              <w:spacing w:after="60" w:before="20"/>
            </w:pPr>
            <w:r>
              <w:rPr>
                <w:b w:val="0"/>
                <w:color w:val="17242D"/>
                <w:sz w:val="19"/>
              </w:rPr>
              <w:t>Programme lead</w:t>
            </w:r>
          </w:p>
        </w:tc>
        <w:tc>
          <w:tcPr>
            <w:tcW w:type="dxa" w:w="1728"/>
            <w:shd w:fill="F2F6F8"/>
            <w:tcMar>
              <w:top w:w="90" w:type="dxa"/>
              <w:bottom w:w="90" w:type="dxa"/>
              <w:left w:w="90" w:type="dxa"/>
              <w:right w:w="90" w:type="dxa"/>
            </w:tcMar>
          </w:tcPr>
          <w:p>
            <w:pPr>
              <w:spacing w:after="60" w:before="20"/>
            </w:pPr>
            <w:r>
              <w:rPr>
                <w:b w:val="0"/>
                <w:color w:val="17242D"/>
                <w:sz w:val="19"/>
              </w:rPr>
              <w:t>WP03</w:t>
            </w:r>
          </w:p>
        </w:tc>
        <w:tc>
          <w:tcPr>
            <w:tcW w:type="dxa" w:w="3888"/>
            <w:shd w:fill="F2F6F8"/>
            <w:tcMar>
              <w:top w:w="90" w:type="dxa"/>
              <w:bottom w:w="90" w:type="dxa"/>
              <w:left w:w="90" w:type="dxa"/>
              <w:right w:w="90" w:type="dxa"/>
            </w:tcMar>
          </w:tcPr>
          <w:p>
            <w:pPr>
              <w:spacing w:after="60" w:before="20"/>
            </w:pPr>
            <w:r>
              <w:rPr>
                <w:b w:val="0"/>
                <w:color w:val="17242D"/>
                <w:sz w:val="19"/>
              </w:rPr>
              <w:t>Versioned questions, schedules, approved clinical rule interface and mappings</w:t>
            </w:r>
          </w:p>
        </w:tc>
      </w:tr>
      <w:tr>
        <w:trPr>
          <w:cantSplit/>
        </w:trPr>
        <w:tc>
          <w:tcPr>
            <w:tcW w:type="dxa" w:w="2664"/>
            <w:shd w:fill="FFFFFF"/>
            <w:tcMar>
              <w:top w:w="90" w:type="dxa"/>
              <w:bottom w:w="90" w:type="dxa"/>
              <w:left w:w="90" w:type="dxa"/>
              <w:right w:w="90" w:type="dxa"/>
            </w:tcMar>
          </w:tcPr>
          <w:p>
            <w:pPr>
              <w:spacing w:after="60" w:before="20"/>
            </w:pPr>
            <w:r>
              <w:rPr>
                <w:b w:val="0"/>
                <w:color w:val="17242D"/>
                <w:sz w:val="19"/>
              </w:rPr>
              <w:t>WP05 Agent and AI broker</w:t>
            </w:r>
          </w:p>
        </w:tc>
        <w:tc>
          <w:tcPr>
            <w:tcW w:type="dxa" w:w="1800"/>
            <w:shd w:fill="FFFFFF"/>
            <w:tcMar>
              <w:top w:w="90" w:type="dxa"/>
              <w:bottom w:w="90" w:type="dxa"/>
              <w:left w:w="90" w:type="dxa"/>
              <w:right w:w="90" w:type="dxa"/>
            </w:tcMar>
          </w:tcPr>
          <w:p>
            <w:pPr>
              <w:spacing w:after="60" w:before="20"/>
            </w:pPr>
            <w:r>
              <w:rPr>
                <w:b w:val="0"/>
                <w:color w:val="17242D"/>
                <w:sz w:val="19"/>
              </w:rPr>
              <w:t>AI engineering lead</w:t>
            </w:r>
          </w:p>
        </w:tc>
        <w:tc>
          <w:tcPr>
            <w:tcW w:type="dxa" w:w="1728"/>
            <w:shd w:fill="FFFFFF"/>
            <w:tcMar>
              <w:top w:w="90" w:type="dxa"/>
              <w:bottom w:w="90" w:type="dxa"/>
              <w:left w:w="90" w:type="dxa"/>
              <w:right w:w="90" w:type="dxa"/>
            </w:tcMar>
          </w:tcPr>
          <w:p>
            <w:pPr>
              <w:spacing w:after="60" w:before="20"/>
            </w:pPr>
            <w:r>
              <w:rPr>
                <w:b w:val="0"/>
                <w:color w:val="17242D"/>
                <w:sz w:val="19"/>
              </w:rPr>
              <w:t>WP02 WP03 WP04</w:t>
            </w:r>
          </w:p>
        </w:tc>
        <w:tc>
          <w:tcPr>
            <w:tcW w:type="dxa" w:w="3888"/>
            <w:shd w:fill="FFFFFF"/>
            <w:tcMar>
              <w:top w:w="90" w:type="dxa"/>
              <w:bottom w:w="90" w:type="dxa"/>
              <w:left w:w="90" w:type="dxa"/>
              <w:right w:w="90" w:type="dxa"/>
            </w:tcMar>
          </w:tcPr>
          <w:p>
            <w:pPr>
              <w:spacing w:after="60" w:before="20"/>
            </w:pPr>
            <w:r>
              <w:rPr>
                <w:b w:val="0"/>
                <w:color w:val="17242D"/>
                <w:sz w:val="19"/>
              </w:rPr>
              <w:t>Typed bounded plans, model manifests, request lifecycle and budget accounting</w:t>
            </w:r>
          </w:p>
        </w:tc>
      </w:tr>
      <w:tr>
        <w:trPr>
          <w:cantSplit/>
        </w:trPr>
        <w:tc>
          <w:tcPr>
            <w:tcW w:type="dxa" w:w="2664"/>
            <w:shd w:fill="F2F6F8"/>
            <w:tcMar>
              <w:top w:w="90" w:type="dxa"/>
              <w:bottom w:w="90" w:type="dxa"/>
              <w:left w:w="90" w:type="dxa"/>
              <w:right w:w="90" w:type="dxa"/>
            </w:tcMar>
          </w:tcPr>
          <w:p>
            <w:pPr>
              <w:spacing w:after="60" w:before="20"/>
            </w:pPr>
            <w:r>
              <w:rPr>
                <w:b w:val="0"/>
                <w:color w:val="17242D"/>
                <w:sz w:val="19"/>
              </w:rPr>
              <w:t>WP06 Clinical oversight</w:t>
            </w:r>
          </w:p>
        </w:tc>
        <w:tc>
          <w:tcPr>
            <w:tcW w:type="dxa" w:w="1800"/>
            <w:shd w:fill="F2F6F8"/>
            <w:tcMar>
              <w:top w:w="90" w:type="dxa"/>
              <w:bottom w:w="90" w:type="dxa"/>
              <w:left w:w="90" w:type="dxa"/>
              <w:right w:w="90" w:type="dxa"/>
            </w:tcMar>
          </w:tcPr>
          <w:p>
            <w:pPr>
              <w:spacing w:after="60" w:before="20"/>
            </w:pPr>
            <w:r>
              <w:rPr>
                <w:b w:val="0"/>
                <w:color w:val="17242D"/>
                <w:sz w:val="19"/>
              </w:rPr>
              <w:t>Clinical safety lead</w:t>
            </w:r>
          </w:p>
        </w:tc>
        <w:tc>
          <w:tcPr>
            <w:tcW w:type="dxa" w:w="1728"/>
            <w:shd w:fill="F2F6F8"/>
            <w:tcMar>
              <w:top w:w="90" w:type="dxa"/>
              <w:bottom w:w="90" w:type="dxa"/>
              <w:left w:w="90" w:type="dxa"/>
              <w:right w:w="90" w:type="dxa"/>
            </w:tcMar>
          </w:tcPr>
          <w:p>
            <w:pPr>
              <w:spacing w:after="60" w:before="20"/>
            </w:pPr>
            <w:r>
              <w:rPr>
                <w:b w:val="0"/>
                <w:color w:val="17242D"/>
                <w:sz w:val="19"/>
              </w:rPr>
              <w:t>WP02 WP04</w:t>
            </w:r>
          </w:p>
        </w:tc>
        <w:tc>
          <w:tcPr>
            <w:tcW w:type="dxa" w:w="3888"/>
            <w:shd w:fill="F2F6F8"/>
            <w:tcMar>
              <w:top w:w="90" w:type="dxa"/>
              <w:bottom w:w="90" w:type="dxa"/>
              <w:left w:w="90" w:type="dxa"/>
              <w:right w:w="90" w:type="dxa"/>
            </w:tcMar>
          </w:tcPr>
          <w:p>
            <w:pPr>
              <w:spacing w:after="60" w:before="20"/>
            </w:pPr>
            <w:r>
              <w:rPr>
                <w:b w:val="0"/>
                <w:color w:val="17242D"/>
                <w:sz w:val="19"/>
              </w:rPr>
              <w:t>Review, escalation, composition controls and safety case handling</w:t>
            </w:r>
          </w:p>
        </w:tc>
      </w:tr>
      <w:tr>
        <w:trPr>
          <w:cantSplit/>
        </w:trPr>
        <w:tc>
          <w:tcPr>
            <w:tcW w:type="dxa" w:w="2664"/>
            <w:shd w:fill="FFFFFF"/>
            <w:tcMar>
              <w:top w:w="90" w:type="dxa"/>
              <w:bottom w:w="90" w:type="dxa"/>
              <w:left w:w="90" w:type="dxa"/>
              <w:right w:w="90" w:type="dxa"/>
            </w:tcMar>
          </w:tcPr>
          <w:p>
            <w:pPr>
              <w:spacing w:after="60" w:before="20"/>
            </w:pPr>
            <w:r>
              <w:rPr>
                <w:b w:val="0"/>
                <w:color w:val="17242D"/>
                <w:sz w:val="19"/>
              </w:rPr>
              <w:t>WP07 External exchange</w:t>
            </w:r>
          </w:p>
        </w:tc>
        <w:tc>
          <w:tcPr>
            <w:tcW w:type="dxa" w:w="1800"/>
            <w:shd w:fill="FFFFFF"/>
            <w:tcMar>
              <w:top w:w="90" w:type="dxa"/>
              <w:bottom w:w="90" w:type="dxa"/>
              <w:left w:w="90" w:type="dxa"/>
              <w:right w:w="90" w:type="dxa"/>
            </w:tcMar>
          </w:tcPr>
          <w:p>
            <w:pPr>
              <w:spacing w:after="60" w:before="20"/>
            </w:pPr>
            <w:r>
              <w:rPr>
                <w:b w:val="0"/>
                <w:color w:val="17242D"/>
                <w:sz w:val="19"/>
              </w:rPr>
              <w:t>Integration lead</w:t>
            </w:r>
          </w:p>
        </w:tc>
        <w:tc>
          <w:tcPr>
            <w:tcW w:type="dxa" w:w="1728"/>
            <w:shd w:fill="FFFFFF"/>
            <w:tcMar>
              <w:top w:w="90" w:type="dxa"/>
              <w:bottom w:w="90" w:type="dxa"/>
              <w:left w:w="90" w:type="dxa"/>
              <w:right w:w="90" w:type="dxa"/>
            </w:tcMar>
          </w:tcPr>
          <w:p>
            <w:pPr>
              <w:spacing w:after="60" w:before="20"/>
            </w:pPr>
            <w:r>
              <w:rPr>
                <w:b w:val="0"/>
                <w:color w:val="17242D"/>
                <w:sz w:val="19"/>
              </w:rPr>
              <w:t>WP02 WP03 WP04</w:t>
            </w:r>
          </w:p>
        </w:tc>
        <w:tc>
          <w:tcPr>
            <w:tcW w:type="dxa" w:w="3888"/>
            <w:shd w:fill="FFFFFF"/>
            <w:tcMar>
              <w:top w:w="90" w:type="dxa"/>
              <w:bottom w:w="90" w:type="dxa"/>
              <w:left w:w="90" w:type="dxa"/>
              <w:right w:w="90" w:type="dxa"/>
            </w:tcMar>
          </w:tcPr>
          <w:p>
            <w:pPr>
              <w:spacing w:after="60" w:before="20"/>
            </w:pPr>
            <w:r>
              <w:rPr>
                <w:b w:val="0"/>
                <w:color w:val="17242D"/>
                <w:sz w:val="19"/>
              </w:rPr>
              <w:t>MIS and EHR adapters, ABDM role paths, receipts and reconciliation</w:t>
            </w:r>
          </w:p>
        </w:tc>
      </w:tr>
      <w:tr>
        <w:trPr>
          <w:cantSplit/>
        </w:trPr>
        <w:tc>
          <w:tcPr>
            <w:tcW w:type="dxa" w:w="2664"/>
            <w:shd w:fill="F2F6F8"/>
            <w:tcMar>
              <w:top w:w="90" w:type="dxa"/>
              <w:bottom w:w="90" w:type="dxa"/>
              <w:left w:w="90" w:type="dxa"/>
              <w:right w:w="90" w:type="dxa"/>
            </w:tcMar>
          </w:tcPr>
          <w:p>
            <w:pPr>
              <w:spacing w:after="60" w:before="20"/>
            </w:pPr>
            <w:r>
              <w:rPr>
                <w:b w:val="0"/>
                <w:color w:val="17242D"/>
                <w:sz w:val="19"/>
              </w:rPr>
              <w:t>WP08 Offline client and sync</w:t>
            </w:r>
          </w:p>
        </w:tc>
        <w:tc>
          <w:tcPr>
            <w:tcW w:type="dxa" w:w="1800"/>
            <w:shd w:fill="F2F6F8"/>
            <w:tcMar>
              <w:top w:w="90" w:type="dxa"/>
              <w:bottom w:w="90" w:type="dxa"/>
              <w:left w:w="90" w:type="dxa"/>
              <w:right w:w="90" w:type="dxa"/>
            </w:tcMar>
          </w:tcPr>
          <w:p>
            <w:pPr>
              <w:spacing w:after="60" w:before="20"/>
            </w:pPr>
            <w:r>
              <w:rPr>
                <w:b w:val="0"/>
                <w:color w:val="17242D"/>
                <w:sz w:val="19"/>
              </w:rPr>
              <w:t>Mobile lead</w:t>
            </w:r>
          </w:p>
        </w:tc>
        <w:tc>
          <w:tcPr>
            <w:tcW w:type="dxa" w:w="1728"/>
            <w:shd w:fill="F2F6F8"/>
            <w:tcMar>
              <w:top w:w="90" w:type="dxa"/>
              <w:bottom w:w="90" w:type="dxa"/>
              <w:left w:w="90" w:type="dxa"/>
              <w:right w:w="90" w:type="dxa"/>
            </w:tcMar>
          </w:tcPr>
          <w:p>
            <w:pPr>
              <w:spacing w:after="60" w:before="20"/>
            </w:pPr>
            <w:r>
              <w:rPr>
                <w:b w:val="0"/>
                <w:color w:val="17242D"/>
                <w:sz w:val="19"/>
              </w:rPr>
              <w:t>WP01 WP02 WP03</w:t>
            </w:r>
          </w:p>
        </w:tc>
        <w:tc>
          <w:tcPr>
            <w:tcW w:type="dxa" w:w="3888"/>
            <w:shd w:fill="F2F6F8"/>
            <w:tcMar>
              <w:top w:w="90" w:type="dxa"/>
              <w:bottom w:w="90" w:type="dxa"/>
              <w:left w:w="90" w:type="dxa"/>
              <w:right w:w="90" w:type="dxa"/>
            </w:tcMar>
          </w:tcPr>
          <w:p>
            <w:pPr>
              <w:spacing w:after="60" w:before="20"/>
            </w:pPr>
            <w:r>
              <w:rPr>
                <w:b w:val="0"/>
                <w:color w:val="17242D"/>
                <w:sz w:val="19"/>
              </w:rPr>
              <w:t>Encrypted storage, signed lease, durable queue and ordered sync recovery</w:t>
            </w:r>
          </w:p>
        </w:tc>
      </w:tr>
      <w:tr>
        <w:trPr>
          <w:cantSplit/>
        </w:trPr>
        <w:tc>
          <w:tcPr>
            <w:tcW w:type="dxa" w:w="2664"/>
            <w:shd w:fill="FFFFFF"/>
            <w:tcMar>
              <w:top w:w="90" w:type="dxa"/>
              <w:bottom w:w="90" w:type="dxa"/>
              <w:left w:w="90" w:type="dxa"/>
              <w:right w:w="90" w:type="dxa"/>
            </w:tcMar>
          </w:tcPr>
          <w:p>
            <w:pPr>
              <w:spacing w:after="60" w:before="20"/>
            </w:pPr>
            <w:r>
              <w:rPr>
                <w:b w:val="0"/>
                <w:color w:val="17242D"/>
                <w:sz w:val="19"/>
              </w:rPr>
              <w:t>WP09 Care coordination</w:t>
            </w:r>
          </w:p>
        </w:tc>
        <w:tc>
          <w:tcPr>
            <w:tcW w:type="dxa" w:w="1800"/>
            <w:shd w:fill="FFFFFF"/>
            <w:tcMar>
              <w:top w:w="90" w:type="dxa"/>
              <w:bottom w:w="90" w:type="dxa"/>
              <w:left w:w="90" w:type="dxa"/>
              <w:right w:w="90" w:type="dxa"/>
            </w:tcMar>
          </w:tcPr>
          <w:p>
            <w:pPr>
              <w:spacing w:after="60" w:before="20"/>
            </w:pPr>
            <w:r>
              <w:rPr>
                <w:b w:val="0"/>
                <w:color w:val="17242D"/>
                <w:sz w:val="19"/>
              </w:rPr>
              <w:t>Care workflow lead</w:t>
            </w:r>
          </w:p>
        </w:tc>
        <w:tc>
          <w:tcPr>
            <w:tcW w:type="dxa" w:w="1728"/>
            <w:shd w:fill="FFFFFF"/>
            <w:tcMar>
              <w:top w:w="90" w:type="dxa"/>
              <w:bottom w:w="90" w:type="dxa"/>
              <w:left w:w="90" w:type="dxa"/>
              <w:right w:w="90" w:type="dxa"/>
            </w:tcMar>
          </w:tcPr>
          <w:p>
            <w:pPr>
              <w:spacing w:after="60" w:before="20"/>
            </w:pPr>
            <w:r>
              <w:rPr>
                <w:b w:val="0"/>
                <w:color w:val="17242D"/>
                <w:sz w:val="19"/>
              </w:rPr>
              <w:t>WP03 WP04 WP06 WP07</w:t>
            </w:r>
          </w:p>
        </w:tc>
        <w:tc>
          <w:tcPr>
            <w:tcW w:type="dxa" w:w="3888"/>
            <w:shd w:fill="FFFFFF"/>
            <w:tcMar>
              <w:top w:w="90" w:type="dxa"/>
              <w:bottom w:w="90" w:type="dxa"/>
              <w:left w:w="90" w:type="dxa"/>
              <w:right w:w="90" w:type="dxa"/>
            </w:tcMar>
          </w:tcPr>
          <w:p>
            <w:pPr>
              <w:spacing w:after="60" w:before="20"/>
            </w:pPr>
            <w:r>
              <w:rPr>
                <w:b w:val="0"/>
                <w:color w:val="17242D"/>
                <w:sz w:val="19"/>
              </w:rPr>
              <w:t>Referrals, directory, tasks, assignment and evidence-backed outcomes</w:t>
            </w:r>
          </w:p>
        </w:tc>
      </w:tr>
      <w:tr>
        <w:trPr>
          <w:cantSplit/>
        </w:trPr>
        <w:tc>
          <w:tcPr>
            <w:tcW w:type="dxa" w:w="2664"/>
            <w:shd w:fill="F2F6F8"/>
            <w:tcMar>
              <w:top w:w="90" w:type="dxa"/>
              <w:bottom w:w="90" w:type="dxa"/>
              <w:left w:w="90" w:type="dxa"/>
              <w:right w:w="90" w:type="dxa"/>
            </w:tcMar>
          </w:tcPr>
          <w:p>
            <w:pPr>
              <w:spacing w:after="60" w:before="20"/>
            </w:pPr>
            <w:r>
              <w:rPr>
                <w:b w:val="0"/>
                <w:color w:val="17242D"/>
                <w:sz w:val="19"/>
              </w:rPr>
              <w:t>WP10 Operational measures</w:t>
            </w:r>
          </w:p>
        </w:tc>
        <w:tc>
          <w:tcPr>
            <w:tcW w:type="dxa" w:w="1800"/>
            <w:shd w:fill="F2F6F8"/>
            <w:tcMar>
              <w:top w:w="90" w:type="dxa"/>
              <w:bottom w:w="90" w:type="dxa"/>
              <w:left w:w="90" w:type="dxa"/>
              <w:right w:w="90" w:type="dxa"/>
            </w:tcMar>
          </w:tcPr>
          <w:p>
            <w:pPr>
              <w:spacing w:after="60" w:before="20"/>
            </w:pPr>
            <w:r>
              <w:rPr>
                <w:b w:val="0"/>
                <w:color w:val="17242D"/>
                <w:sz w:val="19"/>
              </w:rPr>
              <w:t>Data lead</w:t>
            </w:r>
          </w:p>
        </w:tc>
        <w:tc>
          <w:tcPr>
            <w:tcW w:type="dxa" w:w="1728"/>
            <w:shd w:fill="F2F6F8"/>
            <w:tcMar>
              <w:top w:w="90" w:type="dxa"/>
              <w:bottom w:w="90" w:type="dxa"/>
              <w:left w:w="90" w:type="dxa"/>
              <w:right w:w="90" w:type="dxa"/>
            </w:tcMar>
          </w:tcPr>
          <w:p>
            <w:pPr>
              <w:spacing w:after="60" w:before="20"/>
            </w:pPr>
            <w:r>
              <w:rPr>
                <w:b w:val="0"/>
                <w:color w:val="17242D"/>
                <w:sz w:val="19"/>
              </w:rPr>
              <w:t>WP03 WP07 WP09</w:t>
            </w:r>
          </w:p>
        </w:tc>
        <w:tc>
          <w:tcPr>
            <w:tcW w:type="dxa" w:w="3888"/>
            <w:shd w:fill="F2F6F8"/>
            <w:tcMar>
              <w:top w:w="90" w:type="dxa"/>
              <w:bottom w:w="90" w:type="dxa"/>
              <w:left w:w="90" w:type="dxa"/>
              <w:right w:w="90" w:type="dxa"/>
            </w:tcMar>
          </w:tcPr>
          <w:p>
            <w:pPr>
              <w:spacing w:after="60" w:before="20"/>
            </w:pPr>
            <w:r>
              <w:rPr>
                <w:b w:val="0"/>
                <w:color w:val="17242D"/>
                <w:sz w:val="19"/>
              </w:rPr>
              <w:t>Versioned report definitions, projections, privacy controls and exports</w:t>
            </w:r>
          </w:p>
        </w:tc>
      </w:tr>
      <w:tr>
        <w:trPr>
          <w:cantSplit/>
        </w:trPr>
        <w:tc>
          <w:tcPr>
            <w:tcW w:type="dxa" w:w="2664"/>
            <w:shd w:fill="FFFFFF"/>
            <w:tcMar>
              <w:top w:w="90" w:type="dxa"/>
              <w:bottom w:w="90" w:type="dxa"/>
              <w:left w:w="90" w:type="dxa"/>
              <w:right w:w="90" w:type="dxa"/>
            </w:tcMar>
          </w:tcPr>
          <w:p>
            <w:pPr>
              <w:spacing w:after="60" w:before="20"/>
            </w:pPr>
            <w:r>
              <w:rPr>
                <w:b w:val="0"/>
                <w:color w:val="17242D"/>
                <w:sz w:val="19"/>
              </w:rPr>
              <w:t>WP11 Release and support</w:t>
            </w:r>
          </w:p>
        </w:tc>
        <w:tc>
          <w:tcPr>
            <w:tcW w:type="dxa" w:w="1800"/>
            <w:shd w:fill="FFFFFF"/>
            <w:tcMar>
              <w:top w:w="90" w:type="dxa"/>
              <w:bottom w:w="90" w:type="dxa"/>
              <w:left w:w="90" w:type="dxa"/>
              <w:right w:w="90" w:type="dxa"/>
            </w:tcMar>
          </w:tcPr>
          <w:p>
            <w:pPr>
              <w:spacing w:after="60" w:before="20"/>
            </w:pPr>
            <w:r>
              <w:rPr>
                <w:b w:val="0"/>
                <w:color w:val="17242D"/>
                <w:sz w:val="19"/>
              </w:rPr>
              <w:t>Operations lead</w:t>
            </w:r>
          </w:p>
        </w:tc>
        <w:tc>
          <w:tcPr>
            <w:tcW w:type="dxa" w:w="1728"/>
            <w:shd w:fill="FFFFFF"/>
            <w:tcMar>
              <w:top w:w="90" w:type="dxa"/>
              <w:bottom w:w="90" w:type="dxa"/>
              <w:left w:w="90" w:type="dxa"/>
              <w:right w:w="90" w:type="dxa"/>
            </w:tcMar>
          </w:tcPr>
          <w:p>
            <w:pPr>
              <w:spacing w:after="60" w:before="20"/>
            </w:pPr>
            <w:r>
              <w:rPr>
                <w:b w:val="0"/>
                <w:color w:val="17242D"/>
                <w:sz w:val="19"/>
              </w:rPr>
              <w:t>WP02 WP05 WP07 WP08 WP09 WP10</w:t>
            </w:r>
          </w:p>
        </w:tc>
        <w:tc>
          <w:tcPr>
            <w:tcW w:type="dxa" w:w="3888"/>
            <w:shd w:fill="FFFFFF"/>
            <w:tcMar>
              <w:top w:w="90" w:type="dxa"/>
              <w:bottom w:w="90" w:type="dxa"/>
              <w:left w:w="90" w:type="dxa"/>
              <w:right w:w="90" w:type="dxa"/>
            </w:tcMar>
          </w:tcPr>
          <w:p>
            <w:pPr>
              <w:spacing w:after="60" w:before="20"/>
            </w:pPr>
            <w:r>
              <w:rPr>
                <w:b w:val="0"/>
                <w:color w:val="17242D"/>
                <w:sz w:val="19"/>
              </w:rPr>
              <w:t>Release configuration, training, monitoring, backup, incident and exit processes</w:t>
            </w:r>
          </w:p>
        </w:tc>
      </w:tr>
    </w:tbl>
    <w:p>
      <w:pPr>
        <w:spacing w:after="20"/>
      </w:pPr>
    </w:p>
    <w:p>
      <w:pPr>
        <w:pStyle w:val="Heading1"/>
      </w:pPr>
      <w:r>
        <w:t>Increment sequence</w:t>
      </w:r>
    </w:p>
    <w:p>
      <w:pPr>
        <w:pStyle w:val="Heading2"/>
      </w:pPr>
      <w:r>
        <w:t>Increment 1 Identity and safe records</w:t>
      </w:r>
    </w:p>
    <w:p>
      <w:r>
        <w:rPr>
          <w:b/>
        </w:rPr>
        <w:t xml:space="preserve">Dependency </w:t>
      </w:r>
      <w:r>
        <w:t>WP01 WP02 WP03</w:t>
      </w:r>
    </w:p>
    <w:p>
      <w:r>
        <w:rPr>
          <w:b/>
        </w:rPr>
        <w:t xml:space="preserve">Deliverable </w:t>
      </w:r>
      <w:r>
        <w:t>Login, assigned synthetic person, draft observation, review and confirmed revision; audit and outbox atomicity</w:t>
      </w:r>
    </w:p>
    <w:p>
      <w:r>
        <w:rPr>
          <w:b/>
        </w:rPr>
        <w:t xml:space="preserve">Review demonstration </w:t>
      </w:r>
      <w:r>
        <w:t>Demonstrate wrong-person denial, idempotent retry and a concurrent amendment</w:t>
      </w:r>
    </w:p>
    <w:p>
      <w:pPr>
        <w:pStyle w:val="Heading2"/>
      </w:pPr>
      <w:r>
        <w:t>Increment 2 Programme reuse</w:t>
      </w:r>
    </w:p>
    <w:p>
      <w:r>
        <w:rPr>
          <w:b/>
        </w:rPr>
        <w:t xml:space="preserve">Dependency </w:t>
      </w:r>
      <w:r>
        <w:t>WP04 with WP03</w:t>
      </w:r>
    </w:p>
    <w:p>
      <w:r>
        <w:rPr>
          <w:b/>
        </w:rPr>
        <w:t xml:space="preserve">Deliverable </w:t>
      </w:r>
      <w:r>
        <w:t>Versioned maternal, TB and hypertension packs, reusable facts and unresolved questions</w:t>
      </w:r>
    </w:p>
    <w:p>
      <w:r>
        <w:rPr>
          <w:b/>
        </w:rPr>
        <w:t xml:space="preserve">Review demonstration </w:t>
      </w:r>
      <w:r>
        <w:t>Complete J01 without duplicate eligible entry and without inventing missing facts</w:t>
      </w:r>
    </w:p>
    <w:p>
      <w:pPr>
        <w:pStyle w:val="Heading2"/>
      </w:pPr>
      <w:r>
        <w:t>Increment 3 Bounded AI</w:t>
      </w:r>
    </w:p>
    <w:p>
      <w:r>
        <w:rPr>
          <w:b/>
        </w:rPr>
        <w:t xml:space="preserve">Dependency </w:t>
      </w:r>
      <w:r>
        <w:t>WP05 WP06</w:t>
      </w:r>
    </w:p>
    <w:p>
      <w:r>
        <w:rPr>
          <w:b/>
        </w:rPr>
        <w:t xml:space="preserve">Deliverable </w:t>
      </w:r>
      <w:r>
        <w:t>Typed plan, eligible provider manifests, two adapter simulators and review states</w:t>
      </w:r>
    </w:p>
    <w:p>
      <w:r>
        <w:rPr>
          <w:b/>
        </w:rPr>
        <w:t xml:space="preserve">Review demonstration </w:t>
      </w:r>
      <w:r>
        <w:t>Demonstrate refusal, bad quality, disagreement, stale approval and suspension</w:t>
      </w:r>
    </w:p>
    <w:p>
      <w:pPr>
        <w:pStyle w:val="Heading2"/>
      </w:pPr>
      <w:r>
        <w:t>Increment 4 Destination exchange</w:t>
      </w:r>
    </w:p>
    <w:p>
      <w:r>
        <w:rPr>
          <w:b/>
        </w:rPr>
        <w:t xml:space="preserve">Dependency </w:t>
      </w:r>
      <w:r>
        <w:t>WP07 with WP02</w:t>
      </w:r>
    </w:p>
    <w:p>
      <w:r>
        <w:rPr>
          <w:b/>
        </w:rPr>
        <w:t xml:space="preserve">Deliverable </w:t>
      </w:r>
      <w:r>
        <w:t>Two programme adapters, separate receipts, selected EHR or ABDM route</w:t>
      </w:r>
    </w:p>
    <w:p>
      <w:r>
        <w:rPr>
          <w:b/>
        </w:rPr>
        <w:t xml:space="preserve">Review demonstration </w:t>
      </w:r>
      <w:r>
        <w:t>Prove accepted-but-timeout reconciliation and business correction</w:t>
      </w:r>
    </w:p>
    <w:p>
      <w:pPr>
        <w:pStyle w:val="Heading2"/>
      </w:pPr>
      <w:r>
        <w:t>Increment 5 Field continuity</w:t>
      </w:r>
    </w:p>
    <w:p>
      <w:r>
        <w:rPr>
          <w:b/>
        </w:rPr>
        <w:t xml:space="preserve">Dependency </w:t>
      </w:r>
      <w:r>
        <w:t>WP08 WP09</w:t>
      </w:r>
    </w:p>
    <w:p>
      <w:r>
        <w:rPr>
          <w:b/>
        </w:rPr>
        <w:t xml:space="preserve">Deliverable </w:t>
      </w:r>
      <w:r>
        <w:t>Encrypted Android cache, signed lease, sync conflicts and owned referrals</w:t>
      </w:r>
    </w:p>
    <w:p>
      <w:r>
        <w:rPr>
          <w:b/>
        </w:rPr>
        <w:t xml:space="preserve">Review demonstration </w:t>
      </w:r>
      <w:r>
        <w:t>Recover interrupted capture and sync while urgent approved care remains available</w:t>
      </w:r>
    </w:p>
    <w:p>
      <w:pPr>
        <w:pStyle w:val="Heading2"/>
      </w:pPr>
      <w:r>
        <w:t>Increment 6 Operations and pilot</w:t>
      </w:r>
    </w:p>
    <w:p>
      <w:r>
        <w:rPr>
          <w:b/>
        </w:rPr>
        <w:t xml:space="preserve">Dependency </w:t>
      </w:r>
      <w:r>
        <w:t>WP10 WP11</w:t>
      </w:r>
    </w:p>
    <w:p>
      <w:r>
        <w:rPr>
          <w:b/>
        </w:rPr>
        <w:t xml:space="preserve">Deliverable </w:t>
      </w:r>
      <w:r>
        <w:t>Governed measures, support, training, release manifest and restoration</w:t>
      </w:r>
    </w:p>
    <w:p>
      <w:r>
        <w:rPr>
          <w:b/>
        </w:rPr>
        <w:t xml:space="preserve">Review demonstration </w:t>
      </w:r>
      <w:r>
        <w:t>Execute G4 and G5 evidence package before real deployment</w:t>
      </w:r>
    </w:p>
    <w:p>
      <w:pPr>
        <w:pStyle w:val="Heading1"/>
      </w:pPr>
      <w:r>
        <w:t>Repository and ownership proposal</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2016"/>
        <w:gridCol w:w="5616"/>
        <w:gridCol w:w="2448"/>
      </w:tblGrid>
      <w:tr>
        <w:trPr>
          <w:tblHeader/>
          <w:cantSplit/>
        </w:trPr>
        <w:tc>
          <w:tcPr>
            <w:tcW w:type="dxa" w:w="2016"/>
            <w:shd w:fill="173A50"/>
            <w:tcMar>
              <w:top w:w="90" w:type="dxa"/>
              <w:bottom w:w="90" w:type="dxa"/>
              <w:left w:w="90" w:type="dxa"/>
              <w:right w:w="90" w:type="dxa"/>
            </w:tcMar>
          </w:tcPr>
          <w:p>
            <w:pPr>
              <w:spacing w:after="60" w:before="20"/>
            </w:pPr>
            <w:r>
              <w:rPr>
                <w:b/>
                <w:color w:val="FFFFFF"/>
                <w:sz w:val="19"/>
              </w:rPr>
              <w:t>Area</w:t>
            </w:r>
          </w:p>
        </w:tc>
        <w:tc>
          <w:tcPr>
            <w:tcW w:type="dxa" w:w="5616"/>
            <w:shd w:fill="173A50"/>
            <w:tcMar>
              <w:top w:w="90" w:type="dxa"/>
              <w:bottom w:w="90" w:type="dxa"/>
              <w:left w:w="90" w:type="dxa"/>
              <w:right w:w="90" w:type="dxa"/>
            </w:tcMar>
          </w:tcPr>
          <w:p>
            <w:pPr>
              <w:spacing w:after="60" w:before="20"/>
            </w:pPr>
            <w:r>
              <w:rPr>
                <w:b/>
                <w:color w:val="FFFFFF"/>
                <w:sz w:val="19"/>
              </w:rPr>
              <w:t>Content</w:t>
            </w:r>
          </w:p>
        </w:tc>
        <w:tc>
          <w:tcPr>
            <w:tcW w:type="dxa" w:w="2448"/>
            <w:shd w:fill="173A50"/>
            <w:tcMar>
              <w:top w:w="90" w:type="dxa"/>
              <w:bottom w:w="90" w:type="dxa"/>
              <w:left w:w="90" w:type="dxa"/>
              <w:right w:w="90" w:type="dxa"/>
            </w:tcMar>
          </w:tcPr>
          <w:p>
            <w:pPr>
              <w:spacing w:after="60" w:before="20"/>
            </w:pPr>
            <w:r>
              <w:rPr>
                <w:b/>
                <w:color w:val="FFFFFF"/>
                <w:sz w:val="19"/>
              </w:rPr>
              <w:t>Primary reviewer</w:t>
            </w:r>
          </w:p>
        </w:tc>
      </w:tr>
      <w:tr>
        <w:trPr>
          <w:cantSplit/>
        </w:trPr>
        <w:tc>
          <w:tcPr>
            <w:tcW w:type="dxa" w:w="2016"/>
            <w:shd w:fill="FFFFFF"/>
            <w:tcMar>
              <w:top w:w="90" w:type="dxa"/>
              <w:bottom w:w="90" w:type="dxa"/>
              <w:left w:w="90" w:type="dxa"/>
              <w:right w:w="90" w:type="dxa"/>
            </w:tcMar>
          </w:tcPr>
          <w:p>
            <w:pPr>
              <w:spacing w:after="60" w:before="20"/>
            </w:pPr>
            <w:r>
              <w:rPr>
                <w:b w:val="0"/>
                <w:color w:val="17242D"/>
                <w:sz w:val="19"/>
              </w:rPr>
              <w:t>clients/android</w:t>
            </w:r>
          </w:p>
        </w:tc>
        <w:tc>
          <w:tcPr>
            <w:tcW w:type="dxa" w:w="5616"/>
            <w:shd w:fill="FFFFFF"/>
            <w:tcMar>
              <w:top w:w="90" w:type="dxa"/>
              <w:bottom w:w="90" w:type="dxa"/>
              <w:left w:w="90" w:type="dxa"/>
              <w:right w:w="90" w:type="dxa"/>
            </w:tcMar>
          </w:tcPr>
          <w:p>
            <w:pPr>
              <w:spacing w:after="60" w:before="20"/>
            </w:pPr>
            <w:r>
              <w:rPr>
                <w:b w:val="0"/>
                <w:color w:val="17242D"/>
                <w:sz w:val="19"/>
              </w:rPr>
              <w:t>Capture, local transaction store, key handling, offline sync and accessibility</w:t>
            </w:r>
          </w:p>
        </w:tc>
        <w:tc>
          <w:tcPr>
            <w:tcW w:type="dxa" w:w="2448"/>
            <w:shd w:fill="FFFFFF"/>
            <w:tcMar>
              <w:top w:w="90" w:type="dxa"/>
              <w:bottom w:w="90" w:type="dxa"/>
              <w:left w:w="90" w:type="dxa"/>
              <w:right w:w="90" w:type="dxa"/>
            </w:tcMar>
          </w:tcPr>
          <w:p>
            <w:pPr>
              <w:spacing w:after="60" w:before="20"/>
            </w:pPr>
            <w:r>
              <w:rPr>
                <w:b w:val="0"/>
                <w:color w:val="17242D"/>
                <w:sz w:val="19"/>
              </w:rPr>
              <w:t>Mobile and security</w:t>
            </w:r>
          </w:p>
        </w:tc>
      </w:tr>
      <w:tr>
        <w:trPr>
          <w:cantSplit/>
        </w:trPr>
        <w:tc>
          <w:tcPr>
            <w:tcW w:type="dxa" w:w="2016"/>
            <w:shd w:fill="F2F6F8"/>
            <w:tcMar>
              <w:top w:w="90" w:type="dxa"/>
              <w:bottom w:w="90" w:type="dxa"/>
              <w:left w:w="90" w:type="dxa"/>
              <w:right w:w="90" w:type="dxa"/>
            </w:tcMar>
          </w:tcPr>
          <w:p>
            <w:pPr>
              <w:spacing w:after="60" w:before="20"/>
            </w:pPr>
            <w:r>
              <w:rPr>
                <w:b w:val="0"/>
                <w:color w:val="17242D"/>
                <w:sz w:val="19"/>
              </w:rPr>
              <w:t>clients/admin</w:t>
            </w:r>
          </w:p>
        </w:tc>
        <w:tc>
          <w:tcPr>
            <w:tcW w:type="dxa" w:w="5616"/>
            <w:shd w:fill="F2F6F8"/>
            <w:tcMar>
              <w:top w:w="90" w:type="dxa"/>
              <w:bottom w:w="90" w:type="dxa"/>
              <w:left w:w="90" w:type="dxa"/>
              <w:right w:w="90" w:type="dxa"/>
            </w:tcMar>
          </w:tcPr>
          <w:p>
            <w:pPr>
              <w:spacing w:after="60" w:before="20"/>
            </w:pPr>
            <w:r>
              <w:rPr>
                <w:b w:val="0"/>
                <w:color w:val="17242D"/>
                <w:sz w:val="19"/>
              </w:rPr>
              <w:t>Supervisor, registry, connector, evidence and support screens</w:t>
            </w:r>
          </w:p>
        </w:tc>
        <w:tc>
          <w:tcPr>
            <w:tcW w:type="dxa" w:w="2448"/>
            <w:shd w:fill="F2F6F8"/>
            <w:tcMar>
              <w:top w:w="90" w:type="dxa"/>
              <w:bottom w:w="90" w:type="dxa"/>
              <w:left w:w="90" w:type="dxa"/>
              <w:right w:w="90" w:type="dxa"/>
            </w:tcMar>
          </w:tcPr>
          <w:p>
            <w:pPr>
              <w:spacing w:after="60" w:before="20"/>
            </w:pPr>
            <w:r>
              <w:rPr>
                <w:b w:val="0"/>
                <w:color w:val="17242D"/>
                <w:sz w:val="19"/>
              </w:rPr>
              <w:t>Product and operations</w:t>
            </w:r>
          </w:p>
        </w:tc>
      </w:tr>
      <w:tr>
        <w:trPr>
          <w:cantSplit/>
        </w:trPr>
        <w:tc>
          <w:tcPr>
            <w:tcW w:type="dxa" w:w="2016"/>
            <w:shd w:fill="FFFFFF"/>
            <w:tcMar>
              <w:top w:w="90" w:type="dxa"/>
              <w:bottom w:w="90" w:type="dxa"/>
              <w:left w:w="90" w:type="dxa"/>
              <w:right w:w="90" w:type="dxa"/>
            </w:tcMar>
          </w:tcPr>
          <w:p>
            <w:pPr>
              <w:spacing w:after="60" w:before="20"/>
            </w:pPr>
            <w:r>
              <w:rPr>
                <w:b w:val="0"/>
                <w:color w:val="17242D"/>
                <w:sz w:val="19"/>
              </w:rPr>
              <w:t>server/domain</w:t>
            </w:r>
          </w:p>
        </w:tc>
        <w:tc>
          <w:tcPr>
            <w:tcW w:type="dxa" w:w="5616"/>
            <w:shd w:fill="FFFFFF"/>
            <w:tcMar>
              <w:top w:w="90" w:type="dxa"/>
              <w:bottom w:w="90" w:type="dxa"/>
              <w:left w:w="90" w:type="dxa"/>
              <w:right w:w="90" w:type="dxa"/>
            </w:tcMar>
          </w:tcPr>
          <w:p>
            <w:pPr>
              <w:spacing w:after="60" w:before="20"/>
            </w:pPr>
            <w:r>
              <w:rPr>
                <w:b w:val="0"/>
                <w:color w:val="17242D"/>
                <w:sz w:val="19"/>
              </w:rPr>
              <w:t>Typed entities, commands, policy guards and revision rules</w:t>
            </w:r>
          </w:p>
        </w:tc>
        <w:tc>
          <w:tcPr>
            <w:tcW w:type="dxa" w:w="2448"/>
            <w:shd w:fill="FFFFFF"/>
            <w:tcMar>
              <w:top w:w="90" w:type="dxa"/>
              <w:bottom w:w="90" w:type="dxa"/>
              <w:left w:w="90" w:type="dxa"/>
              <w:right w:w="90" w:type="dxa"/>
            </w:tcMar>
          </w:tcPr>
          <w:p>
            <w:pPr>
              <w:spacing w:after="60" w:before="20"/>
            </w:pPr>
            <w:r>
              <w:rPr>
                <w:b w:val="0"/>
                <w:color w:val="17242D"/>
                <w:sz w:val="19"/>
              </w:rPr>
              <w:t>Backend and clinical informatics</w:t>
            </w:r>
          </w:p>
        </w:tc>
      </w:tr>
      <w:tr>
        <w:trPr>
          <w:cantSplit/>
        </w:trPr>
        <w:tc>
          <w:tcPr>
            <w:tcW w:type="dxa" w:w="2016"/>
            <w:shd w:fill="F2F6F8"/>
            <w:tcMar>
              <w:top w:w="90" w:type="dxa"/>
              <w:bottom w:w="90" w:type="dxa"/>
              <w:left w:w="90" w:type="dxa"/>
              <w:right w:w="90" w:type="dxa"/>
            </w:tcMar>
          </w:tcPr>
          <w:p>
            <w:pPr>
              <w:spacing w:after="60" w:before="20"/>
            </w:pPr>
            <w:r>
              <w:rPr>
                <w:b w:val="0"/>
                <w:color w:val="17242D"/>
                <w:sz w:val="19"/>
              </w:rPr>
              <w:t>server/workers</w:t>
            </w:r>
          </w:p>
        </w:tc>
        <w:tc>
          <w:tcPr>
            <w:tcW w:type="dxa" w:w="5616"/>
            <w:shd w:fill="F2F6F8"/>
            <w:tcMar>
              <w:top w:w="90" w:type="dxa"/>
              <w:bottom w:w="90" w:type="dxa"/>
              <w:left w:w="90" w:type="dxa"/>
              <w:right w:w="90" w:type="dxa"/>
            </w:tcMar>
          </w:tcPr>
          <w:p>
            <w:pPr>
              <w:spacing w:after="60" w:before="20"/>
            </w:pPr>
            <w:r>
              <w:rPr>
                <w:b w:val="0"/>
                <w:color w:val="17242D"/>
                <w:sz w:val="19"/>
              </w:rPr>
              <w:t>AI dispatch, destination exchange, reconciliation, exports and projections</w:t>
            </w:r>
          </w:p>
        </w:tc>
        <w:tc>
          <w:tcPr>
            <w:tcW w:type="dxa" w:w="2448"/>
            <w:shd w:fill="F2F6F8"/>
            <w:tcMar>
              <w:top w:w="90" w:type="dxa"/>
              <w:bottom w:w="90" w:type="dxa"/>
              <w:left w:w="90" w:type="dxa"/>
              <w:right w:w="90" w:type="dxa"/>
            </w:tcMar>
          </w:tcPr>
          <w:p>
            <w:pPr>
              <w:spacing w:after="60" w:before="20"/>
            </w:pPr>
            <w:r>
              <w:rPr>
                <w:b w:val="0"/>
                <w:color w:val="17242D"/>
                <w:sz w:val="19"/>
              </w:rPr>
              <w:t>Integration and reliability</w:t>
            </w:r>
          </w:p>
        </w:tc>
      </w:tr>
      <w:tr>
        <w:trPr>
          <w:cantSplit/>
        </w:trPr>
        <w:tc>
          <w:tcPr>
            <w:tcW w:type="dxa" w:w="2016"/>
            <w:shd w:fill="FFFFFF"/>
            <w:tcMar>
              <w:top w:w="90" w:type="dxa"/>
              <w:bottom w:w="90" w:type="dxa"/>
              <w:left w:w="90" w:type="dxa"/>
              <w:right w:w="90" w:type="dxa"/>
            </w:tcMar>
          </w:tcPr>
          <w:p>
            <w:pPr>
              <w:spacing w:after="60" w:before="20"/>
            </w:pPr>
            <w:r>
              <w:rPr>
                <w:b w:val="0"/>
                <w:color w:val="17242D"/>
                <w:sz w:val="19"/>
              </w:rPr>
              <w:t>contracts</w:t>
            </w:r>
          </w:p>
        </w:tc>
        <w:tc>
          <w:tcPr>
            <w:tcW w:type="dxa" w:w="5616"/>
            <w:shd w:fill="FFFFFF"/>
            <w:tcMar>
              <w:top w:w="90" w:type="dxa"/>
              <w:bottom w:w="90" w:type="dxa"/>
              <w:left w:w="90" w:type="dxa"/>
              <w:right w:w="90" w:type="dxa"/>
            </w:tcMar>
          </w:tcPr>
          <w:p>
            <w:pPr>
              <w:spacing w:after="60" w:before="20"/>
            </w:pPr>
            <w:r>
              <w:rPr>
                <w:b w:val="0"/>
                <w:color w:val="17242D"/>
                <w:sz w:val="19"/>
              </w:rPr>
              <w:t>Internal OpenAPI, events, manifests, mappings and version tests</w:t>
            </w:r>
          </w:p>
        </w:tc>
        <w:tc>
          <w:tcPr>
            <w:tcW w:type="dxa" w:w="2448"/>
            <w:shd w:fill="FFFFFF"/>
            <w:tcMar>
              <w:top w:w="90" w:type="dxa"/>
              <w:bottom w:w="90" w:type="dxa"/>
              <w:left w:w="90" w:type="dxa"/>
              <w:right w:w="90" w:type="dxa"/>
            </w:tcMar>
          </w:tcPr>
          <w:p>
            <w:pPr>
              <w:spacing w:after="60" w:before="20"/>
            </w:pPr>
            <w:r>
              <w:rPr>
                <w:b w:val="0"/>
                <w:color w:val="17242D"/>
                <w:sz w:val="19"/>
              </w:rPr>
              <w:t>API and informatics owners</w:t>
            </w:r>
          </w:p>
        </w:tc>
      </w:tr>
      <w:tr>
        <w:trPr>
          <w:cantSplit/>
        </w:trPr>
        <w:tc>
          <w:tcPr>
            <w:tcW w:type="dxa" w:w="2016"/>
            <w:shd w:fill="F2F6F8"/>
            <w:tcMar>
              <w:top w:w="90" w:type="dxa"/>
              <w:bottom w:w="90" w:type="dxa"/>
              <w:left w:w="90" w:type="dxa"/>
              <w:right w:w="90" w:type="dxa"/>
            </w:tcMar>
          </w:tcPr>
          <w:p>
            <w:pPr>
              <w:spacing w:after="60" w:before="20"/>
            </w:pPr>
            <w:r>
              <w:rPr>
                <w:b w:val="0"/>
                <w:color w:val="17242D"/>
                <w:sz w:val="19"/>
              </w:rPr>
              <w:t>infrastructure</w:t>
            </w:r>
          </w:p>
        </w:tc>
        <w:tc>
          <w:tcPr>
            <w:tcW w:type="dxa" w:w="5616"/>
            <w:shd w:fill="F2F6F8"/>
            <w:tcMar>
              <w:top w:w="90" w:type="dxa"/>
              <w:bottom w:w="90" w:type="dxa"/>
              <w:left w:w="90" w:type="dxa"/>
              <w:right w:w="90" w:type="dxa"/>
            </w:tcMar>
          </w:tcPr>
          <w:p>
            <w:pPr>
              <w:spacing w:after="60" w:before="20"/>
            </w:pPr>
            <w:r>
              <w:rPr>
                <w:b w:val="0"/>
                <w:color w:val="17242D"/>
                <w:sz w:val="19"/>
              </w:rPr>
              <w:t>Environment, identity, secrets, backup, telemetry and deployment manifests</w:t>
            </w:r>
          </w:p>
        </w:tc>
        <w:tc>
          <w:tcPr>
            <w:tcW w:type="dxa" w:w="2448"/>
            <w:shd w:fill="F2F6F8"/>
            <w:tcMar>
              <w:top w:w="90" w:type="dxa"/>
              <w:bottom w:w="90" w:type="dxa"/>
              <w:left w:w="90" w:type="dxa"/>
              <w:right w:w="90" w:type="dxa"/>
            </w:tcMar>
          </w:tcPr>
          <w:p>
            <w:pPr>
              <w:spacing w:after="60" w:before="20"/>
            </w:pPr>
            <w:r>
              <w:rPr>
                <w:b w:val="0"/>
                <w:color w:val="17242D"/>
                <w:sz w:val="19"/>
              </w:rPr>
              <w:t>Security and operations</w:t>
            </w:r>
          </w:p>
        </w:tc>
      </w:tr>
      <w:tr>
        <w:trPr>
          <w:cantSplit/>
        </w:trPr>
        <w:tc>
          <w:tcPr>
            <w:tcW w:type="dxa" w:w="2016"/>
            <w:shd w:fill="FFFFFF"/>
            <w:tcMar>
              <w:top w:w="90" w:type="dxa"/>
              <w:bottom w:w="90" w:type="dxa"/>
              <w:left w:w="90" w:type="dxa"/>
              <w:right w:w="90" w:type="dxa"/>
            </w:tcMar>
          </w:tcPr>
          <w:p>
            <w:pPr>
              <w:spacing w:after="60" w:before="20"/>
            </w:pPr>
            <w:r>
              <w:rPr>
                <w:b w:val="0"/>
                <w:color w:val="17242D"/>
                <w:sz w:val="19"/>
              </w:rPr>
              <w:t>validation</w:t>
            </w:r>
          </w:p>
        </w:tc>
        <w:tc>
          <w:tcPr>
            <w:tcW w:type="dxa" w:w="5616"/>
            <w:shd w:fill="FFFFFF"/>
            <w:tcMar>
              <w:top w:w="90" w:type="dxa"/>
              <w:bottom w:w="90" w:type="dxa"/>
              <w:left w:w="90" w:type="dxa"/>
              <w:right w:w="90" w:type="dxa"/>
            </w:tcMar>
          </w:tcPr>
          <w:p>
            <w:pPr>
              <w:spacing w:after="60" w:before="20"/>
            </w:pPr>
            <w:r>
              <w:rPr>
                <w:b w:val="0"/>
                <w:color w:val="17242D"/>
                <w:sz w:val="19"/>
              </w:rPr>
              <w:t>Synthetic fixtures, contract tests, failure injection and release evidence references</w:t>
            </w:r>
          </w:p>
        </w:tc>
        <w:tc>
          <w:tcPr>
            <w:tcW w:type="dxa" w:w="2448"/>
            <w:shd w:fill="FFFFFF"/>
            <w:tcMar>
              <w:top w:w="90" w:type="dxa"/>
              <w:bottom w:w="90" w:type="dxa"/>
              <w:left w:w="90" w:type="dxa"/>
              <w:right w:w="90" w:type="dxa"/>
            </w:tcMar>
          </w:tcPr>
          <w:p>
            <w:pPr>
              <w:spacing w:after="60" w:before="20"/>
            </w:pPr>
            <w:r>
              <w:rPr>
                <w:b w:val="0"/>
                <w:color w:val="17242D"/>
                <w:sz w:val="19"/>
              </w:rPr>
              <w:t>QA and clinical safety</w:t>
            </w:r>
          </w:p>
        </w:tc>
      </w:tr>
    </w:tbl>
    <w:p>
      <w:pPr>
        <w:spacing w:after="20"/>
      </w:pPr>
    </w:p>
    <w:p>
      <w:pPr>
        <w:pStyle w:val="Heading1"/>
      </w:pPr>
      <w:r>
        <w:t>Definition of ready</w:t>
      </w:r>
    </w:p>
    <w:p>
      <w:r>
        <w:t>A backlog item is ready when its source requirement, intended actor, screen or interface, input/output contract, denial paths, state changes, dependency and acceptance evidence are understood. For partner work, the approved contract and environment access must exist; otherwise build only a clearly identified simulator and keep the external dependency open. Clinical content needs a named clinical owner before implementation of thresholds or recommendations.</w:t>
      </w:r>
    </w:p>
    <w:p>
      <w:pPr>
        <w:pStyle w:val="Heading1"/>
      </w:pPr>
      <w:r>
        <w:t>Definition of done</w:t>
      </w:r>
    </w:p>
    <w:p>
      <w:r>
        <w:t>1. Code implements the requirement and its adverse path, with no hidden expansion of data access or clinical scope.</w:t>
      </w:r>
    </w:p>
    <w:p>
      <w:r>
        <w:t>2. A reviewer verifies state guards, schema and compatibility. Sensitive changes receive the required independent clinical or security review.</w:t>
      </w:r>
    </w:p>
    <w:p>
      <w:r>
        <w:t>3. Applicable tests run on a identified build and environment; evidence and defects are linked to the workbook row. Source requirement and design trace remain intact.</w:t>
      </w:r>
    </w:p>
    <w:p>
      <w:r>
        <w:t>4. User copy, accessibility, localisation and offline/error states are reviewed where relevant. Telemetry and runbook actions are ready.</w:t>
      </w:r>
    </w:p>
    <w:p>
      <w:r>
        <w:t>5. Migration, rollout and rollback are tested to the extent required by the change. No unresolved critical safety, disclosure or data-loss defect remains.</w:t>
      </w:r>
    </w:p>
    <w:p>
      <w:r>
        <w:t>6. Product owner accepts the result. Release-gate status is updated only when the associated external and operational prerequisites are also met.</w:t>
      </w:r>
    </w:p>
    <w:p>
      <w:pPr>
        <w:pStyle w:val="Heading1"/>
      </w:pPr>
      <w:r>
        <w:t>Dependency and decision management</w:t>
      </w:r>
    </w:p>
    <w:p>
      <w:r>
        <w:t>The critical path runs through deployment authority, actual programme forms, system-owner API access, clinical capability evidence and a working referral network. Discover these in parallel with foundational engineering. Delayed provider or EHR access should not block synthetic identity and transaction tests, but must block claims of full integration completion.</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3024"/>
        <w:gridCol w:w="3816"/>
        <w:gridCol w:w="1872"/>
        <w:gridCol w:w="1368"/>
      </w:tblGrid>
      <w:tr>
        <w:trPr>
          <w:tblHeader/>
          <w:cantSplit/>
        </w:trPr>
        <w:tc>
          <w:tcPr>
            <w:tcW w:type="dxa" w:w="3024"/>
            <w:shd w:fill="173A50"/>
            <w:tcMar>
              <w:top w:w="90" w:type="dxa"/>
              <w:bottom w:w="90" w:type="dxa"/>
              <w:left w:w="90" w:type="dxa"/>
              <w:right w:w="90" w:type="dxa"/>
            </w:tcMar>
          </w:tcPr>
          <w:p>
            <w:pPr>
              <w:spacing w:after="60" w:before="20"/>
            </w:pPr>
            <w:r>
              <w:rPr>
                <w:b/>
                <w:color w:val="FFFFFF"/>
                <w:sz w:val="19"/>
              </w:rPr>
              <w:t>Decision</w:t>
            </w:r>
          </w:p>
        </w:tc>
        <w:tc>
          <w:tcPr>
            <w:tcW w:type="dxa" w:w="3816"/>
            <w:shd w:fill="173A50"/>
            <w:tcMar>
              <w:top w:w="90" w:type="dxa"/>
              <w:bottom w:w="90" w:type="dxa"/>
              <w:left w:w="90" w:type="dxa"/>
              <w:right w:w="90" w:type="dxa"/>
            </w:tcMar>
          </w:tcPr>
          <w:p>
            <w:pPr>
              <w:spacing w:after="60" w:before="20"/>
            </w:pPr>
            <w:r>
              <w:rPr>
                <w:b/>
                <w:color w:val="FFFFFF"/>
                <w:sz w:val="19"/>
              </w:rPr>
              <w:t>Proposed baseline</w:t>
            </w:r>
          </w:p>
        </w:tc>
        <w:tc>
          <w:tcPr>
            <w:tcW w:type="dxa" w:w="1872"/>
            <w:shd w:fill="173A50"/>
            <w:tcMar>
              <w:top w:w="90" w:type="dxa"/>
              <w:bottom w:w="90" w:type="dxa"/>
              <w:left w:w="90" w:type="dxa"/>
              <w:right w:w="90" w:type="dxa"/>
            </w:tcMar>
          </w:tcPr>
          <w:p>
            <w:pPr>
              <w:spacing w:after="60" w:before="20"/>
            </w:pPr>
            <w:r>
              <w:rPr>
                <w:b/>
                <w:color w:val="FFFFFF"/>
                <w:sz w:val="19"/>
              </w:rPr>
              <w:t>Owner</w:t>
            </w:r>
          </w:p>
        </w:tc>
        <w:tc>
          <w:tcPr>
            <w:tcW w:type="dxa" w:w="1368"/>
            <w:shd w:fill="173A50"/>
            <w:tcMar>
              <w:top w:w="90" w:type="dxa"/>
              <w:bottom w:w="90" w:type="dxa"/>
              <w:left w:w="90" w:type="dxa"/>
              <w:right w:w="90" w:type="dxa"/>
            </w:tcMar>
          </w:tcPr>
          <w:p>
            <w:pPr>
              <w:spacing w:after="60" w:before="20"/>
            </w:pPr>
            <w:r>
              <w:rPr>
                <w:b/>
                <w:color w:val="FFFFFF"/>
                <w:sz w:val="19"/>
              </w:rPr>
              <w:t>Closure gate</w:t>
            </w:r>
          </w:p>
        </w:tc>
      </w:tr>
      <w:tr>
        <w:trPr>
          <w:cantSplit/>
        </w:trPr>
        <w:tc>
          <w:tcPr>
            <w:tcW w:type="dxa" w:w="3024"/>
            <w:shd w:fill="FFFFFF"/>
            <w:tcMar>
              <w:top w:w="90" w:type="dxa"/>
              <w:bottom w:w="90" w:type="dxa"/>
              <w:left w:w="90" w:type="dxa"/>
              <w:right w:w="90" w:type="dxa"/>
            </w:tcMar>
          </w:tcPr>
          <w:p>
            <w:pPr>
              <w:spacing w:after="60" w:before="20"/>
            </w:pPr>
            <w:r>
              <w:rPr>
                <w:b w:val="0"/>
                <w:color w:val="17242D"/>
                <w:sz w:val="19"/>
              </w:rPr>
              <w:t>D01 Buyer and deployment authority</w:t>
            </w:r>
          </w:p>
        </w:tc>
        <w:tc>
          <w:tcPr>
            <w:tcW w:type="dxa" w:w="3816"/>
            <w:shd w:fill="FFFFFF"/>
            <w:tcMar>
              <w:top w:w="90" w:type="dxa"/>
              <w:bottom w:w="90" w:type="dxa"/>
              <w:left w:w="90" w:type="dxa"/>
              <w:right w:w="90" w:type="dxa"/>
            </w:tcMar>
          </w:tcPr>
          <w:p>
            <w:pPr>
              <w:spacing w:after="60" w:before="20"/>
            </w:pPr>
            <w:r>
              <w:rPr>
                <w:b w:val="0"/>
                <w:color w:val="17242D"/>
                <w:sz w:val="19"/>
              </w:rPr>
              <w:t>One state or implementation organisation</w:t>
            </w:r>
          </w:p>
        </w:tc>
        <w:tc>
          <w:tcPr>
            <w:tcW w:type="dxa" w:w="1872"/>
            <w:shd w:fill="FFFFFF"/>
            <w:tcMar>
              <w:top w:w="90" w:type="dxa"/>
              <w:bottom w:w="90" w:type="dxa"/>
              <w:left w:w="90" w:type="dxa"/>
              <w:right w:w="90" w:type="dxa"/>
            </w:tcMar>
          </w:tcPr>
          <w:p>
            <w:pPr>
              <w:spacing w:after="60" w:before="20"/>
            </w:pPr>
            <w:r>
              <w:rPr>
                <w:b w:val="0"/>
                <w:color w:val="17242D"/>
                <w:sz w:val="19"/>
              </w:rPr>
              <w:t>Sponsor</w:t>
            </w:r>
          </w:p>
        </w:tc>
        <w:tc>
          <w:tcPr>
            <w:tcW w:type="dxa" w:w="1368"/>
            <w:shd w:fill="FFFFFF"/>
            <w:tcMar>
              <w:top w:w="90" w:type="dxa"/>
              <w:bottom w:w="90" w:type="dxa"/>
              <w:left w:w="90" w:type="dxa"/>
              <w:right w:w="90" w:type="dxa"/>
            </w:tcMar>
          </w:tcPr>
          <w:p>
            <w:pPr>
              <w:spacing w:after="60" w:before="20"/>
            </w:pPr>
            <w:r>
              <w:rPr>
                <w:b w:val="0"/>
                <w:color w:val="17242D"/>
                <w:sz w:val="19"/>
              </w:rPr>
              <w:t>G1</w:t>
            </w:r>
          </w:p>
        </w:tc>
      </w:tr>
      <w:tr>
        <w:trPr>
          <w:cantSplit/>
        </w:trPr>
        <w:tc>
          <w:tcPr>
            <w:tcW w:type="dxa" w:w="3024"/>
            <w:shd w:fill="F2F6F8"/>
            <w:tcMar>
              <w:top w:w="90" w:type="dxa"/>
              <w:bottom w:w="90" w:type="dxa"/>
              <w:left w:w="90" w:type="dxa"/>
              <w:right w:w="90" w:type="dxa"/>
            </w:tcMar>
          </w:tcPr>
          <w:p>
            <w:pPr>
              <w:spacing w:after="60" w:before="20"/>
            </w:pPr>
            <w:r>
              <w:rPr>
                <w:b w:val="0"/>
                <w:color w:val="17242D"/>
                <w:sz w:val="19"/>
              </w:rPr>
              <w:t>D02 Pilot location and cohort</w:t>
            </w:r>
          </w:p>
        </w:tc>
        <w:tc>
          <w:tcPr>
            <w:tcW w:type="dxa" w:w="3816"/>
            <w:shd w:fill="F2F6F8"/>
            <w:tcMar>
              <w:top w:w="90" w:type="dxa"/>
              <w:bottom w:w="90" w:type="dxa"/>
              <w:left w:w="90" w:type="dxa"/>
              <w:right w:w="90" w:type="dxa"/>
            </w:tcMar>
          </w:tcPr>
          <w:p>
            <w:pPr>
              <w:spacing w:after="60" w:before="20"/>
            </w:pPr>
            <w:r>
              <w:rPr>
                <w:b w:val="0"/>
                <w:color w:val="17242D"/>
                <w:sz w:val="19"/>
              </w:rPr>
              <w:t>One district and 100 to 200 workers</w:t>
            </w:r>
          </w:p>
        </w:tc>
        <w:tc>
          <w:tcPr>
            <w:tcW w:type="dxa" w:w="1872"/>
            <w:shd w:fill="F2F6F8"/>
            <w:tcMar>
              <w:top w:w="90" w:type="dxa"/>
              <w:bottom w:w="90" w:type="dxa"/>
              <w:left w:w="90" w:type="dxa"/>
              <w:right w:w="90" w:type="dxa"/>
            </w:tcMar>
          </w:tcPr>
          <w:p>
            <w:pPr>
              <w:spacing w:after="60" w:before="20"/>
            </w:pPr>
            <w:r>
              <w:rPr>
                <w:b w:val="0"/>
                <w:color w:val="17242D"/>
                <w:sz w:val="19"/>
              </w:rPr>
              <w:t>Operations</w:t>
            </w:r>
          </w:p>
        </w:tc>
        <w:tc>
          <w:tcPr>
            <w:tcW w:type="dxa" w:w="1368"/>
            <w:shd w:fill="F2F6F8"/>
            <w:tcMar>
              <w:top w:w="90" w:type="dxa"/>
              <w:bottom w:w="90" w:type="dxa"/>
              <w:left w:w="90" w:type="dxa"/>
              <w:right w:w="90" w:type="dxa"/>
            </w:tcMar>
          </w:tcPr>
          <w:p>
            <w:pPr>
              <w:spacing w:after="60" w:before="20"/>
            </w:pPr>
            <w:r>
              <w:rPr>
                <w:b w:val="0"/>
                <w:color w:val="17242D"/>
                <w:sz w:val="19"/>
              </w:rPr>
              <w:t>G1</w:t>
            </w:r>
          </w:p>
        </w:tc>
      </w:tr>
      <w:tr>
        <w:trPr>
          <w:cantSplit/>
        </w:trPr>
        <w:tc>
          <w:tcPr>
            <w:tcW w:type="dxa" w:w="3024"/>
            <w:shd w:fill="FFFFFF"/>
            <w:tcMar>
              <w:top w:w="90" w:type="dxa"/>
              <w:bottom w:w="90" w:type="dxa"/>
              <w:left w:w="90" w:type="dxa"/>
              <w:right w:w="90" w:type="dxa"/>
            </w:tcMar>
          </w:tcPr>
          <w:p>
            <w:pPr>
              <w:spacing w:after="60" w:before="20"/>
            </w:pPr>
            <w:r>
              <w:rPr>
                <w:b w:val="0"/>
                <w:color w:val="17242D"/>
                <w:sz w:val="19"/>
              </w:rPr>
              <w:t>D03 Programme selection</w:t>
            </w:r>
          </w:p>
        </w:tc>
        <w:tc>
          <w:tcPr>
            <w:tcW w:type="dxa" w:w="3816"/>
            <w:shd w:fill="FFFFFF"/>
            <w:tcMar>
              <w:top w:w="90" w:type="dxa"/>
              <w:bottom w:w="90" w:type="dxa"/>
              <w:left w:w="90" w:type="dxa"/>
              <w:right w:w="90" w:type="dxa"/>
            </w:tcMar>
          </w:tcPr>
          <w:p>
            <w:pPr>
              <w:spacing w:after="60" w:before="20"/>
            </w:pPr>
            <w:r>
              <w:rPr>
                <w:b w:val="0"/>
                <w:color w:val="17242D"/>
                <w:sz w:val="19"/>
              </w:rPr>
              <w:t>Maternal health TB hypertension</w:t>
            </w:r>
          </w:p>
        </w:tc>
        <w:tc>
          <w:tcPr>
            <w:tcW w:type="dxa" w:w="1872"/>
            <w:shd w:fill="FFFFFF"/>
            <w:tcMar>
              <w:top w:w="90" w:type="dxa"/>
              <w:bottom w:w="90" w:type="dxa"/>
              <w:left w:w="90" w:type="dxa"/>
              <w:right w:w="90" w:type="dxa"/>
            </w:tcMar>
          </w:tcPr>
          <w:p>
            <w:pPr>
              <w:spacing w:after="60" w:before="20"/>
            </w:pPr>
            <w:r>
              <w:rPr>
                <w:b w:val="0"/>
                <w:color w:val="17242D"/>
                <w:sz w:val="19"/>
              </w:rPr>
              <w:t>Programme owners</w:t>
            </w:r>
          </w:p>
        </w:tc>
        <w:tc>
          <w:tcPr>
            <w:tcW w:type="dxa" w:w="1368"/>
            <w:shd w:fill="FFFFFF"/>
            <w:tcMar>
              <w:top w:w="90" w:type="dxa"/>
              <w:bottom w:w="90" w:type="dxa"/>
              <w:left w:w="90" w:type="dxa"/>
              <w:right w:w="90" w:type="dxa"/>
            </w:tcMar>
          </w:tcPr>
          <w:p>
            <w:pPr>
              <w:spacing w:after="60" w:before="20"/>
            </w:pPr>
            <w:r>
              <w:rPr>
                <w:b w:val="0"/>
                <w:color w:val="17242D"/>
                <w:sz w:val="19"/>
              </w:rPr>
              <w:t>G1</w:t>
            </w:r>
          </w:p>
        </w:tc>
      </w:tr>
      <w:tr>
        <w:trPr>
          <w:cantSplit/>
        </w:trPr>
        <w:tc>
          <w:tcPr>
            <w:tcW w:type="dxa" w:w="3024"/>
            <w:shd w:fill="F2F6F8"/>
            <w:tcMar>
              <w:top w:w="90" w:type="dxa"/>
              <w:bottom w:w="90" w:type="dxa"/>
              <w:left w:w="90" w:type="dxa"/>
              <w:right w:w="90" w:type="dxa"/>
            </w:tcMar>
          </w:tcPr>
          <w:p>
            <w:pPr>
              <w:spacing w:after="60" w:before="20"/>
            </w:pPr>
            <w:r>
              <w:rPr>
                <w:b w:val="0"/>
                <w:color w:val="17242D"/>
                <w:sz w:val="19"/>
              </w:rPr>
              <w:t>D04 Two live destinations</w:t>
            </w:r>
          </w:p>
        </w:tc>
        <w:tc>
          <w:tcPr>
            <w:tcW w:type="dxa" w:w="3816"/>
            <w:shd w:fill="F2F6F8"/>
            <w:tcMar>
              <w:top w:w="90" w:type="dxa"/>
              <w:bottom w:w="90" w:type="dxa"/>
              <w:left w:w="90" w:type="dxa"/>
              <w:right w:w="90" w:type="dxa"/>
            </w:tcMar>
          </w:tcPr>
          <w:p>
            <w:pPr>
              <w:spacing w:after="60" w:before="20"/>
            </w:pPr>
            <w:r>
              <w:rPr>
                <w:b w:val="0"/>
                <w:color w:val="17242D"/>
                <w:sz w:val="19"/>
              </w:rPr>
              <w:t>Candidate systems only</w:t>
            </w:r>
          </w:p>
        </w:tc>
        <w:tc>
          <w:tcPr>
            <w:tcW w:type="dxa" w:w="1872"/>
            <w:shd w:fill="F2F6F8"/>
            <w:tcMar>
              <w:top w:w="90" w:type="dxa"/>
              <w:bottom w:w="90" w:type="dxa"/>
              <w:left w:w="90" w:type="dxa"/>
              <w:right w:w="90" w:type="dxa"/>
            </w:tcMar>
          </w:tcPr>
          <w:p>
            <w:pPr>
              <w:spacing w:after="60" w:before="20"/>
            </w:pPr>
            <w:r>
              <w:rPr>
                <w:b w:val="0"/>
                <w:color w:val="17242D"/>
                <w:sz w:val="19"/>
              </w:rPr>
              <w:t>Integration owner</w:t>
            </w:r>
          </w:p>
        </w:tc>
        <w:tc>
          <w:tcPr>
            <w:tcW w:type="dxa" w:w="1368"/>
            <w:shd w:fill="F2F6F8"/>
            <w:tcMar>
              <w:top w:w="90" w:type="dxa"/>
              <w:bottom w:w="90" w:type="dxa"/>
              <w:left w:w="90" w:type="dxa"/>
              <w:right w:w="90" w:type="dxa"/>
            </w:tcMar>
          </w:tcPr>
          <w:p>
            <w:pPr>
              <w:spacing w:after="60" w:before="20"/>
            </w:pPr>
            <w:r>
              <w:rPr>
                <w:b w:val="0"/>
                <w:color w:val="17242D"/>
                <w:sz w:val="19"/>
              </w:rPr>
              <w:t>G2</w:t>
            </w:r>
          </w:p>
        </w:tc>
      </w:tr>
      <w:tr>
        <w:trPr>
          <w:cantSplit/>
        </w:trPr>
        <w:tc>
          <w:tcPr>
            <w:tcW w:type="dxa" w:w="3024"/>
            <w:shd w:fill="FFFFFF"/>
            <w:tcMar>
              <w:top w:w="90" w:type="dxa"/>
              <w:bottom w:w="90" w:type="dxa"/>
              <w:left w:w="90" w:type="dxa"/>
              <w:right w:w="90" w:type="dxa"/>
            </w:tcMar>
          </w:tcPr>
          <w:p>
            <w:pPr>
              <w:spacing w:after="60" w:before="20"/>
            </w:pPr>
            <w:r>
              <w:rPr>
                <w:b w:val="0"/>
                <w:color w:val="17242D"/>
                <w:sz w:val="19"/>
              </w:rPr>
              <w:t>D05 AI providers and clinical use</w:t>
            </w:r>
          </w:p>
        </w:tc>
        <w:tc>
          <w:tcPr>
            <w:tcW w:type="dxa" w:w="3816"/>
            <w:shd w:fill="FFFFFF"/>
            <w:tcMar>
              <w:top w:w="90" w:type="dxa"/>
              <w:bottom w:w="90" w:type="dxa"/>
              <w:left w:w="90" w:type="dxa"/>
              <w:right w:w="90" w:type="dxa"/>
            </w:tcMar>
          </w:tcPr>
          <w:p>
            <w:pPr>
              <w:spacing w:after="60" w:before="20"/>
            </w:pPr>
            <w:r>
              <w:rPr>
                <w:b w:val="0"/>
                <w:color w:val="17242D"/>
                <w:sz w:val="19"/>
              </w:rPr>
              <w:t>Two providers with at least one eligible health capability</w:t>
            </w:r>
          </w:p>
        </w:tc>
        <w:tc>
          <w:tcPr>
            <w:tcW w:type="dxa" w:w="1872"/>
            <w:shd w:fill="FFFFFF"/>
            <w:tcMar>
              <w:top w:w="90" w:type="dxa"/>
              <w:bottom w:w="90" w:type="dxa"/>
              <w:left w:w="90" w:type="dxa"/>
              <w:right w:w="90" w:type="dxa"/>
            </w:tcMar>
          </w:tcPr>
          <w:p>
            <w:pPr>
              <w:spacing w:after="60" w:before="20"/>
            </w:pPr>
            <w:r>
              <w:rPr>
                <w:b w:val="0"/>
                <w:color w:val="17242D"/>
                <w:sz w:val="19"/>
              </w:rPr>
              <w:t>AI governance</w:t>
            </w:r>
          </w:p>
        </w:tc>
        <w:tc>
          <w:tcPr>
            <w:tcW w:type="dxa" w:w="1368"/>
            <w:shd w:fill="FFFFFF"/>
            <w:tcMar>
              <w:top w:w="90" w:type="dxa"/>
              <w:bottom w:w="90" w:type="dxa"/>
              <w:left w:w="90" w:type="dxa"/>
              <w:right w:w="90" w:type="dxa"/>
            </w:tcMar>
          </w:tcPr>
          <w:p>
            <w:pPr>
              <w:spacing w:after="60" w:before="20"/>
            </w:pPr>
            <w:r>
              <w:rPr>
                <w:b w:val="0"/>
                <w:color w:val="17242D"/>
                <w:sz w:val="19"/>
              </w:rPr>
              <w:t>G3</w:t>
            </w:r>
          </w:p>
        </w:tc>
      </w:tr>
      <w:tr>
        <w:trPr>
          <w:cantSplit/>
        </w:trPr>
        <w:tc>
          <w:tcPr>
            <w:tcW w:type="dxa" w:w="3024"/>
            <w:shd w:fill="F2F6F8"/>
            <w:tcMar>
              <w:top w:w="90" w:type="dxa"/>
              <w:bottom w:w="90" w:type="dxa"/>
              <w:left w:w="90" w:type="dxa"/>
              <w:right w:w="90" w:type="dxa"/>
            </w:tcMar>
          </w:tcPr>
          <w:p>
            <w:pPr>
              <w:spacing w:after="60" w:before="20"/>
            </w:pPr>
            <w:r>
              <w:rPr>
                <w:b w:val="0"/>
                <w:color w:val="17242D"/>
                <w:sz w:val="19"/>
              </w:rPr>
              <w:t>D06 Clinical authority</w:t>
            </w:r>
          </w:p>
        </w:tc>
        <w:tc>
          <w:tcPr>
            <w:tcW w:type="dxa" w:w="3816"/>
            <w:shd w:fill="F2F6F8"/>
            <w:tcMar>
              <w:top w:w="90" w:type="dxa"/>
              <w:bottom w:w="90" w:type="dxa"/>
              <w:left w:w="90" w:type="dxa"/>
              <w:right w:w="90" w:type="dxa"/>
            </w:tcMar>
          </w:tcPr>
          <w:p>
            <w:pPr>
              <w:spacing w:after="60" w:before="20"/>
            </w:pPr>
            <w:r>
              <w:rPr>
                <w:b w:val="0"/>
                <w:color w:val="17242D"/>
                <w:sz w:val="19"/>
              </w:rPr>
              <w:t>Qualified clinical lead and referral network</w:t>
            </w:r>
          </w:p>
        </w:tc>
        <w:tc>
          <w:tcPr>
            <w:tcW w:type="dxa" w:w="1872"/>
            <w:shd w:fill="F2F6F8"/>
            <w:tcMar>
              <w:top w:w="90" w:type="dxa"/>
              <w:bottom w:w="90" w:type="dxa"/>
              <w:left w:w="90" w:type="dxa"/>
              <w:right w:w="90" w:type="dxa"/>
            </w:tcMar>
          </w:tcPr>
          <w:p>
            <w:pPr>
              <w:spacing w:after="60" w:before="20"/>
            </w:pPr>
            <w:r>
              <w:rPr>
                <w:b w:val="0"/>
                <w:color w:val="17242D"/>
                <w:sz w:val="19"/>
              </w:rPr>
              <w:t>Buyer</w:t>
            </w:r>
          </w:p>
        </w:tc>
        <w:tc>
          <w:tcPr>
            <w:tcW w:type="dxa" w:w="1368"/>
            <w:shd w:fill="F2F6F8"/>
            <w:tcMar>
              <w:top w:w="90" w:type="dxa"/>
              <w:bottom w:w="90" w:type="dxa"/>
              <w:left w:w="90" w:type="dxa"/>
              <w:right w:w="90" w:type="dxa"/>
            </w:tcMar>
          </w:tcPr>
          <w:p>
            <w:pPr>
              <w:spacing w:after="60" w:before="20"/>
            </w:pPr>
            <w:r>
              <w:rPr>
                <w:b w:val="0"/>
                <w:color w:val="17242D"/>
                <w:sz w:val="19"/>
              </w:rPr>
              <w:t>G1</w:t>
            </w:r>
          </w:p>
        </w:tc>
      </w:tr>
      <w:tr>
        <w:trPr>
          <w:cantSplit/>
        </w:trPr>
        <w:tc>
          <w:tcPr>
            <w:tcW w:type="dxa" w:w="3024"/>
            <w:shd w:fill="FFFFFF"/>
            <w:tcMar>
              <w:top w:w="90" w:type="dxa"/>
              <w:bottom w:w="90" w:type="dxa"/>
              <w:left w:w="90" w:type="dxa"/>
              <w:right w:w="90" w:type="dxa"/>
            </w:tcMar>
          </w:tcPr>
          <w:p>
            <w:pPr>
              <w:spacing w:after="60" w:before="20"/>
            </w:pPr>
            <w:r>
              <w:rPr>
                <w:b w:val="0"/>
                <w:color w:val="17242D"/>
                <w:sz w:val="19"/>
              </w:rPr>
              <w:t>D07 Languages</w:t>
            </w:r>
          </w:p>
        </w:tc>
        <w:tc>
          <w:tcPr>
            <w:tcW w:type="dxa" w:w="3816"/>
            <w:shd w:fill="FFFFFF"/>
            <w:tcMar>
              <w:top w:w="90" w:type="dxa"/>
              <w:bottom w:w="90" w:type="dxa"/>
              <w:left w:w="90" w:type="dxa"/>
              <w:right w:w="90" w:type="dxa"/>
            </w:tcMar>
          </w:tcPr>
          <w:p>
            <w:pPr>
              <w:spacing w:after="60" w:before="20"/>
            </w:pPr>
            <w:r>
              <w:rPr>
                <w:b w:val="0"/>
                <w:color w:val="17242D"/>
                <w:sz w:val="19"/>
              </w:rPr>
              <w:t>Hindi and English subject to local suitability</w:t>
            </w:r>
          </w:p>
        </w:tc>
        <w:tc>
          <w:tcPr>
            <w:tcW w:type="dxa" w:w="1872"/>
            <w:shd w:fill="FFFFFF"/>
            <w:tcMar>
              <w:top w:w="90" w:type="dxa"/>
              <w:bottom w:w="90" w:type="dxa"/>
              <w:left w:w="90" w:type="dxa"/>
              <w:right w:w="90" w:type="dxa"/>
            </w:tcMar>
          </w:tcPr>
          <w:p>
            <w:pPr>
              <w:spacing w:after="60" w:before="20"/>
            </w:pPr>
            <w:r>
              <w:rPr>
                <w:b w:val="0"/>
                <w:color w:val="17242D"/>
                <w:sz w:val="19"/>
              </w:rPr>
              <w:t>Operations</w:t>
            </w:r>
          </w:p>
        </w:tc>
        <w:tc>
          <w:tcPr>
            <w:tcW w:type="dxa" w:w="1368"/>
            <w:shd w:fill="FFFFFF"/>
            <w:tcMar>
              <w:top w:w="90" w:type="dxa"/>
              <w:bottom w:w="90" w:type="dxa"/>
              <w:left w:w="90" w:type="dxa"/>
              <w:right w:w="90" w:type="dxa"/>
            </w:tcMar>
          </w:tcPr>
          <w:p>
            <w:pPr>
              <w:spacing w:after="60" w:before="20"/>
            </w:pPr>
            <w:r>
              <w:rPr>
                <w:b w:val="0"/>
                <w:color w:val="17242D"/>
                <w:sz w:val="19"/>
              </w:rPr>
              <w:t>G1</w:t>
            </w:r>
          </w:p>
        </w:tc>
      </w:tr>
      <w:tr>
        <w:trPr>
          <w:cantSplit/>
        </w:trPr>
        <w:tc>
          <w:tcPr>
            <w:tcW w:type="dxa" w:w="3024"/>
            <w:shd w:fill="F2F6F8"/>
            <w:tcMar>
              <w:top w:w="90" w:type="dxa"/>
              <w:bottom w:w="90" w:type="dxa"/>
              <w:left w:w="90" w:type="dxa"/>
              <w:right w:w="90" w:type="dxa"/>
            </w:tcMar>
          </w:tcPr>
          <w:p>
            <w:pPr>
              <w:spacing w:after="60" w:before="20"/>
            </w:pPr>
            <w:r>
              <w:rPr>
                <w:b w:val="0"/>
                <w:color w:val="17242D"/>
                <w:sz w:val="19"/>
              </w:rPr>
              <w:t>D08 Processing basis</w:t>
            </w:r>
          </w:p>
        </w:tc>
        <w:tc>
          <w:tcPr>
            <w:tcW w:type="dxa" w:w="3816"/>
            <w:shd w:fill="F2F6F8"/>
            <w:tcMar>
              <w:top w:w="90" w:type="dxa"/>
              <w:bottom w:w="90" w:type="dxa"/>
              <w:left w:w="90" w:type="dxa"/>
              <w:right w:w="90" w:type="dxa"/>
            </w:tcMar>
          </w:tcPr>
          <w:p>
            <w:pPr>
              <w:spacing w:after="60" w:before="20"/>
            </w:pPr>
            <w:r>
              <w:rPr>
                <w:b w:val="0"/>
                <w:color w:val="17242D"/>
                <w:sz w:val="19"/>
              </w:rPr>
              <w:t>Per purpose organisation recipient</w:t>
            </w:r>
          </w:p>
        </w:tc>
        <w:tc>
          <w:tcPr>
            <w:tcW w:type="dxa" w:w="1872"/>
            <w:shd w:fill="F2F6F8"/>
            <w:tcMar>
              <w:top w:w="90" w:type="dxa"/>
              <w:bottom w:w="90" w:type="dxa"/>
              <w:left w:w="90" w:type="dxa"/>
              <w:right w:w="90" w:type="dxa"/>
            </w:tcMar>
          </w:tcPr>
          <w:p>
            <w:pPr>
              <w:spacing w:after="60" w:before="20"/>
            </w:pPr>
            <w:r>
              <w:rPr>
                <w:b w:val="0"/>
                <w:color w:val="17242D"/>
                <w:sz w:val="19"/>
              </w:rPr>
              <w:t>Privacy lead</w:t>
            </w:r>
          </w:p>
        </w:tc>
        <w:tc>
          <w:tcPr>
            <w:tcW w:type="dxa" w:w="1368"/>
            <w:shd w:fill="F2F6F8"/>
            <w:tcMar>
              <w:top w:w="90" w:type="dxa"/>
              <w:bottom w:w="90" w:type="dxa"/>
              <w:left w:w="90" w:type="dxa"/>
              <w:right w:w="90" w:type="dxa"/>
            </w:tcMar>
          </w:tcPr>
          <w:p>
            <w:pPr>
              <w:spacing w:after="60" w:before="20"/>
            </w:pPr>
            <w:r>
              <w:rPr>
                <w:b w:val="0"/>
                <w:color w:val="17242D"/>
                <w:sz w:val="19"/>
              </w:rPr>
              <w:t>G2</w:t>
            </w:r>
          </w:p>
        </w:tc>
      </w:tr>
      <w:tr>
        <w:trPr>
          <w:cantSplit/>
        </w:trPr>
        <w:tc>
          <w:tcPr>
            <w:tcW w:type="dxa" w:w="3024"/>
            <w:shd w:fill="FFFFFF"/>
            <w:tcMar>
              <w:top w:w="90" w:type="dxa"/>
              <w:bottom w:w="90" w:type="dxa"/>
              <w:left w:w="90" w:type="dxa"/>
              <w:right w:w="90" w:type="dxa"/>
            </w:tcMar>
          </w:tcPr>
          <w:p>
            <w:pPr>
              <w:spacing w:after="60" w:before="20"/>
            </w:pPr>
            <w:r>
              <w:rPr>
                <w:b w:val="0"/>
                <w:color w:val="17242D"/>
                <w:sz w:val="19"/>
              </w:rPr>
              <w:t>D09 Hosting locations</w:t>
            </w:r>
          </w:p>
        </w:tc>
        <w:tc>
          <w:tcPr>
            <w:tcW w:type="dxa" w:w="3816"/>
            <w:shd w:fill="FFFFFF"/>
            <w:tcMar>
              <w:top w:w="90" w:type="dxa"/>
              <w:bottom w:w="90" w:type="dxa"/>
              <w:left w:w="90" w:type="dxa"/>
              <w:right w:w="90" w:type="dxa"/>
            </w:tcMar>
          </w:tcPr>
          <w:p>
            <w:pPr>
              <w:spacing w:after="60" w:before="20"/>
            </w:pPr>
            <w:r>
              <w:rPr>
                <w:b w:val="0"/>
                <w:color w:val="17242D"/>
                <w:sz w:val="19"/>
              </w:rPr>
              <w:t>Buyer-approved processing regions</w:t>
            </w:r>
          </w:p>
        </w:tc>
        <w:tc>
          <w:tcPr>
            <w:tcW w:type="dxa" w:w="1872"/>
            <w:shd w:fill="FFFFFF"/>
            <w:tcMar>
              <w:top w:w="90" w:type="dxa"/>
              <w:bottom w:w="90" w:type="dxa"/>
              <w:left w:w="90" w:type="dxa"/>
              <w:right w:w="90" w:type="dxa"/>
            </w:tcMar>
          </w:tcPr>
          <w:p>
            <w:pPr>
              <w:spacing w:after="60" w:before="20"/>
            </w:pPr>
            <w:r>
              <w:rPr>
                <w:b w:val="0"/>
                <w:color w:val="17242D"/>
                <w:sz w:val="19"/>
              </w:rPr>
              <w:t>Security lead</w:t>
            </w:r>
          </w:p>
        </w:tc>
        <w:tc>
          <w:tcPr>
            <w:tcW w:type="dxa" w:w="1368"/>
            <w:shd w:fill="FFFFFF"/>
            <w:tcMar>
              <w:top w:w="90" w:type="dxa"/>
              <w:bottom w:w="90" w:type="dxa"/>
              <w:left w:w="90" w:type="dxa"/>
              <w:right w:w="90" w:type="dxa"/>
            </w:tcMar>
          </w:tcPr>
          <w:p>
            <w:pPr>
              <w:spacing w:after="60" w:before="20"/>
            </w:pPr>
            <w:r>
              <w:rPr>
                <w:b w:val="0"/>
                <w:color w:val="17242D"/>
                <w:sz w:val="19"/>
              </w:rPr>
              <w:t>G4</w:t>
            </w:r>
          </w:p>
        </w:tc>
      </w:tr>
      <w:tr>
        <w:trPr>
          <w:cantSplit/>
        </w:trPr>
        <w:tc>
          <w:tcPr>
            <w:tcW w:type="dxa" w:w="3024"/>
            <w:shd w:fill="F2F6F8"/>
            <w:tcMar>
              <w:top w:w="90" w:type="dxa"/>
              <w:bottom w:w="90" w:type="dxa"/>
              <w:left w:w="90" w:type="dxa"/>
              <w:right w:w="90" w:type="dxa"/>
            </w:tcMar>
          </w:tcPr>
          <w:p>
            <w:pPr>
              <w:spacing w:after="60" w:before="20"/>
            </w:pPr>
            <w:r>
              <w:rPr>
                <w:b w:val="0"/>
                <w:color w:val="17242D"/>
                <w:sz w:val="19"/>
              </w:rPr>
              <w:t>D10 Device and authentication</w:t>
            </w:r>
          </w:p>
        </w:tc>
        <w:tc>
          <w:tcPr>
            <w:tcW w:type="dxa" w:w="3816"/>
            <w:shd w:fill="F2F6F8"/>
            <w:tcMar>
              <w:top w:w="90" w:type="dxa"/>
              <w:bottom w:w="90" w:type="dxa"/>
              <w:left w:w="90" w:type="dxa"/>
              <w:right w:w="90" w:type="dxa"/>
            </w:tcMar>
          </w:tcPr>
          <w:p>
            <w:pPr>
              <w:spacing w:after="60" w:before="20"/>
            </w:pPr>
            <w:r>
              <w:rPr>
                <w:b w:val="0"/>
                <w:color w:val="17242D"/>
                <w:sz w:val="19"/>
              </w:rPr>
              <w:t>Supported Android with individual accounts</w:t>
            </w:r>
          </w:p>
        </w:tc>
        <w:tc>
          <w:tcPr>
            <w:tcW w:type="dxa" w:w="1872"/>
            <w:shd w:fill="F2F6F8"/>
            <w:tcMar>
              <w:top w:w="90" w:type="dxa"/>
              <w:bottom w:w="90" w:type="dxa"/>
              <w:left w:w="90" w:type="dxa"/>
              <w:right w:w="90" w:type="dxa"/>
            </w:tcMar>
          </w:tcPr>
          <w:p>
            <w:pPr>
              <w:spacing w:after="60" w:before="20"/>
            </w:pPr>
            <w:r>
              <w:rPr>
                <w:b w:val="0"/>
                <w:color w:val="17242D"/>
                <w:sz w:val="19"/>
              </w:rPr>
              <w:t>Operations</w:t>
            </w:r>
          </w:p>
        </w:tc>
        <w:tc>
          <w:tcPr>
            <w:tcW w:type="dxa" w:w="1368"/>
            <w:shd w:fill="F2F6F8"/>
            <w:tcMar>
              <w:top w:w="90" w:type="dxa"/>
              <w:bottom w:w="90" w:type="dxa"/>
              <w:left w:w="90" w:type="dxa"/>
              <w:right w:w="90" w:type="dxa"/>
            </w:tcMar>
          </w:tcPr>
          <w:p>
            <w:pPr>
              <w:spacing w:after="60" w:before="20"/>
            </w:pPr>
            <w:r>
              <w:rPr>
                <w:b w:val="0"/>
                <w:color w:val="17242D"/>
                <w:sz w:val="19"/>
              </w:rPr>
              <w:t>G4</w:t>
            </w:r>
          </w:p>
        </w:tc>
      </w:tr>
      <w:tr>
        <w:trPr>
          <w:cantSplit/>
        </w:trPr>
        <w:tc>
          <w:tcPr>
            <w:tcW w:type="dxa" w:w="3024"/>
            <w:shd w:fill="FFFFFF"/>
            <w:tcMar>
              <w:top w:w="90" w:type="dxa"/>
              <w:bottom w:w="90" w:type="dxa"/>
              <w:left w:w="90" w:type="dxa"/>
              <w:right w:w="90" w:type="dxa"/>
            </w:tcMar>
          </w:tcPr>
          <w:p>
            <w:pPr>
              <w:spacing w:after="60" w:before="20"/>
            </w:pPr>
            <w:r>
              <w:rPr>
                <w:b w:val="0"/>
                <w:color w:val="17242D"/>
                <w:sz w:val="19"/>
              </w:rPr>
              <w:t>D11 Offline limits</w:t>
            </w:r>
          </w:p>
        </w:tc>
        <w:tc>
          <w:tcPr>
            <w:tcW w:type="dxa" w:w="3816"/>
            <w:shd w:fill="FFFFFF"/>
            <w:tcMar>
              <w:top w:w="90" w:type="dxa"/>
              <w:bottom w:w="90" w:type="dxa"/>
              <w:left w:w="90" w:type="dxa"/>
              <w:right w:w="90" w:type="dxa"/>
            </w:tcMar>
          </w:tcPr>
          <w:p>
            <w:pPr>
              <w:spacing w:after="60" w:before="20"/>
            </w:pPr>
            <w:r>
              <w:rPr>
                <w:b w:val="0"/>
                <w:color w:val="17242D"/>
                <w:sz w:val="19"/>
              </w:rPr>
              <w:t>24 hour lease and 500 MB media allowance</w:t>
            </w:r>
          </w:p>
        </w:tc>
        <w:tc>
          <w:tcPr>
            <w:tcW w:type="dxa" w:w="1872"/>
            <w:shd w:fill="FFFFFF"/>
            <w:tcMar>
              <w:top w:w="90" w:type="dxa"/>
              <w:bottom w:w="90" w:type="dxa"/>
              <w:left w:w="90" w:type="dxa"/>
              <w:right w:w="90" w:type="dxa"/>
            </w:tcMar>
          </w:tcPr>
          <w:p>
            <w:pPr>
              <w:spacing w:after="60" w:before="20"/>
            </w:pPr>
            <w:r>
              <w:rPr>
                <w:b w:val="0"/>
                <w:color w:val="17242D"/>
                <w:sz w:val="19"/>
              </w:rPr>
              <w:t>Privacy and operations</w:t>
            </w:r>
          </w:p>
        </w:tc>
        <w:tc>
          <w:tcPr>
            <w:tcW w:type="dxa" w:w="1368"/>
            <w:shd w:fill="FFFFFF"/>
            <w:tcMar>
              <w:top w:w="90" w:type="dxa"/>
              <w:bottom w:w="90" w:type="dxa"/>
              <w:left w:w="90" w:type="dxa"/>
              <w:right w:w="90" w:type="dxa"/>
            </w:tcMar>
          </w:tcPr>
          <w:p>
            <w:pPr>
              <w:spacing w:after="60" w:before="20"/>
            </w:pPr>
            <w:r>
              <w:rPr>
                <w:b w:val="0"/>
                <w:color w:val="17242D"/>
                <w:sz w:val="19"/>
              </w:rPr>
              <w:t>G4</w:t>
            </w:r>
          </w:p>
        </w:tc>
      </w:tr>
      <w:tr>
        <w:trPr>
          <w:cantSplit/>
        </w:trPr>
        <w:tc>
          <w:tcPr>
            <w:tcW w:type="dxa" w:w="3024"/>
            <w:shd w:fill="F2F6F8"/>
            <w:tcMar>
              <w:top w:w="90" w:type="dxa"/>
              <w:bottom w:w="90" w:type="dxa"/>
              <w:left w:w="90" w:type="dxa"/>
              <w:right w:w="90" w:type="dxa"/>
            </w:tcMar>
          </w:tcPr>
          <w:p>
            <w:pPr>
              <w:spacing w:after="60" w:before="20"/>
            </w:pPr>
            <w:r>
              <w:rPr>
                <w:b w:val="0"/>
                <w:color w:val="17242D"/>
                <w:sz w:val="19"/>
              </w:rPr>
              <w:t>D12 Retention</w:t>
            </w:r>
          </w:p>
        </w:tc>
        <w:tc>
          <w:tcPr>
            <w:tcW w:type="dxa" w:w="3816"/>
            <w:shd w:fill="F2F6F8"/>
            <w:tcMar>
              <w:top w:w="90" w:type="dxa"/>
              <w:bottom w:w="90" w:type="dxa"/>
              <w:left w:w="90" w:type="dxa"/>
              <w:right w:w="90" w:type="dxa"/>
            </w:tcMar>
          </w:tcPr>
          <w:p>
            <w:pPr>
              <w:spacing w:after="60" w:before="20"/>
            </w:pPr>
            <w:r>
              <w:rPr>
                <w:b w:val="0"/>
                <w:color w:val="17242D"/>
                <w:sz w:val="19"/>
              </w:rPr>
              <w:t>Per record class and applicable obligation</w:t>
            </w:r>
          </w:p>
        </w:tc>
        <w:tc>
          <w:tcPr>
            <w:tcW w:type="dxa" w:w="1872"/>
            <w:shd w:fill="F2F6F8"/>
            <w:tcMar>
              <w:top w:w="90" w:type="dxa"/>
              <w:bottom w:w="90" w:type="dxa"/>
              <w:left w:w="90" w:type="dxa"/>
              <w:right w:w="90" w:type="dxa"/>
            </w:tcMar>
          </w:tcPr>
          <w:p>
            <w:pPr>
              <w:spacing w:after="60" w:before="20"/>
            </w:pPr>
            <w:r>
              <w:rPr>
                <w:b w:val="0"/>
                <w:color w:val="17242D"/>
                <w:sz w:val="19"/>
              </w:rPr>
              <w:t>Privacy lead</w:t>
            </w:r>
          </w:p>
        </w:tc>
        <w:tc>
          <w:tcPr>
            <w:tcW w:type="dxa" w:w="1368"/>
            <w:shd w:fill="F2F6F8"/>
            <w:tcMar>
              <w:top w:w="90" w:type="dxa"/>
              <w:bottom w:w="90" w:type="dxa"/>
              <w:left w:w="90" w:type="dxa"/>
              <w:right w:w="90" w:type="dxa"/>
            </w:tcMar>
          </w:tcPr>
          <w:p>
            <w:pPr>
              <w:spacing w:after="60" w:before="20"/>
            </w:pPr>
            <w:r>
              <w:rPr>
                <w:b w:val="0"/>
                <w:color w:val="17242D"/>
                <w:sz w:val="19"/>
              </w:rPr>
              <w:t>G4</w:t>
            </w:r>
          </w:p>
        </w:tc>
      </w:tr>
      <w:tr>
        <w:trPr>
          <w:cantSplit/>
        </w:trPr>
        <w:tc>
          <w:tcPr>
            <w:tcW w:type="dxa" w:w="3024"/>
            <w:shd w:fill="FFFFFF"/>
            <w:tcMar>
              <w:top w:w="90" w:type="dxa"/>
              <w:bottom w:w="90" w:type="dxa"/>
              <w:left w:w="90" w:type="dxa"/>
              <w:right w:w="90" w:type="dxa"/>
            </w:tcMar>
          </w:tcPr>
          <w:p>
            <w:pPr>
              <w:spacing w:after="60" w:before="20"/>
            </w:pPr>
            <w:r>
              <w:rPr>
                <w:b w:val="0"/>
                <w:color w:val="17242D"/>
                <w:sz w:val="19"/>
              </w:rPr>
              <w:t>D13 Work to retire</w:t>
            </w:r>
          </w:p>
        </w:tc>
        <w:tc>
          <w:tcPr>
            <w:tcW w:type="dxa" w:w="3816"/>
            <w:shd w:fill="FFFFFF"/>
            <w:tcMar>
              <w:top w:w="90" w:type="dxa"/>
              <w:bottom w:w="90" w:type="dxa"/>
              <w:left w:w="90" w:type="dxa"/>
              <w:right w:w="90" w:type="dxa"/>
            </w:tcMar>
          </w:tcPr>
          <w:p>
            <w:pPr>
              <w:spacing w:after="60" w:before="20"/>
            </w:pPr>
            <w:r>
              <w:rPr>
                <w:b w:val="0"/>
                <w:color w:val="17242D"/>
                <w:sz w:val="19"/>
              </w:rPr>
              <w:t>Duplicate forms and application steps</w:t>
            </w:r>
          </w:p>
        </w:tc>
        <w:tc>
          <w:tcPr>
            <w:tcW w:type="dxa" w:w="1872"/>
            <w:shd w:fill="FFFFFF"/>
            <w:tcMar>
              <w:top w:w="90" w:type="dxa"/>
              <w:bottom w:w="90" w:type="dxa"/>
              <w:left w:w="90" w:type="dxa"/>
              <w:right w:w="90" w:type="dxa"/>
            </w:tcMar>
          </w:tcPr>
          <w:p>
            <w:pPr>
              <w:spacing w:after="60" w:before="20"/>
            </w:pPr>
            <w:r>
              <w:rPr>
                <w:b w:val="0"/>
                <w:color w:val="17242D"/>
                <w:sz w:val="19"/>
              </w:rPr>
              <w:t>Sponsor</w:t>
            </w:r>
          </w:p>
        </w:tc>
        <w:tc>
          <w:tcPr>
            <w:tcW w:type="dxa" w:w="1368"/>
            <w:shd w:fill="FFFFFF"/>
            <w:tcMar>
              <w:top w:w="90" w:type="dxa"/>
              <w:bottom w:w="90" w:type="dxa"/>
              <w:left w:w="90" w:type="dxa"/>
              <w:right w:w="90" w:type="dxa"/>
            </w:tcMar>
          </w:tcPr>
          <w:p>
            <w:pPr>
              <w:spacing w:after="60" w:before="20"/>
            </w:pPr>
            <w:r>
              <w:rPr>
                <w:b w:val="0"/>
                <w:color w:val="17242D"/>
                <w:sz w:val="19"/>
              </w:rPr>
              <w:t>G5</w:t>
            </w:r>
          </w:p>
        </w:tc>
      </w:tr>
      <w:tr>
        <w:trPr>
          <w:cantSplit/>
        </w:trPr>
        <w:tc>
          <w:tcPr>
            <w:tcW w:type="dxa" w:w="3024"/>
            <w:shd w:fill="F2F6F8"/>
            <w:tcMar>
              <w:top w:w="90" w:type="dxa"/>
              <w:bottom w:w="90" w:type="dxa"/>
              <w:left w:w="90" w:type="dxa"/>
              <w:right w:w="90" w:type="dxa"/>
            </w:tcMar>
          </w:tcPr>
          <w:p>
            <w:pPr>
              <w:spacing w:after="60" w:before="20"/>
            </w:pPr>
            <w:r>
              <w:rPr>
                <w:b w:val="0"/>
                <w:color w:val="17242D"/>
                <w:sz w:val="19"/>
              </w:rPr>
              <w:t>D14 Model evidence thresholds</w:t>
            </w:r>
          </w:p>
        </w:tc>
        <w:tc>
          <w:tcPr>
            <w:tcW w:type="dxa" w:w="3816"/>
            <w:shd w:fill="F2F6F8"/>
            <w:tcMar>
              <w:top w:w="90" w:type="dxa"/>
              <w:bottom w:w="90" w:type="dxa"/>
              <w:left w:w="90" w:type="dxa"/>
              <w:right w:w="90" w:type="dxa"/>
            </w:tcMar>
          </w:tcPr>
          <w:p>
            <w:pPr>
              <w:spacing w:after="60" w:before="20"/>
            </w:pPr>
            <w:r>
              <w:rPr>
                <w:b w:val="0"/>
                <w:color w:val="17242D"/>
                <w:sz w:val="19"/>
              </w:rPr>
              <w:t>Per capability and intended local use</w:t>
            </w:r>
          </w:p>
        </w:tc>
        <w:tc>
          <w:tcPr>
            <w:tcW w:type="dxa" w:w="1872"/>
            <w:shd w:fill="F2F6F8"/>
            <w:tcMar>
              <w:top w:w="90" w:type="dxa"/>
              <w:bottom w:w="90" w:type="dxa"/>
              <w:left w:w="90" w:type="dxa"/>
              <w:right w:w="90" w:type="dxa"/>
            </w:tcMar>
          </w:tcPr>
          <w:p>
            <w:pPr>
              <w:spacing w:after="60" w:before="20"/>
            </w:pPr>
            <w:r>
              <w:rPr>
                <w:b w:val="0"/>
                <w:color w:val="17242D"/>
                <w:sz w:val="19"/>
              </w:rPr>
              <w:t>Clinical safety</w:t>
            </w:r>
          </w:p>
        </w:tc>
        <w:tc>
          <w:tcPr>
            <w:tcW w:type="dxa" w:w="1368"/>
            <w:shd w:fill="F2F6F8"/>
            <w:tcMar>
              <w:top w:w="90" w:type="dxa"/>
              <w:bottom w:w="90" w:type="dxa"/>
              <w:left w:w="90" w:type="dxa"/>
              <w:right w:w="90" w:type="dxa"/>
            </w:tcMar>
          </w:tcPr>
          <w:p>
            <w:pPr>
              <w:spacing w:after="60" w:before="20"/>
            </w:pPr>
            <w:r>
              <w:rPr>
                <w:b w:val="0"/>
                <w:color w:val="17242D"/>
                <w:sz w:val="19"/>
              </w:rPr>
              <w:t>G3</w:t>
            </w:r>
          </w:p>
        </w:tc>
      </w:tr>
      <w:tr>
        <w:trPr>
          <w:cantSplit/>
        </w:trPr>
        <w:tc>
          <w:tcPr>
            <w:tcW w:type="dxa" w:w="3024"/>
            <w:shd w:fill="FFFFFF"/>
            <w:tcMar>
              <w:top w:w="90" w:type="dxa"/>
              <w:bottom w:w="90" w:type="dxa"/>
              <w:left w:w="90" w:type="dxa"/>
              <w:right w:w="90" w:type="dxa"/>
            </w:tcMar>
          </w:tcPr>
          <w:p>
            <w:pPr>
              <w:spacing w:after="60" w:before="20"/>
            </w:pPr>
            <w:r>
              <w:rPr>
                <w:b w:val="0"/>
                <w:color w:val="17242D"/>
                <w:sz w:val="19"/>
              </w:rPr>
              <w:t>D15 Success measures</w:t>
            </w:r>
          </w:p>
        </w:tc>
        <w:tc>
          <w:tcPr>
            <w:tcW w:type="dxa" w:w="3816"/>
            <w:shd w:fill="FFFFFF"/>
            <w:tcMar>
              <w:top w:w="90" w:type="dxa"/>
              <w:bottom w:w="90" w:type="dxa"/>
              <w:left w:w="90" w:type="dxa"/>
              <w:right w:w="90" w:type="dxa"/>
            </w:tcMar>
          </w:tcPr>
          <w:p>
            <w:pPr>
              <w:spacing w:after="60" w:before="20"/>
            </w:pPr>
            <w:r>
              <w:rPr>
                <w:b w:val="0"/>
                <w:color w:val="17242D"/>
                <w:sz w:val="19"/>
              </w:rPr>
              <w:t>BRD proposed targets</w:t>
            </w:r>
          </w:p>
        </w:tc>
        <w:tc>
          <w:tcPr>
            <w:tcW w:type="dxa" w:w="1872"/>
            <w:shd w:fill="FFFFFF"/>
            <w:tcMar>
              <w:top w:w="90" w:type="dxa"/>
              <w:bottom w:w="90" w:type="dxa"/>
              <w:left w:w="90" w:type="dxa"/>
              <w:right w:w="90" w:type="dxa"/>
            </w:tcMar>
          </w:tcPr>
          <w:p>
            <w:pPr>
              <w:spacing w:after="60" w:before="20"/>
            </w:pPr>
            <w:r>
              <w:rPr>
                <w:b w:val="0"/>
                <w:color w:val="17242D"/>
                <w:sz w:val="19"/>
              </w:rPr>
              <w:t>Product and MEL</w:t>
            </w:r>
          </w:p>
        </w:tc>
        <w:tc>
          <w:tcPr>
            <w:tcW w:type="dxa" w:w="1368"/>
            <w:shd w:fill="FFFFFF"/>
            <w:tcMar>
              <w:top w:w="90" w:type="dxa"/>
              <w:bottom w:w="90" w:type="dxa"/>
              <w:left w:w="90" w:type="dxa"/>
              <w:right w:w="90" w:type="dxa"/>
            </w:tcMar>
          </w:tcPr>
          <w:p>
            <w:pPr>
              <w:spacing w:after="60" w:before="20"/>
            </w:pPr>
            <w:r>
              <w:rPr>
                <w:b w:val="0"/>
                <w:color w:val="17242D"/>
                <w:sz w:val="19"/>
              </w:rPr>
              <w:t>G5</w:t>
            </w:r>
          </w:p>
        </w:tc>
      </w:tr>
      <w:tr>
        <w:trPr>
          <w:cantSplit/>
        </w:trPr>
        <w:tc>
          <w:tcPr>
            <w:tcW w:type="dxa" w:w="3024"/>
            <w:shd w:fill="F2F6F8"/>
            <w:tcMar>
              <w:top w:w="90" w:type="dxa"/>
              <w:bottom w:w="90" w:type="dxa"/>
              <w:left w:w="90" w:type="dxa"/>
              <w:right w:w="90" w:type="dxa"/>
            </w:tcMar>
          </w:tcPr>
          <w:p>
            <w:pPr>
              <w:spacing w:after="60" w:before="20"/>
            </w:pPr>
            <w:r>
              <w:rPr>
                <w:b w:val="0"/>
                <w:color w:val="17242D"/>
                <w:sz w:val="19"/>
              </w:rPr>
              <w:t>D16 Pricing and charges</w:t>
            </w:r>
          </w:p>
        </w:tc>
        <w:tc>
          <w:tcPr>
            <w:tcW w:type="dxa" w:w="3816"/>
            <w:shd w:fill="F2F6F8"/>
            <w:tcMar>
              <w:top w:w="90" w:type="dxa"/>
              <w:bottom w:w="90" w:type="dxa"/>
              <w:left w:w="90" w:type="dxa"/>
              <w:right w:w="90" w:type="dxa"/>
            </w:tcMar>
          </w:tcPr>
          <w:p>
            <w:pPr>
              <w:spacing w:after="60" w:before="20"/>
            </w:pPr>
            <w:r>
              <w:rPr>
                <w:b w:val="0"/>
                <w:color w:val="17242D"/>
                <w:sz w:val="19"/>
              </w:rPr>
              <w:t>Deployment recurring and usage charges</w:t>
            </w:r>
          </w:p>
        </w:tc>
        <w:tc>
          <w:tcPr>
            <w:tcW w:type="dxa" w:w="1872"/>
            <w:shd w:fill="F2F6F8"/>
            <w:tcMar>
              <w:top w:w="90" w:type="dxa"/>
              <w:bottom w:w="90" w:type="dxa"/>
              <w:left w:w="90" w:type="dxa"/>
              <w:right w:w="90" w:type="dxa"/>
            </w:tcMar>
          </w:tcPr>
          <w:p>
            <w:pPr>
              <w:spacing w:after="60" w:before="20"/>
            </w:pPr>
            <w:r>
              <w:rPr>
                <w:b w:val="0"/>
                <w:color w:val="17242D"/>
                <w:sz w:val="19"/>
              </w:rPr>
              <w:t>Sponsor</w:t>
            </w:r>
          </w:p>
        </w:tc>
        <w:tc>
          <w:tcPr>
            <w:tcW w:type="dxa" w:w="1368"/>
            <w:shd w:fill="F2F6F8"/>
            <w:tcMar>
              <w:top w:w="90" w:type="dxa"/>
              <w:bottom w:w="90" w:type="dxa"/>
              <w:left w:w="90" w:type="dxa"/>
              <w:right w:w="90" w:type="dxa"/>
            </w:tcMar>
          </w:tcPr>
          <w:p>
            <w:pPr>
              <w:spacing w:after="60" w:before="20"/>
            </w:pPr>
            <w:r>
              <w:rPr>
                <w:b w:val="0"/>
                <w:color w:val="17242D"/>
                <w:sz w:val="19"/>
              </w:rPr>
              <w:t>Commercial scale</w:t>
            </w:r>
          </w:p>
        </w:tc>
      </w:tr>
      <w:tr>
        <w:trPr>
          <w:cantSplit/>
        </w:trPr>
        <w:tc>
          <w:tcPr>
            <w:tcW w:type="dxa" w:w="3024"/>
            <w:shd w:fill="FFFFFF"/>
            <w:tcMar>
              <w:top w:w="90" w:type="dxa"/>
              <w:bottom w:w="90" w:type="dxa"/>
              <w:left w:w="90" w:type="dxa"/>
              <w:right w:w="90" w:type="dxa"/>
            </w:tcMar>
          </w:tcPr>
          <w:p>
            <w:pPr>
              <w:spacing w:after="60" w:before="20"/>
            </w:pPr>
            <w:r>
              <w:rPr>
                <w:b w:val="0"/>
                <w:color w:val="17242D"/>
                <w:sz w:val="19"/>
              </w:rPr>
              <w:t>D17 Evaluation sandbox relationship</w:t>
            </w:r>
          </w:p>
        </w:tc>
        <w:tc>
          <w:tcPr>
            <w:tcW w:type="dxa" w:w="3816"/>
            <w:shd w:fill="FFFFFF"/>
            <w:tcMar>
              <w:top w:w="90" w:type="dxa"/>
              <w:bottom w:w="90" w:type="dxa"/>
              <w:left w:w="90" w:type="dxa"/>
              <w:right w:w="90" w:type="dxa"/>
            </w:tcMar>
          </w:tcPr>
          <w:p>
            <w:pPr>
              <w:spacing w:after="60" w:before="20"/>
            </w:pPr>
            <w:r>
              <w:rPr>
                <w:b w:val="0"/>
                <w:color w:val="17242D"/>
                <w:sz w:val="19"/>
              </w:rPr>
              <w:t>Versioned evidence import only</w:t>
            </w:r>
          </w:p>
        </w:tc>
        <w:tc>
          <w:tcPr>
            <w:tcW w:type="dxa" w:w="1872"/>
            <w:shd w:fill="FFFFFF"/>
            <w:tcMar>
              <w:top w:w="90" w:type="dxa"/>
              <w:bottom w:w="90" w:type="dxa"/>
              <w:left w:w="90" w:type="dxa"/>
              <w:right w:w="90" w:type="dxa"/>
            </w:tcMar>
          </w:tcPr>
          <w:p>
            <w:pPr>
              <w:spacing w:after="60" w:before="20"/>
            </w:pPr>
            <w:r>
              <w:rPr>
                <w:b w:val="0"/>
                <w:color w:val="17242D"/>
                <w:sz w:val="19"/>
              </w:rPr>
              <w:t>AI governance</w:t>
            </w:r>
          </w:p>
        </w:tc>
        <w:tc>
          <w:tcPr>
            <w:tcW w:type="dxa" w:w="1368"/>
            <w:shd w:fill="FFFFFF"/>
            <w:tcMar>
              <w:top w:w="90" w:type="dxa"/>
              <w:bottom w:w="90" w:type="dxa"/>
              <w:left w:w="90" w:type="dxa"/>
              <w:right w:w="90" w:type="dxa"/>
            </w:tcMar>
          </w:tcPr>
          <w:p>
            <w:pPr>
              <w:spacing w:after="60" w:before="20"/>
            </w:pPr>
            <w:r>
              <w:rPr>
                <w:b w:val="0"/>
                <w:color w:val="17242D"/>
                <w:sz w:val="19"/>
              </w:rPr>
              <w:t>G3</w:t>
            </w:r>
          </w:p>
        </w:tc>
      </w:tr>
      <w:tr>
        <w:trPr>
          <w:cantSplit/>
        </w:trPr>
        <w:tc>
          <w:tcPr>
            <w:tcW w:type="dxa" w:w="3024"/>
            <w:shd w:fill="F2F6F8"/>
            <w:tcMar>
              <w:top w:w="90" w:type="dxa"/>
              <w:bottom w:w="90" w:type="dxa"/>
              <w:left w:w="90" w:type="dxa"/>
              <w:right w:w="90" w:type="dxa"/>
            </w:tcMar>
          </w:tcPr>
          <w:p>
            <w:pPr>
              <w:spacing w:after="60" w:before="20"/>
            </w:pPr>
            <w:r>
              <w:rPr>
                <w:b w:val="0"/>
                <w:color w:val="17242D"/>
                <w:sz w:val="19"/>
              </w:rPr>
              <w:t>D18 Patient messaging</w:t>
            </w:r>
          </w:p>
        </w:tc>
        <w:tc>
          <w:tcPr>
            <w:tcW w:type="dxa" w:w="3816"/>
            <w:shd w:fill="F2F6F8"/>
            <w:tcMar>
              <w:top w:w="90" w:type="dxa"/>
              <w:bottom w:w="90" w:type="dxa"/>
              <w:left w:w="90" w:type="dxa"/>
              <w:right w:w="90" w:type="dxa"/>
            </w:tcMar>
          </w:tcPr>
          <w:p>
            <w:pPr>
              <w:spacing w:after="60" w:before="20"/>
            </w:pPr>
            <w:r>
              <w:rPr>
                <w:b w:val="0"/>
                <w:color w:val="17242D"/>
                <w:sz w:val="19"/>
              </w:rPr>
              <w:t>Later scope</w:t>
            </w:r>
          </w:p>
        </w:tc>
        <w:tc>
          <w:tcPr>
            <w:tcW w:type="dxa" w:w="1872"/>
            <w:shd w:fill="F2F6F8"/>
            <w:tcMar>
              <w:top w:w="90" w:type="dxa"/>
              <w:bottom w:w="90" w:type="dxa"/>
              <w:left w:w="90" w:type="dxa"/>
              <w:right w:w="90" w:type="dxa"/>
            </w:tcMar>
          </w:tcPr>
          <w:p>
            <w:pPr>
              <w:spacing w:after="60" w:before="20"/>
            </w:pPr>
            <w:r>
              <w:rPr>
                <w:b w:val="0"/>
                <w:color w:val="17242D"/>
                <w:sz w:val="19"/>
              </w:rPr>
              <w:t>Product and privacy</w:t>
            </w:r>
          </w:p>
        </w:tc>
        <w:tc>
          <w:tcPr>
            <w:tcW w:type="dxa" w:w="1368"/>
            <w:shd w:fill="F2F6F8"/>
            <w:tcMar>
              <w:top w:w="90" w:type="dxa"/>
              <w:bottom w:w="90" w:type="dxa"/>
              <w:left w:w="90" w:type="dxa"/>
              <w:right w:w="90" w:type="dxa"/>
            </w:tcMar>
          </w:tcPr>
          <w:p>
            <w:pPr>
              <w:spacing w:after="60" w:before="20"/>
            </w:pPr>
            <w:r>
              <w:rPr>
                <w:b w:val="0"/>
                <w:color w:val="17242D"/>
                <w:sz w:val="19"/>
              </w:rPr>
              <w:t>R2</w:t>
            </w:r>
          </w:p>
        </w:tc>
      </w:tr>
      <w:tr>
        <w:trPr>
          <w:cantSplit/>
        </w:trPr>
        <w:tc>
          <w:tcPr>
            <w:tcW w:type="dxa" w:w="3024"/>
            <w:shd w:fill="FFFFFF"/>
            <w:tcMar>
              <w:top w:w="90" w:type="dxa"/>
              <w:bottom w:w="90" w:type="dxa"/>
              <w:left w:w="90" w:type="dxa"/>
              <w:right w:w="90" w:type="dxa"/>
            </w:tcMar>
          </w:tcPr>
          <w:p>
            <w:pPr>
              <w:spacing w:after="60" w:before="20"/>
            </w:pPr>
            <w:r>
              <w:rPr>
                <w:b w:val="0"/>
                <w:color w:val="17242D"/>
                <w:sz w:val="19"/>
              </w:rPr>
              <w:t>D19 ABDM role and module</w:t>
            </w:r>
          </w:p>
        </w:tc>
        <w:tc>
          <w:tcPr>
            <w:tcW w:type="dxa" w:w="3816"/>
            <w:shd w:fill="FFFFFF"/>
            <w:tcMar>
              <w:top w:w="90" w:type="dxa"/>
              <w:bottom w:w="90" w:type="dxa"/>
              <w:left w:w="90" w:type="dxa"/>
              <w:right w:w="90" w:type="dxa"/>
            </w:tcMar>
          </w:tcPr>
          <w:p>
            <w:pPr>
              <w:spacing w:after="60" w:before="20"/>
            </w:pPr>
            <w:r>
              <w:rPr>
                <w:b w:val="0"/>
                <w:color w:val="17242D"/>
                <w:sz w:val="19"/>
              </w:rPr>
              <w:t>Select explicit ABHA HIP HIU modules</w:t>
            </w:r>
          </w:p>
        </w:tc>
        <w:tc>
          <w:tcPr>
            <w:tcW w:type="dxa" w:w="1872"/>
            <w:shd w:fill="FFFFFF"/>
            <w:tcMar>
              <w:top w:w="90" w:type="dxa"/>
              <w:bottom w:w="90" w:type="dxa"/>
              <w:left w:w="90" w:type="dxa"/>
              <w:right w:w="90" w:type="dxa"/>
            </w:tcMar>
          </w:tcPr>
          <w:p>
            <w:pPr>
              <w:spacing w:after="60" w:before="20"/>
            </w:pPr>
            <w:r>
              <w:rPr>
                <w:b w:val="0"/>
                <w:color w:val="17242D"/>
                <w:sz w:val="19"/>
              </w:rPr>
              <w:t>ABDM owner</w:t>
            </w:r>
          </w:p>
        </w:tc>
        <w:tc>
          <w:tcPr>
            <w:tcW w:type="dxa" w:w="1368"/>
            <w:shd w:fill="FFFFFF"/>
            <w:tcMar>
              <w:top w:w="90" w:type="dxa"/>
              <w:bottom w:w="90" w:type="dxa"/>
              <w:left w:w="90" w:type="dxa"/>
              <w:right w:w="90" w:type="dxa"/>
            </w:tcMar>
          </w:tcPr>
          <w:p>
            <w:pPr>
              <w:spacing w:after="60" w:before="20"/>
            </w:pPr>
            <w:r>
              <w:rPr>
                <w:b w:val="0"/>
                <w:color w:val="17242D"/>
                <w:sz w:val="19"/>
              </w:rPr>
              <w:t>G2</w:t>
            </w:r>
          </w:p>
        </w:tc>
      </w:tr>
      <w:tr>
        <w:trPr>
          <w:cantSplit/>
        </w:trPr>
        <w:tc>
          <w:tcPr>
            <w:tcW w:type="dxa" w:w="3024"/>
            <w:shd w:fill="F2F6F8"/>
            <w:tcMar>
              <w:top w:w="90" w:type="dxa"/>
              <w:bottom w:w="90" w:type="dxa"/>
              <w:left w:w="90" w:type="dxa"/>
              <w:right w:w="90" w:type="dxa"/>
            </w:tcMar>
          </w:tcPr>
          <w:p>
            <w:pPr>
              <w:spacing w:after="60" w:before="20"/>
            </w:pPr>
            <w:r>
              <w:rPr>
                <w:b w:val="0"/>
                <w:color w:val="17242D"/>
                <w:sz w:val="19"/>
              </w:rPr>
              <w:t>D20 Reference EHR</w:t>
            </w:r>
          </w:p>
        </w:tc>
        <w:tc>
          <w:tcPr>
            <w:tcW w:type="dxa" w:w="3816"/>
            <w:shd w:fill="F2F6F8"/>
            <w:tcMar>
              <w:top w:w="90" w:type="dxa"/>
              <w:bottom w:w="90" w:type="dxa"/>
              <w:left w:w="90" w:type="dxa"/>
              <w:right w:w="90" w:type="dxa"/>
            </w:tcMar>
          </w:tcPr>
          <w:p>
            <w:pPr>
              <w:spacing w:after="60" w:before="20"/>
            </w:pPr>
            <w:r>
              <w:rPr>
                <w:b w:val="0"/>
                <w:color w:val="17242D"/>
                <w:sz w:val="19"/>
              </w:rPr>
              <w:t>One owner-authorised system</w:t>
            </w:r>
          </w:p>
        </w:tc>
        <w:tc>
          <w:tcPr>
            <w:tcW w:type="dxa" w:w="1872"/>
            <w:shd w:fill="F2F6F8"/>
            <w:tcMar>
              <w:top w:w="90" w:type="dxa"/>
              <w:bottom w:w="90" w:type="dxa"/>
              <w:left w:w="90" w:type="dxa"/>
              <w:right w:w="90" w:type="dxa"/>
            </w:tcMar>
          </w:tcPr>
          <w:p>
            <w:pPr>
              <w:spacing w:after="60" w:before="20"/>
            </w:pPr>
            <w:r>
              <w:rPr>
                <w:b w:val="0"/>
                <w:color w:val="17242D"/>
                <w:sz w:val="19"/>
              </w:rPr>
              <w:t>Buyer and integration</w:t>
            </w:r>
          </w:p>
        </w:tc>
        <w:tc>
          <w:tcPr>
            <w:tcW w:type="dxa" w:w="1368"/>
            <w:shd w:fill="F2F6F8"/>
            <w:tcMar>
              <w:top w:w="90" w:type="dxa"/>
              <w:bottom w:w="90" w:type="dxa"/>
              <w:left w:w="90" w:type="dxa"/>
              <w:right w:w="90" w:type="dxa"/>
            </w:tcMar>
          </w:tcPr>
          <w:p>
            <w:pPr>
              <w:spacing w:after="60" w:before="20"/>
            </w:pPr>
            <w:r>
              <w:rPr>
                <w:b w:val="0"/>
                <w:color w:val="17242D"/>
                <w:sz w:val="19"/>
              </w:rPr>
              <w:t>G2</w:t>
            </w:r>
          </w:p>
        </w:tc>
      </w:tr>
      <w:tr>
        <w:trPr>
          <w:cantSplit/>
        </w:trPr>
        <w:tc>
          <w:tcPr>
            <w:tcW w:type="dxa" w:w="3024"/>
            <w:shd w:fill="FFFFFF"/>
            <w:tcMar>
              <w:top w:w="90" w:type="dxa"/>
              <w:bottom w:w="90" w:type="dxa"/>
              <w:left w:w="90" w:type="dxa"/>
              <w:right w:w="90" w:type="dxa"/>
            </w:tcMar>
          </w:tcPr>
          <w:p>
            <w:pPr>
              <w:spacing w:after="60" w:before="20"/>
            </w:pPr>
            <w:r>
              <w:rPr>
                <w:b w:val="0"/>
                <w:color w:val="17242D"/>
                <w:sz w:val="19"/>
              </w:rPr>
              <w:t>D21 Exchange standards</w:t>
            </w:r>
          </w:p>
        </w:tc>
        <w:tc>
          <w:tcPr>
            <w:tcW w:type="dxa" w:w="3816"/>
            <w:shd w:fill="FFFFFF"/>
            <w:tcMar>
              <w:top w:w="90" w:type="dxa"/>
              <w:bottom w:w="90" w:type="dxa"/>
              <w:left w:w="90" w:type="dxa"/>
              <w:right w:w="90" w:type="dxa"/>
            </w:tcMar>
          </w:tcPr>
          <w:p>
            <w:pPr>
              <w:spacing w:after="60" w:before="20"/>
            </w:pPr>
            <w:r>
              <w:rPr>
                <w:b w:val="0"/>
                <w:color w:val="17242D"/>
                <w:sz w:val="19"/>
              </w:rPr>
              <w:t>Pin compatible packages and terminology</w:t>
            </w:r>
          </w:p>
        </w:tc>
        <w:tc>
          <w:tcPr>
            <w:tcW w:type="dxa" w:w="1872"/>
            <w:shd w:fill="FFFFFF"/>
            <w:tcMar>
              <w:top w:w="90" w:type="dxa"/>
              <w:bottom w:w="90" w:type="dxa"/>
              <w:left w:w="90" w:type="dxa"/>
              <w:right w:w="90" w:type="dxa"/>
            </w:tcMar>
          </w:tcPr>
          <w:p>
            <w:pPr>
              <w:spacing w:after="60" w:before="20"/>
            </w:pPr>
            <w:r>
              <w:rPr>
                <w:b w:val="0"/>
                <w:color w:val="17242D"/>
                <w:sz w:val="19"/>
              </w:rPr>
              <w:t>Clinical informatics</w:t>
            </w:r>
          </w:p>
        </w:tc>
        <w:tc>
          <w:tcPr>
            <w:tcW w:type="dxa" w:w="1368"/>
            <w:shd w:fill="FFFFFF"/>
            <w:tcMar>
              <w:top w:w="90" w:type="dxa"/>
              <w:bottom w:w="90" w:type="dxa"/>
              <w:left w:w="90" w:type="dxa"/>
              <w:right w:w="90" w:type="dxa"/>
            </w:tcMar>
          </w:tcPr>
          <w:p>
            <w:pPr>
              <w:spacing w:after="60" w:before="20"/>
            </w:pPr>
            <w:r>
              <w:rPr>
                <w:b w:val="0"/>
                <w:color w:val="17242D"/>
                <w:sz w:val="19"/>
              </w:rPr>
              <w:t>G2</w:t>
            </w:r>
          </w:p>
        </w:tc>
      </w:tr>
    </w:tbl>
    <w:p>
      <w:pPr>
        <w:spacing w:after="20"/>
      </w:pPr>
    </w:p>
    <w:p>
      <w:pPr>
        <w:pStyle w:val="Heading1"/>
      </w:pPr>
      <w:r>
        <w:t>Planning and cost model</w:t>
      </w:r>
    </w:p>
    <w:p>
      <w:r>
        <w:t>Estimate each work package after a short implementation spike and partner contract review. Separate build effort, recurring platform cost, provider usage, integration maintenance, field support and independent evaluation. Track calls per completed encounter, media bytes, retry amplification, reconciliation workload and support minutes. Costs should be reported per confirmed encounter and per completed intended workflow, with failed attempts included.</w:t>
      </w:r>
    </w:p>
    <w:p>
      <w:r>
        <w:t>The sponsor must name which existing duplicate activities can be retired. Without permission to stop or reconcile the old process, a new application can increase worker burden despite technically correct integration. D13 is therefore a pilot readiness dependency, not a post-launch optimisation.</w:t>
      </w:r>
    </w:p>
    <w:p>
      <w:pPr>
        <w:pStyle w:val="Heading1"/>
      </w:pPr>
      <w:r>
        <w:t>Change control</w:t>
      </w:r>
    </w:p>
    <w:p>
      <w:r>
        <w:t>A change request states the user problem, affected BRD IDs, scope, data flow, clinical impact, contract version, migration and test evidence. Update the BRD only through its owner. Preserve stable IDs and add a supersession record for changed requirements. Re-baseline dependent FSD, API, workbook and release evidence together; never quietly edit one artefact into conflict with the others.</w:t>
      </w:r>
    </w:p>
    <w:p>
      <w:pPr>
        <w:pStyle w:val="Heading1"/>
      </w:pPr>
      <w:r>
        <w:t>Sources and related artefacts</w:t>
      </w:r>
    </w:p>
    <w:p>
      <w:r>
        <w:rPr>
          <w:b/>
        </w:rPr>
        <w:t xml:space="preserve">S01 BRD v1.1 </w:t>
      </w:r>
      <w:r>
        <w:t>Health-AI-Orchestration-Platform-BRD-v1.1.docx — Product source of authority; 176 requirements and 12 journeys</w:t>
      </w:r>
    </w:p>
    <w:p>
      <w:r>
        <w:t>Companion workbook: Health-AI-Delivery-Control-Workbook-v1.0.xlsx. Machine-readable contracts and reference checks: engineering folder. Requirements and test IDs are stable across the pack. Open decisions remain in the Decisions sheet; no document changes their approval status.</w:t>
      </w:r>
    </w:p>
    <w:sectPr w:rsidR="00FC693F" w:rsidRPr="0006063C" w:rsidSect="00034616">
      <w:headerReference w:type="default" r:id="rId9"/>
      <w:footerReference w:type="default" r:id="rId10"/>
      <w:pgSz w:w="12240" w:h="15840"/>
      <w:pgMar w:top="979" w:right="1080" w:bottom="936"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HAO 08  |  v1.0  |  Proposed baseline</w:t>
    </w:r>
    <w:r>
      <w:rPr>
        <w:sz w:val="16"/>
      </w:rPr>
      <w:t xml:space="preserve">        Page </w:t>
    </w:r>
    <w:fldSimple w:instr="PAGE"/>
    <w:r>
      <w:rPr>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36D"/>
        <w:sz w:val="16"/>
      </w:rPr>
      <w:t>HEALTH AI ORCHESTRATION PLATFORM  /  SPECIFICATION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Implementation Plan</dc:title>
  <dc:subject>Health AI Orchestration Platform</dc:subject>
  <dc:creator>Product and engineering working draft</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