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t>Health AI Orchestration Platform</w:t>
      </w:r>
    </w:p>
    <w:p>
      <w:pPr>
        <w:pStyle w:val="Subtitle"/>
      </w:pPr>
      <w:r>
        <w:t>Business Requirements Document</w:t>
      </w:r>
    </w:p>
    <w:p>
      <w:r>
        <w:t>Prepared for Nakul Jain and Aplyd</w:t>
      </w:r>
    </w:p>
    <w:p>
      <w:pPr>
        <w:pStyle w:val="Small"/>
      </w:pPr>
      <w:r>
        <w:rPr>
          <w:rFonts w:ascii="Arial" w:hAnsi="Arial"/>
        </w:rPr>
        <w:t>Version 1.1 | 26 September 2026 | Proposed business baseline</w:t>
      </w:r>
    </w:p>
    <w:p>
      <w:r>
        <w:t>This document defines a health platform that gives frontline workers one place to conduct a visit, use approved AI capabilities and complete authorised programme work. A confirmed fact is captured once and reused where its meaning, timing, permissions and quality allow. Each destination system retains its own authority, business rules and acknowledgement of receipt.</w:t>
      </w:r>
    </w:p>
    <w:p>
      <w:pPr/>
      <w:r>
        <w:rPr>
          <w:rFonts w:ascii="Arial" w:hAnsi="Arial"/>
        </w:rPr>
        <w:t>The first deployment centres on ASHA home visits across maternal health, tuberculosis screening and hypertension follow-up. The platform also provides a governed route to ABDM services and authorised EHR or HMIS systems. It is designed to expand to other frontline roles, clinical settings, programmes and countries through versioned configuration and connectors.</w:t>
      </w:r>
    </w:p>
    <w:p>
      <w:r>
        <w:t>The business outcome is less repeated work, easier access to useful AI, and better completion of care tasks. The product must demonstrate those outcomes in a controlled deployment before expansion. An attractive conversational interface or a collection of API connections alone does not satisfy this brief.</w:t>
      </w:r>
    </w:p>
    <w:p>
      <w:r>
        <w:t>This BRD is the baseline for the functional specification, workflow designs, architecture, delivery backlog and acceptance tests. It specifies required business behaviour and evidence of success. Implementation technologies, detailed API payloads, database schemas and final clinical protocols belong in subsequent specifications.</w:t>
      </w:r>
    </w:p>
    <w:p>
      <w:r>
        <w:br w:type="page"/>
      </w:r>
    </w:p>
    <w:p>
      <w:pPr>
        <w:pStyle w:val="Heading1"/>
      </w:pPr>
      <w:r>
        <w:t>Document control and reading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330"/>
      </w:tblGrid>
      <w:tr>
        <w:trPr>
          <w:cantSplit/>
          <w:tblHeader/>
          <w:tblHeader w:val="true"/>
          <w:tblHeader w:val="true"/>
          <w:cantSplit/>
        </w:trPr>
        <w:tc>
          <w:tcPr>
            <w:tcW w:type="dxa" w:w="2376"/>
            <w:vAlign w:val="center"/>
            <w:tcMar>
              <w:top w:w="90" w:type="dxa"/>
              <w:bottom w:w="90" w:type="dxa"/>
              <w:left w:w="105" w:type="dxa"/>
              <w:right w:w="105" w:type="dxa"/>
              <w:start w:w="100" w:type="dxa"/>
              <w:end w:w="100" w:type="dxa"/>
            </w:tcMar>
            <w:shd w:fill="2C2F71"/>
          </w:tcPr>
          <w:p>
            <w:pPr>
              <w:keepNext/>
              <w:spacing w:after="0" w:before="0" w:line="245" w:lineRule="auto"/>
              <w:jc w:val="center"/>
            </w:pPr>
            <w:r>
              <w:rPr>
                <w:rFonts w:ascii="Arial" w:hAnsi="Arial"/>
                <w:b/>
                <w:color w:val="FFFFFF"/>
                <w:sz w:val="20"/>
              </w:rPr>
              <w:t>Item</w:t>
            </w:r>
          </w:p>
        </w:tc>
        <w:tc>
          <w:tcPr>
            <w:tcW w:type="dxa" w:w="705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Baseline</w:t>
            </w:r>
          </w:p>
        </w:tc>
      </w:tr>
      <w:tr>
        <w:trPr>
          <w:cantSplit/>
          <w:cantSplit/>
        </w:trPr>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Working product name</w:t>
            </w:r>
          </w:p>
        </w:tc>
        <w:tc>
          <w:tcPr>
            <w:tcW w:type="dxa" w:w="70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Health AI Orchestration Platform; Health AI Operating System is a positioning label</w:t>
            </w:r>
          </w:p>
        </w:tc>
      </w:tr>
      <w:tr>
        <w:trPr>
          <w:cantSplit/>
          <w:cantSplit/>
        </w:trPr>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Business sponsor</w:t>
            </w:r>
          </w:p>
        </w:tc>
        <w:tc>
          <w:tcPr>
            <w:tcW w:type="dxa" w:w="70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Nakul Jain; operational ownership to be assigned by Aplyd</w:t>
            </w:r>
          </w:p>
        </w:tc>
      </w:tr>
      <w:tr>
        <w:trPr>
          <w:cantSplit/>
          <w:cantSplit/>
        </w:trPr>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Primary user</w:t>
            </w:r>
          </w:p>
        </w:tc>
        <w:tc>
          <w:tcPr>
            <w:tcW w:type="dxa" w:w="70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ASHA worker or equivalent community health worker</w:t>
            </w:r>
          </w:p>
        </w:tc>
      </w:tr>
      <w:tr>
        <w:trPr>
          <w:cantSplit/>
          <w:cantSplit/>
        </w:trPr>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Initial buyer hypothesis</w:t>
            </w:r>
          </w:p>
        </w:tc>
        <w:tc>
          <w:tcPr>
            <w:tcW w:type="dxa" w:w="70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State health department, programme implementer or health delivery organisation</w:t>
            </w:r>
          </w:p>
        </w:tc>
      </w:tr>
      <w:tr>
        <w:trPr>
          <w:cantSplit/>
          <w:cantSplit/>
        </w:trPr>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Primary geography assumption</w:t>
            </w:r>
          </w:p>
        </w:tc>
        <w:tc>
          <w:tcPr>
            <w:tcW w:type="dxa" w:w="70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India first, with country configuration designed for later deployments</w:t>
            </w:r>
          </w:p>
        </w:tc>
      </w:tr>
      <w:tr>
        <w:trPr>
          <w:cantSplit/>
          <w:cantSplit/>
        </w:trPr>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Document status</w:t>
            </w:r>
          </w:p>
        </w:tc>
        <w:tc>
          <w:tcPr>
            <w:tcW w:type="dxa" w:w="70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Proposed requirements for product, clinical, operational and engineering review</w:t>
            </w:r>
          </w:p>
        </w:tc>
      </w:tr>
      <w:tr>
        <w:trPr>
          <w:cantSplit/>
          <w:cantSplit/>
        </w:trPr>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Requirements authority</w:t>
            </w:r>
          </w:p>
        </w:tc>
        <w:tc>
          <w:tcPr>
            <w:tcW w:type="dxa" w:w="70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Sponsor approves scope; authorised clinical and programme owners approve domain content</w:t>
            </w:r>
          </w:p>
        </w:tc>
      </w:tr>
      <w:tr>
        <w:trPr>
          <w:cantSplit/>
          <w:cantSplit/>
        </w:trPr>
        <w:tc>
          <w:tcPr>
            <w:tcW w:type="dxa" w:w="2376"/>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Clinical status</w:t>
            </w:r>
          </w:p>
        </w:tc>
        <w:tc>
          <w:tcPr>
            <w:tcW w:type="dxa" w:w="7056"/>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No model, protocol, service or deployment is approved by this document</w:t>
            </w:r>
          </w:p>
        </w:tc>
      </w:tr>
      <w:tr>
        <w:trPr>
          <w:cantSplit/>
          <w:cantSplit/>
        </w:trPr>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Integration status</w:t>
            </w:r>
          </w:p>
        </w:tc>
        <w:tc>
          <w:tcPr>
            <w:tcW w:type="dxa" w:w="70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Named systems are candidate targets; production access and write permissions require verification</w:t>
            </w:r>
          </w:p>
        </w:tc>
      </w:tr>
      <w:tr>
        <w:trPr>
          <w:cantSplit/>
        </w:trPr>
        <w:tc>
          <w:tcPr>
            <w:tcW w:type="dxa" w:w="237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Current revision</w:t>
            </w:r>
          </w:p>
        </w:tc>
        <w:tc>
          <w:tcPr>
            <w:tcW w:type="dxa" w:w="705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Version 1.1 adds ABDM participation, EHR and HMIS connector requirements, four interoperability NFRs and five end-to-end journeys</w:t>
            </w:r>
          </w:p>
        </w:tc>
      </w:tr>
    </w:tbl>
    <w:p>
      <w:pPr>
        <w:spacing w:after="60" w:before="0" w:line="40" w:lineRule="exact"/>
      </w:pPr>
      <w:r>
        <w:rPr>
          <w:sz w:val="4"/>
        </w:rPr>
      </w:r>
    </w:p>
    <w:p>
      <w:r>
        <w:t xml:space="preserve">Requirements marked </w:t>
      </w:r>
      <w:r>
        <w:rPr>
          <w:b/>
        </w:rPr>
        <w:t>Must</w:t>
      </w:r>
      <w:r>
        <w:t xml:space="preserve"> are release gates for the stated release. </w:t>
      </w:r>
      <w:r>
        <w:rPr>
          <w:b/>
        </w:rPr>
        <w:t>Should</w:t>
      </w:r>
      <w:r>
        <w:t xml:space="preserve"> requirements may be deferred through documented product approval without breaking the release promise. </w:t>
      </w:r>
      <w:r>
        <w:rPr>
          <w:b/>
        </w:rPr>
        <w:t>Later</w:t>
      </w:r>
      <w:r>
        <w:t xml:space="preserve"> requirements describe an expansion option and are not delivery commitments. R0 is controlled development and simulation; R1 is the first operational pilot; R2 is programme expansion; R3 is wider deployment. A requirement assigned to R1 continues to apply in later releases.</w:t>
      </w:r>
    </w:p>
    <w:p>
      <w:r>
        <w:t>Every BR identifier is stable. Its title expresses a capability, its body states the required behaviour, and its acceptance sentence describes observable evidence. Module owners are responsible for translating these into detailed acceptance tests. All numerical targets are proposed product targets, not observed performance, contractual service levels or clinical efficacy claims.</w:t>
      </w:r>
    </w:p>
    <w:p>
      <w:r>
        <w:t>Actual people must be assigned to the owner roles before pilot launch. Open decisions remain visible in Section 29. A decision that affects a release gate must be resolved before that gate; it need not delay the rest of specification and development.</w:t>
      </w:r>
    </w:p>
    <w:p>
      <w:r>
        <w:br w:type="page"/>
      </w:r>
    </w:p>
    <w:p>
      <w:pPr>
        <w:pStyle w:val="Heading1"/>
        <w:spacing w:before="0"/>
      </w:pPr>
      <w:r>
        <w:t>Contents</w:t>
      </w:r>
    </w:p>
    <w:p>
      <w:pPr>
        <w:pStyle w:val="ContentsLine"/>
      </w:pPr>
      <w:hyperlink w:anchor="sec_1">
        <w:r>
          <w:rPr>
            <w:color w:val="000000"/>
          </w:rPr>
          <w:t>1 Purpose and product definition</w:t>
        </w:r>
      </w:hyperlink>
      <w:r>
        <w:tab/>
        <w:t>4</w:t>
      </w:r>
    </w:p>
    <w:p>
      <w:pPr>
        <w:pStyle w:val="ContentsLine"/>
      </w:pPr>
      <w:hyperlink w:anchor="sec_2">
        <w:r>
          <w:rPr>
            <w:color w:val="000000"/>
          </w:rPr>
          <w:t>2 Business problem and opportunity</w:t>
        </w:r>
      </w:hyperlink>
      <w:r>
        <w:tab/>
        <w:t>5</w:t>
      </w:r>
    </w:p>
    <w:p>
      <w:pPr>
        <w:pStyle w:val="ContentsLine"/>
      </w:pPr>
      <w:hyperlink w:anchor="sec_3">
        <w:r>
          <w:rPr>
            <w:color w:val="000000"/>
          </w:rPr>
          <w:t>3 Scope and release boundaries</w:t>
        </w:r>
      </w:hyperlink>
      <w:r>
        <w:tab/>
        <w:t>6</w:t>
      </w:r>
    </w:p>
    <w:p>
      <w:pPr>
        <w:pStyle w:val="ContentsLine"/>
      </w:pPr>
      <w:hyperlink w:anchor="sec_4">
        <w:r>
          <w:rPr>
            <w:color w:val="000000"/>
          </w:rPr>
          <w:t>4 Stakeholders and accountability</w:t>
        </w:r>
      </w:hyperlink>
      <w:r>
        <w:tab/>
        <w:t>7</w:t>
      </w:r>
    </w:p>
    <w:p>
      <w:pPr>
        <w:pStyle w:val="ContentsLine"/>
      </w:pPr>
      <w:hyperlink w:anchor="sec_5">
        <w:r>
          <w:rPr>
            <w:color w:val="000000"/>
          </w:rPr>
          <w:t>5 Business operating model</w:t>
        </w:r>
      </w:hyperlink>
      <w:r>
        <w:tab/>
        <w:t>9</w:t>
      </w:r>
    </w:p>
    <w:p>
      <w:pPr>
        <w:pStyle w:val="ContentsLine"/>
      </w:pPr>
      <w:hyperlink w:anchor="sec_6">
        <w:r>
          <w:rPr>
            <w:color w:val="000000"/>
          </w:rPr>
          <w:t>6 Success measures and pilot design</w:t>
        </w:r>
      </w:hyperlink>
      <w:r>
        <w:tab/>
        <w:t>9</w:t>
      </w:r>
    </w:p>
    <w:p>
      <w:pPr>
        <w:pStyle w:val="ContentsLine"/>
      </w:pPr>
      <w:hyperlink w:anchor="sec_7">
        <w:r>
          <w:rPr>
            <w:color w:val="000000"/>
          </w:rPr>
          <w:t>7 Shared data and system authority</w:t>
        </w:r>
      </w:hyperlink>
      <w:r>
        <w:tab/>
        <w:t>10</w:t>
      </w:r>
    </w:p>
    <w:p>
      <w:pPr>
        <w:pStyle w:val="ContentsLine"/>
      </w:pPr>
      <w:hyperlink w:anchor="sec_8">
        <w:r>
          <w:rPr>
            <w:color w:val="000000"/>
          </w:rPr>
          <w:t>8 Unified workspace requirements</w:t>
        </w:r>
      </w:hyperlink>
      <w:r>
        <w:tab/>
        <w:t>12</w:t>
      </w:r>
    </w:p>
    <w:p>
      <w:pPr>
        <w:pStyle w:val="ContentsLine"/>
      </w:pPr>
      <w:hyperlink w:anchor="sec_9">
        <w:r>
          <w:rPr>
            <w:color w:val="000000"/>
          </w:rPr>
          <w:t>9 User identity and caseload requirements</w:t>
        </w:r>
      </w:hyperlink>
      <w:r>
        <w:tab/>
        <w:t>14</w:t>
      </w:r>
    </w:p>
    <w:p>
      <w:pPr>
        <w:pStyle w:val="ContentsLine"/>
      </w:pPr>
      <w:hyperlink w:anchor="sec_10">
        <w:r>
          <w:rPr>
            <w:color w:val="000000"/>
          </w:rPr>
          <w:t>10 Capture once and reuse requirements</w:t>
        </w:r>
      </w:hyperlink>
      <w:r>
        <w:tab/>
        <w:t>15</w:t>
      </w:r>
    </w:p>
    <w:p>
      <w:pPr>
        <w:pStyle w:val="ContentsLine"/>
      </w:pPr>
      <w:hyperlink w:anchor="sec_11">
        <w:r>
          <w:rPr>
            <w:color w:val="000000"/>
          </w:rPr>
          <w:t>11 Programme workflow requirements</w:t>
        </w:r>
      </w:hyperlink>
      <w:r>
        <w:tab/>
        <w:t>17</w:t>
      </w:r>
    </w:p>
    <w:p>
      <w:pPr>
        <w:pStyle w:val="ContentsLine"/>
      </w:pPr>
      <w:hyperlink w:anchor="sec_12">
        <w:r>
          <w:rPr>
            <w:color w:val="000000"/>
          </w:rPr>
          <w:t>12 Agent orchestration requirements</w:t>
        </w:r>
      </w:hyperlink>
      <w:r>
        <w:tab/>
        <w:t>18</w:t>
      </w:r>
    </w:p>
    <w:p>
      <w:pPr>
        <w:pStyle w:val="ContentsLine"/>
      </w:pPr>
      <w:hyperlink w:anchor="sec_13">
        <w:r>
          <w:rPr>
            <w:color w:val="000000"/>
          </w:rPr>
          <w:t>13 AI capability registry and provider requirements</w:t>
        </w:r>
      </w:hyperlink>
      <w:r>
        <w:tab/>
        <w:t>20</w:t>
      </w:r>
    </w:p>
    <w:p>
      <w:pPr>
        <w:pStyle w:val="ContentsLine"/>
      </w:pPr>
      <w:hyperlink w:anchor="sec_14">
        <w:r>
          <w:rPr>
            <w:color w:val="000000"/>
          </w:rPr>
          <w:t>14 Clinical guidance and knowledge requirements</w:t>
        </w:r>
      </w:hyperlink>
      <w:r>
        <w:tab/>
        <w:t>22</w:t>
      </w:r>
    </w:p>
    <w:p>
      <w:pPr>
        <w:pStyle w:val="ContentsLine"/>
      </w:pPr>
      <w:hyperlink w:anchor="sec_15">
        <w:r>
          <w:rPr>
            <w:color w:val="000000"/>
          </w:rPr>
          <w:t>15 Health system and programme integration requirements</w:t>
        </w:r>
      </w:hyperlink>
      <w:r>
        <w:tab/>
        <w:t>24</w:t>
      </w:r>
    </w:p>
    <w:p>
      <w:pPr>
        <w:pStyle w:val="ContentsLine"/>
      </w:pPr>
      <w:hyperlink w:anchor="sec_16">
        <w:r>
          <w:rPr>
            <w:color w:val="000000"/>
          </w:rPr>
          <w:t>16 Offline and synchronisation requirements</w:t>
        </w:r>
      </w:hyperlink>
      <w:r>
        <w:tab/>
        <w:t>29</w:t>
      </w:r>
    </w:p>
    <w:p>
      <w:pPr>
        <w:pStyle w:val="ContentsLine"/>
      </w:pPr>
      <w:hyperlink w:anchor="sec_17">
        <w:r>
          <w:rPr>
            <w:color w:val="000000"/>
          </w:rPr>
          <w:t>17 Referrals follow up and communication requirements</w:t>
        </w:r>
      </w:hyperlink>
      <w:r>
        <w:tab/>
        <w:t>30</w:t>
      </w:r>
    </w:p>
    <w:p>
      <w:pPr>
        <w:pStyle w:val="ContentsLine"/>
      </w:pPr>
      <w:hyperlink w:anchor="sec_18">
        <w:r>
          <w:rPr>
            <w:color w:val="000000"/>
          </w:rPr>
          <w:t>18 Supervisor analytics and reporting requirements</w:t>
        </w:r>
      </w:hyperlink>
      <w:r>
        <w:tab/>
        <w:t>31</w:t>
      </w:r>
    </w:p>
    <w:p>
      <w:pPr>
        <w:pStyle w:val="ContentsLine"/>
      </w:pPr>
      <w:hyperlink w:anchor="sec_19">
        <w:r>
          <w:rPr>
            <w:color w:val="000000"/>
          </w:rPr>
          <w:t>19 Administration configuration and support requirements</w:t>
        </w:r>
      </w:hyperlink>
      <w:r>
        <w:tab/>
        <w:t>32</w:t>
      </w:r>
    </w:p>
    <w:p>
      <w:pPr>
        <w:pStyle w:val="ContentsLine"/>
      </w:pPr>
      <w:hyperlink w:anchor="sec_20">
        <w:r>
          <w:rPr>
            <w:color w:val="000000"/>
          </w:rPr>
          <w:t>20 Privacy security and audit requirements</w:t>
        </w:r>
      </w:hyperlink>
      <w:r>
        <w:tab/>
        <w:t>34</w:t>
      </w:r>
    </w:p>
    <w:p>
      <w:pPr>
        <w:pStyle w:val="ContentsLine"/>
      </w:pPr>
      <w:hyperlink w:anchor="sec_21">
        <w:r>
          <w:rPr>
            <w:color w:val="000000"/>
          </w:rPr>
          <w:t>21 Action authority and critical business rules</w:t>
        </w:r>
      </w:hyperlink>
      <w:r>
        <w:tab/>
        <w:t>36</w:t>
      </w:r>
    </w:p>
    <w:p>
      <w:pPr>
        <w:pStyle w:val="ContentsLine"/>
      </w:pPr>
      <w:hyperlink w:anchor="sec_22">
        <w:r>
          <w:rPr>
            <w:color w:val="000000"/>
          </w:rPr>
          <w:t>22 End to end business journeys</w:t>
        </w:r>
      </w:hyperlink>
      <w:r>
        <w:tab/>
        <w:t>37</w:t>
      </w:r>
    </w:p>
    <w:p>
      <w:pPr>
        <w:pStyle w:val="ContentsLine"/>
      </w:pPr>
      <w:hyperlink w:anchor="sec_23">
        <w:r>
          <w:rPr>
            <w:color w:val="000000"/>
          </w:rPr>
          <w:t>23 Nonfunctional requirements</w:t>
        </w:r>
      </w:hyperlink>
      <w:r>
        <w:tab/>
        <w:t>43</w:t>
      </w:r>
    </w:p>
    <w:p>
      <w:pPr>
        <w:pStyle w:val="ContentsLine"/>
      </w:pPr>
      <w:hyperlink w:anchor="sec_24">
        <w:r>
          <w:rPr>
            <w:color w:val="000000"/>
          </w:rPr>
          <w:t>24 Data lifecycle and governance decisions</w:t>
        </w:r>
      </w:hyperlink>
      <w:r>
        <w:tab/>
        <w:t>47</w:t>
      </w:r>
    </w:p>
    <w:p>
      <w:pPr>
        <w:pStyle w:val="ContentsLine"/>
      </w:pPr>
      <w:hyperlink w:anchor="sec_25">
        <w:r>
          <w:rPr>
            <w:color w:val="000000"/>
          </w:rPr>
          <w:t>25 Service operations and commercial requirements</w:t>
        </w:r>
      </w:hyperlink>
      <w:r>
        <w:tab/>
        <w:t>48</w:t>
      </w:r>
    </w:p>
    <w:p>
      <w:pPr>
        <w:pStyle w:val="ContentsLine"/>
      </w:pPr>
      <w:hyperlink w:anchor="sec_26">
        <w:r>
          <w:rPr>
            <w:color w:val="000000"/>
          </w:rPr>
          <w:t>26 Acceptance and release gates</w:t>
        </w:r>
      </w:hyperlink>
      <w:r>
        <w:tab/>
        <w:t>48</w:t>
      </w:r>
    </w:p>
    <w:p>
      <w:pPr>
        <w:pStyle w:val="ContentsLine"/>
      </w:pPr>
      <w:hyperlink w:anchor="sec_27">
        <w:r>
          <w:rPr>
            <w:color w:val="000000"/>
          </w:rPr>
          <w:t>27 Delivery sequencing and dependencies</w:t>
        </w:r>
      </w:hyperlink>
      <w:r>
        <w:tab/>
        <w:t>50</w:t>
      </w:r>
    </w:p>
    <w:p>
      <w:pPr>
        <w:pStyle w:val="ContentsLine"/>
      </w:pPr>
      <w:hyperlink w:anchor="sec_28">
        <w:r>
          <w:rPr>
            <w:color w:val="000000"/>
          </w:rPr>
          <w:t>28 Risk and mitigation register</w:t>
        </w:r>
      </w:hyperlink>
      <w:r>
        <w:tab/>
        <w:t>51</w:t>
      </w:r>
    </w:p>
    <w:p>
      <w:pPr>
        <w:pStyle w:val="ContentsLine"/>
      </w:pPr>
      <w:hyperlink w:anchor="sec_29">
        <w:r>
          <w:rPr>
            <w:color w:val="000000"/>
          </w:rPr>
          <w:t>29 Assumptions and decision register</w:t>
        </w:r>
      </w:hyperlink>
      <w:r>
        <w:tab/>
        <w:t>52</w:t>
      </w:r>
    </w:p>
    <w:p>
      <w:pPr>
        <w:pStyle w:val="ContentsLine"/>
      </w:pPr>
      <w:hyperlink w:anchor="sec_30">
        <w:r>
          <w:rPr>
            <w:color w:val="000000"/>
          </w:rPr>
          <w:t>30 Business traceability</w:t>
        </w:r>
      </w:hyperlink>
      <w:r>
        <w:tab/>
        <w:t>53</w:t>
      </w:r>
    </w:p>
    <w:p>
      <w:pPr>
        <w:pStyle w:val="ContentsLine"/>
      </w:pPr>
      <w:hyperlink w:anchor="sec_31">
        <w:r>
          <w:rPr>
            <w:color w:val="000000"/>
          </w:rPr>
          <w:t>Appendix A Terms and definitions</w:t>
        </w:r>
      </w:hyperlink>
      <w:r>
        <w:tab/>
        <w:t>54</w:t>
      </w:r>
    </w:p>
    <w:p>
      <w:pPr>
        <w:pStyle w:val="ContentsLine"/>
      </w:pPr>
      <w:hyperlink w:anchor="sec_32">
        <w:r>
          <w:rPr>
            <w:color w:val="000000"/>
          </w:rPr>
          <w:t>Appendix B Reference basis</w:t>
        </w:r>
      </w:hyperlink>
      <w:r>
        <w:tab/>
        <w:t>55</w:t>
      </w:r>
    </w:p>
    <w:p>
      <w:pPr>
        <w:pStyle w:val="ContentsLine"/>
      </w:pPr>
      <w:hyperlink w:anchor="sec_33">
        <w:r>
          <w:rPr>
            <w:color w:val="000000"/>
          </w:rPr>
          <w:t>Appendix C Approval record</w:t>
        </w:r>
      </w:hyperlink>
      <w:r>
        <w:tab/>
        <w:t>56</w:t>
      </w:r>
    </w:p>
    <w:p>
      <w:pPr>
        <w:pStyle w:val="Small"/>
      </w:pPr>
      <w:r>
        <w:t>Use the linked contents or Word navigation pane to move between sections.</w:t>
      </w:r>
    </w:p>
    <w:p>
      <w:r>
        <w:br w:type="page"/>
      </w:r>
    </w:p>
    <w:p>
      <w:bookmarkStart w:id="2" w:name="sec_1"/>
      <w:pPr>
        <w:pStyle w:val="Heading1"/>
      </w:pPr>
      <w:r>
        <w:t>1 Purpose and product definition</w:t>
      </w:r>
      <w:bookmarkEnd w:id="2"/>
    </w:p>
    <w:p>
      <w:r>
        <w:t>The platform coordinates health work across programme systems and AI providers through a common workspace. A worker starts with a person and a task, such as a home visit, rather than selecting an application vendor. The platform retrieves permitted context, captures new information, asks the combined set of necessary questions, invokes eligible capabilities and prepares actions for the appropriate human to authorise.</w:t>
      </w:r>
    </w:p>
    <w:p>
      <w:r>
        <w:t>Two promises define the product. First, it reduces repeated data entry across programmes. Second, it lets a worker use multiple approved AI services inside the same encounter without independently discovering their applications, repeating registration or transferring patient information manually.</w:t>
      </w:r>
    </w:p>
    <w:p>
      <w:r>
        <w:t xml:space="preserve">“Enter once” means </w:t>
      </w:r>
      <w:r>
        <w:rPr>
          <w:b/>
        </w:rPr>
        <w:t>capture once per fact, person and relevant time period</w:t>
      </w:r>
      <w:r>
        <w:t>. A newly measured blood pressure is a new observation. An uncertain date must be clarified. A programme may require a distinct eligibility declaration. A household visit can involve several people, each with separate observations and permissions. The product must not manufacture missing answers to make a form appear complete.</w:t>
      </w:r>
    </w:p>
    <w:p>
      <w:r>
        <w:t>“Agentic” means the platform can pursue a bounded user task: retrieve authorised context, determine missing inputs, call allowed tools, track progress and prepare or perform permitted actions. It must preserve the distinction between what a person said, what was measured, what an external system reported, what a model inferred and what a qualified professional decided.</w:t>
      </w:r>
    </w:p>
    <w:p>
      <w:r>
        <w:t>The preferred experience combines voice, short guided questions, structured cards and an action list. A chat transcript is a supporting record. The main work surface shows the patient, current visit, unresolved questions, proposed actions and completion status.</w:t>
      </w:r>
    </w:p>
    <w:p>
      <w:pPr>
        <w:pStyle w:val="Heading2"/>
      </w:pPr>
      <w:r>
        <w:t>Product boundaries</w:t>
      </w:r>
    </w:p>
    <w:p>
      <w:pPr/>
      <w:r>
        <w:rPr>
          <w:rFonts w:ascii="Arial" w:hAnsi="Arial"/>
        </w:rPr>
        <w:t>The platform owns its encounter workspace, task coordination, approved capability registry, canonical exchange representation, connector state, local mappings and audit evidence. Connected systems remain authoritative for the records and transactions they control. An external programme enrolment exists only after that programme accepts it. An EHR write exists only after the EHR acknowledges it. An AI request being sent is not evidence of a valid result. A referral being created is not evidence that care occurred.</w:t>
      </w:r>
    </w:p>
    <w:p>
      <w:pPr/>
      <w:r>
        <w:rPr>
          <w:rFonts w:ascii="Arial" w:hAnsi="Arial"/>
        </w:rPr>
        <w:t>The platform can maintain an operational longitudinal view using authorised records and local observations. ABDM exchange and direct EHR connectivity provide routes to records; neither grants unrestricted access or permission to build a national warehouse. Storage, consent, processing authority, access, exchange and retention remain deployment-specific decisions.</w:t>
      </w:r>
    </w:p>
    <w:p>
      <w:pPr/>
      <w:r>
        <w:rPr>
          <w:rFonts w:ascii="Arial" w:hAnsi="Arial"/>
        </w:rPr>
        <w:t>ABDM alignment shall be defined by the exact role and module used, such as ABHA services, Health Information Provider, Health Information User, consented exchange, Scan and Share or NHCX. Passing FHIR validation or an ABDM sandbox test does not itself prove production onboarding, legal authority or access to a programme database.</w:t>
      </w:r>
    </w:p>
    <w:p>
      <w:r>
        <w:t>The Global Health AI Sandbox is an adjacent evaluation capability. This product may consume versioned evaluation evidence and safety notices from it. An evaluation report, a technical integration test, procurement acceptance and permission to use a clinical model are separate decisions. Sandbox evidence is not regulatory certification and does not alone authorise patient care.</w:t>
      </w:r>
    </w:p>
    <w:p>
      <w:pPr>
        <w:pStyle w:val="Heading2"/>
      </w:pPr>
      <w:r>
        <w:t>Business design principles</w:t>
      </w:r>
    </w:p>
    <w:p>
      <w:pPr>
        <w:pStyle w:val="ListBullet"/>
      </w:pPr>
      <w:r>
        <w:t>Begin with the worker's encounter and tasks; reveal programmes and vendors only where they help the worker make a decision.</w:t>
      </w:r>
    </w:p>
    <w:p>
      <w:pPr>
        <w:pStyle w:val="ListBullet"/>
      </w:pPr>
      <w:r>
        <w:t>Reuse confirmed data only when its meaning, freshness, authority and permissions match the receiving use.</w:t>
      </w:r>
    </w:p>
    <w:p>
      <w:pPr>
        <w:pStyle w:val="ListBullet"/>
      </w:pPr>
      <w:r>
        <w:t>Preserve programme accountability and destination acknowledgements while reducing duplicate interaction.</w:t>
      </w:r>
    </w:p>
    <w:p>
      <w:pPr>
        <w:pStyle w:val="ListBullet"/>
      </w:pPr>
      <w:r>
        <w:t>Make AI useful inside a workflow, with evidence, limitations and a safe path when it cannot run.</w:t>
      </w:r>
    </w:p>
    <w:p>
      <w:pPr>
        <w:pStyle w:val="ListBullet"/>
      </w:pPr>
      <w:r>
        <w:t>Make routine capture and approved local guidance usable with poor connectivity.</w:t>
      </w:r>
    </w:p>
    <w:p>
      <w:pPr>
        <w:pStyle w:val="ListBullet"/>
      </w:pPr>
      <w:r>
        <w:t>Apply permissions to tools, records, actions and exports as well as to screens.</w:t>
      </w:r>
    </w:p>
    <w:p>
      <w:pPr>
        <w:pStyle w:val="ListBullet"/>
      </w:pPr>
      <w:r>
        <w:t>Measure total worker burden, including corrections and integration failures, not only time spent typing.</w:t>
      </w:r>
    </w:p>
    <w:p>
      <w:pPr>
        <w:pStyle w:val="ListBullet"/>
      </w:pPr>
      <w:r>
        <w:rPr>
          <w:rFonts w:ascii="Arial" w:hAnsi="Arial"/>
        </w:rPr>
        <w:t>Use a canonical clinical representation and versioned adapters so a verified fact can be translated into the format required by ABDM, an EHR or a programme without losing its source, meaning or status.</w:t>
      </w:r>
    </w:p>
    <w:p>
      <w:bookmarkStart w:id="3" w:name="sec_2"/>
      <w:pPr>
        <w:pStyle w:val="Heading1"/>
      </w:pPr>
      <w:r>
        <w:t>2 Business problem and opportunity</w:t>
      </w:r>
      <w:bookmarkEnd w:id="3"/>
    </w:p>
    <w:p>
      <w:r>
        <w:t>The working problem hypothesis is that fragmented applications force workers to repeat identity capture, enter overlapping programme fields, move between interfaces and separately interpret AI outputs. Fragmentation also affects supervisors, who cannot reliably distinguish a completed visit from a failed submission or an unresolved referral. These hypotheses require field observation; this BRD does not assert a measured national burden.</w:t>
      </w:r>
    </w:p>
    <w:p>
      <w:r>
        <w:t>For an AI provider, each deployment may require its own app, user onboarding, data capture, device support and programme integration. The platform's proposed value is a governed route into an existing workflow. A provider supplies a defined capability; the platform manages the permitted encounter context and the user interaction around it.</w:t>
      </w:r>
    </w:p>
    <w:p>
      <w:r>
        <w:t>For a buyer, the proposition is one operational interface, configurable programme workflows and accountable integration. The buyer should be able to add or replace a capability without forcing workers to restart their patient records or relearn the whole application.</w:t>
      </w:r>
    </w:p>
    <w:p>
      <w:pPr>
        <w:pStyle w:val="Heading2"/>
      </w:pPr>
      <w:r>
        <w:t>Jobs to be done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330"/>
      </w:tblGrid>
      <w:tr>
        <w:trPr>
          <w:cantSplit/>
          <w:tblHeader/>
          <w:tblHeader w:val="true"/>
          <w:cantSplit/>
        </w:trPr>
        <w:tc>
          <w:tcPr>
            <w:tcW w:type="dxa" w:w="2664"/>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User</w:t>
            </w:r>
          </w:p>
        </w:tc>
        <w:tc>
          <w:tcPr>
            <w:tcW w:type="dxa" w:w="7330"/>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Required outcome</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ASHA or community health worker</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Complete a visit, understand the next permitted action, record it once and see what remains unfinished</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ANM or supervisor</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Review flagged cases, resolve data and workflow exceptions, allocate work and track completion</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Clinician</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Inspect supporting evidence and measurements, review suggestions and record an accountable clinical decision</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Programme manager</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Understand activity, data completeness, service gaps and integration failures using reproducible definitions</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AI provider</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Integrate and maintain a capability without building a separate frontline experience</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Programme system owner</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Receive correct, authorised, traceable data without losing control over programme rules</w:t>
            </w:r>
          </w:p>
        </w:tc>
      </w:tr>
      <w:tr>
        <w:trPr>
          <w:cantSplit/>
          <w:cantSplit/>
        </w:trPr>
        <w:tc>
          <w:tcPr>
            <w:tcW w:type="dxa" w:w="2664"/>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Deployment operator</w:t>
            </w:r>
          </w:p>
        </w:tc>
        <w:tc>
          <w:tcPr>
            <w:tcW w:type="dxa" w:w="7330"/>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Configure, support and monitor the service with clear responsibility boundaries</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Patient or household member</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Receive coherent care interactions with understandable data use and appropriate confidentiality</w:t>
            </w:r>
          </w:p>
        </w:tc>
      </w:tr>
    </w:tbl>
    <w:p>
      <w:pPr>
        <w:spacing w:after="60" w:before="0" w:line="40" w:lineRule="exact"/>
      </w:pPr>
      <w:r>
        <w:rPr>
          <w:sz w:val="4"/>
        </w:rPr>
      </w:r>
    </w:p>
    <w:p>
      <w:pPr>
        <w:pStyle w:val="Heading2"/>
      </w:pPr>
      <w:r>
        <w:t>Proposed business objectives</w:t>
      </w:r>
    </w:p>
    <w:p>
      <w:r/>
      <w:r>
        <w:rPr>
          <w:b/>
        </w:rPr>
        <w:t>BO1 Reduce administrative burden.</w:t>
      </w:r>
      <w:r>
        <w:t xml:space="preserve"> Lower total documentation effort and repeated entry for the selected workflows, including correction time and any remaining external reporting.</w:t>
      </w:r>
    </w:p>
    <w:p>
      <w:r/>
      <w:r>
        <w:rPr>
          <w:b/>
        </w:rPr>
        <w:t>BO2 Simplify access to AI.</w:t>
      </w:r>
      <w:r>
        <w:t xml:space="preserve"> Allow approved capabilities from at least two independent providers to be used in one workspace, with no separate worker account or manual recapture of an already valid input.</w:t>
      </w:r>
    </w:p>
    <w:p>
      <w:r/>
      <w:r>
        <w:rPr>
          <w:b/>
        </w:rPr>
        <w:t>BO3 Improve continuity.</w:t>
      </w:r>
      <w:r>
        <w:t xml:space="preserve"> Make referrals, follow-ups, missed activities and responsibility transfers visible through completion or a documented unresolved outcome.</w:t>
      </w:r>
    </w:p>
    <w:p>
      <w:r/>
      <w:r>
        <w:rPr>
          <w:b/>
        </w:rPr>
        <w:t>BO4 Improve record quality.</w:t>
      </w:r>
      <w:r>
        <w:t xml:space="preserve"> Increase consistency, completeness and traceability without increasing fabricated certainty or duplicate identities.</w:t>
      </w:r>
    </w:p>
    <w:p>
      <w:r/>
      <w:r>
        <w:rPr>
          <w:b/>
        </w:rPr>
        <w:t>BO5 Preserve trust and control.</w:t>
      </w:r>
      <w:r>
        <w:t xml:space="preserve"> Demonstrate patient separation, role boundaries, reproducible clinical content, privacy protection and reliable external submission status.</w:t>
      </w:r>
    </w:p>
    <w:p>
      <w:r/>
      <w:r>
        <w:rPr>
          <w:b/>
        </w:rPr>
        <w:t>BO6 Make deployment repeatable.</w:t>
      </w:r>
      <w:r>
        <w:t xml:space="preserve"> Configure a new programme or provider through reusable contracts and controlled release processes, with measured onboarding effort.</w:t>
      </w:r>
    </w:p>
    <w:p>
      <w:pPr/>
      <w:r>
        <w:rPr>
          <w:rFonts w:ascii="Arial" w:hAnsi="Arial"/>
        </w:rPr>
        <w:t>BO7 Enable governed interoperability. Exchange authorised clinical and administrative information with ABDM and selected EHR or HMIS systems while preserving consent, provenance, semantic meaning and destination authority.</w:t>
      </w:r>
    </w:p>
    <w:p>
      <w:bookmarkStart w:id="4" w:name="sec_3"/>
      <w:pPr>
        <w:pStyle w:val="Heading1"/>
      </w:pPr>
      <w:r>
        <w:t>3 Scope and release boundaries</w:t>
      </w:r>
      <w:bookmarkEnd w:id="4"/>
    </w:p>
    <w:p>
      <w:pPr>
        <w:pStyle w:val="Heading2"/>
      </w:pPr>
      <w:r>
        <w:t>Release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752"/>
        <w:gridCol w:w="3744"/>
      </w:tblGrid>
      <w:tr>
        <w:trPr>
          <w:cantSplit/>
          <w:tblHeader/>
          <w:tblHeader w:val="true"/>
          <w:cantSplit/>
        </w:trPr>
        <w:tc>
          <w:tcPr>
            <w:tcW w:type="dxa" w:w="1498"/>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Release</w:t>
            </w:r>
          </w:p>
        </w:tc>
        <w:tc>
          <w:tcPr>
            <w:tcW w:type="dxa" w:w="4752"/>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Business scope</w:t>
            </w:r>
          </w:p>
        </w:tc>
        <w:tc>
          <w:tcPr>
            <w:tcW w:type="dxa" w:w="3744"/>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Exit evidence</w:t>
            </w:r>
          </w:p>
        </w:tc>
      </w:tr>
      <w:tr>
        <w:trPr>
          <w:cantSplit/>
          <w:cantSplit/>
        </w:trPr>
        <w:tc>
          <w:tcPr>
            <w:tcW w:type="dxa" w:w="1498"/>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R0 Development validation</w:t>
            </w:r>
          </w:p>
        </w:tc>
        <w:tc>
          <w:tcPr>
            <w:tcW w:type="dxa" w:w="4752"/>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Synthetic identities, simulated programme APIs, real nonclinical AI integration where available, offline and failure scenarios</w:t>
            </w:r>
          </w:p>
        </w:tc>
        <w:tc>
          <w:tcPr>
            <w:tcW w:type="dxa" w:w="374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Core journeys demonstrated; every simulated component labelled; no claim of live programme integration</w:t>
            </w:r>
          </w:p>
        </w:tc>
      </w:tr>
      <w:tr>
        <w:trPr>
          <w:cantSplit/>
          <w:cantSplit/>
        </w:trPr>
        <w:tc>
          <w:tcPr>
            <w:tcW w:type="dxa" w:w="1498"/>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R1 Controlled operational pilot</w:t>
            </w:r>
          </w:p>
        </w:tc>
        <w:tc>
          <w:tcPr>
            <w:tcW w:type="dxa" w:w="4752"/>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One district or equivalent area; proposed 100 to 200 workers; maternal health, TB screening and hypertension follow-up; Hindi and English subject to local suitability</w:t>
            </w:r>
          </w:p>
        </w:tc>
        <w:tc>
          <w:tcPr>
            <w:tcW w:type="dxa" w:w="3744"/>
            <w:vAlign w:val="center"/>
            <w:tcMar>
              <w:top w:w="90" w:type="dxa"/>
              <w:bottom w:w="90" w:type="dxa"/>
              <w:left w:w="105" w:type="dxa"/>
              <w:right w:w="105" w:type="dxa"/>
            </w:tcMar>
            <w:shd w:fill="F3F5F7"/>
          </w:tcPr>
          <w:p>
            <w:pPr>
              <w:spacing w:after="0" w:line="252" w:lineRule="auto"/>
              <w:jc w:val="left"/>
            </w:pPr>
            <w:r/>
            <w:r>
              <w:rPr>
                <w:rFonts w:ascii="Arial" w:hAnsi="Arial"/>
                <w:b w:val="0"/>
                <w:color w:val="000000"/>
                <w:sz w:val="17"/>
              </w:rPr>
              <w:t>Two authorised programme destinations accept real submissions; two independent AI providers work in the same workspace; selected ABDM modules pass sandbox tests and one authorised EHR, HMIS or production ABDM exchange route completes end-to-end reconciliation; agreed safety and operational gates pass</w:t>
            </w:r>
          </w:p>
        </w:tc>
      </w:tr>
      <w:tr>
        <w:trPr>
          <w:cantSplit/>
          <w:cantSplit/>
        </w:trPr>
        <w:tc>
          <w:tcPr>
            <w:tcW w:type="dxa" w:w="1498"/>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R2 Programme expansion</w:t>
            </w:r>
          </w:p>
        </w:tc>
        <w:tc>
          <w:tcPr>
            <w:tcW w:type="dxa" w:w="4752"/>
            <w:vAlign w:val="center"/>
            <w:tcMar>
              <w:top w:w="90" w:type="dxa"/>
              <w:bottom w:w="90" w:type="dxa"/>
              <w:left w:w="105" w:type="dxa"/>
              <w:right w:w="105" w:type="dxa"/>
            </w:tcMar>
            <w:shd w:fill="FFFFFF"/>
          </w:tcPr>
          <w:p>
            <w:pPr>
              <w:spacing w:after="0" w:line="252" w:lineRule="auto"/>
              <w:jc w:val="left"/>
            </w:pPr>
            <w:r/>
            <w:r>
              <w:rPr>
                <w:rFonts w:ascii="Arial" w:hAnsi="Arial"/>
                <w:b w:val="0"/>
                <w:color w:val="000000"/>
                <w:sz w:val="17"/>
              </w:rPr>
              <w:t>Additional programme packs, facility workflows, EHR connectors, production ABDM roles, richer reporting and approved devices</w:t>
            </w:r>
          </w:p>
        </w:tc>
        <w:tc>
          <w:tcPr>
            <w:tcW w:type="dxa" w:w="3744"/>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Repeatable onboarding, support economics and programme-specific outcome evidence</w:t>
            </w:r>
          </w:p>
        </w:tc>
      </w:tr>
      <w:tr>
        <w:trPr>
          <w:cantSplit/>
          <w:cantSplit/>
        </w:trPr>
        <w:tc>
          <w:tcPr>
            <w:tcW w:type="dxa" w:w="1498"/>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R3 Wider deployment</w:t>
            </w:r>
          </w:p>
        </w:tc>
        <w:tc>
          <w:tcPr>
            <w:tcW w:type="dxa" w:w="4752"/>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Multiple jurisdictions and delivery settings with country-specific governance, hosting and terminology</w:t>
            </w:r>
          </w:p>
        </w:tc>
        <w:tc>
          <w:tcPr>
            <w:tcW w:type="dxa" w:w="374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Independently authorised deployments with proven scale, isolation and local operational ownership</w:t>
            </w:r>
          </w:p>
        </w:tc>
      </w:tr>
    </w:tbl>
    <w:p>
      <w:pPr>
        <w:spacing w:after="60" w:before="0" w:line="40" w:lineRule="exact"/>
      </w:pPr>
      <w:r>
        <w:rPr>
          <w:sz w:val="4"/>
        </w:rPr>
      </w:r>
    </w:p>
    <w:p>
      <w:r>
        <w:t>The R1 scope is a planning baseline. TB, maternal health and hypertension are candidate programme packs; local owners must confirm actual forms, task boundaries and interfaces. A pilot with only one live programme connector can test usability and AI workflow value, but it does not pass the full cross-programme single-entry claim.</w:t>
      </w:r>
    </w:p>
    <w:p>
      <w:r>
        <w:t>At least two capabilities from independent AI providers must be genuinely invoked in R1. Speech capture or document extraction may provide one capability. At least one approved task-specific health capability is needed to demonstrate the intended clinical support proposition. If clinical authorisation is unavailable, R1 may operate as an explicitly limited administrative pilot; clinical outputs remain in a separate non-care test environment and the clinical deployment gate remains unmet.</w:t>
      </w:r>
    </w:p>
    <w:p>
      <w:pPr>
        <w:pStyle w:val="Heading2"/>
      </w:pPr>
      <w:r>
        <w:t>Initial capability scope</w:t>
      </w:r>
    </w:p>
    <w:p>
      <w:pPr>
        <w:pStyle w:val="ListBullet"/>
      </w:pPr>
      <w:r>
        <w:t>Worker identity, caseload and household roster; person matching and programme identifier crosswalks.</w:t>
      </w:r>
    </w:p>
    <w:p>
      <w:pPr>
        <w:pStyle w:val="ListBullet"/>
      </w:pPr>
      <w:r>
        <w:t>Unified encounter capture by voice, text or guided forms; structured review and correction.</w:t>
      </w:r>
    </w:p>
    <w:p>
      <w:pPr>
        <w:pStyle w:val="ListBullet"/>
      </w:pPr>
      <w:r>
        <w:t>Programme-specific eligibility and follow-up packs with a shared question set.</w:t>
      </w:r>
    </w:p>
    <w:p>
      <w:pPr>
        <w:pStyle w:val="ListBullet"/>
      </w:pPr>
      <w:r>
        <w:t>Agentic retrieval, tool routing, bounded execution and action preparation.</w:t>
      </w:r>
    </w:p>
    <w:p>
      <w:pPr>
        <w:pStyle w:val="ListBullet"/>
      </w:pPr>
      <w:r>
        <w:t>Governed registry and invocation of independently supplied AI capabilities.</w:t>
      </w:r>
    </w:p>
    <w:p>
      <w:pPr>
        <w:pStyle w:val="ListBullet"/>
      </w:pPr>
      <w:r>
        <w:t>Approved clinical rules, knowledge retrieval, referral preparation and escalation.</w:t>
      </w:r>
    </w:p>
    <w:p>
      <w:pPr>
        <w:pStyle w:val="ListBullet"/>
      </w:pPr>
      <w:r>
        <w:t>Two live programme connectors with authenticated writeback, reconciliation and receipts.</w:t>
      </w:r>
    </w:p>
    <w:p>
      <w:pPr>
        <w:pStyle w:val="ListBullet"/>
      </w:pPr>
      <w:r>
        <w:rPr>
          <w:rFonts w:ascii="Arial" w:hAnsi="Arial"/>
        </w:rPr>
        <w:t>A reference EHR or HMIS connector framework supporting FHIR R4, ABDM FHIR profiles and controlled adapters for other authorised interfaces.</w:t>
      </w:r>
    </w:p>
    <w:p>
      <w:pPr>
        <w:pStyle w:val="ListBullet"/>
      </w:pPr>
      <w:r>
        <w:rPr>
          <w:rFonts w:ascii="Arial" w:hAnsi="Arial"/>
        </w:rPr>
        <w:t>Selected ABDM sandbox modules for ABHA, HIP, HIU or consented exchange as agreed for the pilot; production use remains conditional on onboarding and deployment approval.</w:t>
      </w:r>
    </w:p>
    <w:p>
      <w:pPr>
        <w:pStyle w:val="ListBullet"/>
      </w:pPr>
      <w:r>
        <w:t>Encrypted offline capture, explicit pending states and controlled synchronisation.</w:t>
      </w:r>
    </w:p>
    <w:p>
      <w:pPr>
        <w:pStyle w:val="ListBullet"/>
      </w:pPr>
      <w:r>
        <w:t>Supervisor exception queues, limited programme reporting and operational administration.</w:t>
      </w:r>
    </w:p>
    <w:p>
      <w:pPr>
        <w:pStyle w:val="ListBullet"/>
      </w:pPr>
      <w:r>
        <w:t>Consent and other authorised-purpose records, access controls, audit, incident handling and support.</w:t>
      </w:r>
    </w:p>
    <w:p>
      <w:pPr>
        <w:pStyle w:val="Heading2"/>
      </w:pPr>
      <w:r>
        <w:t>Explicit exclusions from R1</w:t>
      </w:r>
    </w:p>
    <w:p>
      <w:pPr/>
      <w:r>
        <w:rPr>
          <w:rFonts w:ascii="Arial" w:hAnsi="Arial"/>
        </w:rPr>
        <w:t>Autonomous diagnosis or prescribing; unrestricted internet agents; a claim of universal integration with every MIS or EHR; a complete hospital information system; a national patient data warehouse; independent payment settlement; automated benefit sanctioning; autonomous clinical model training on patient data; unreviewed vendor self-publication; open public patient chat; and unsupervised retrospective edits to official records are outside R1.</w:t>
      </w:r>
    </w:p>
    <w:p>
      <w:r>
        <w:t>Specialist imaging, laboratory, device and pharmacy functions may be integrated later where required, but they do not become available merely because a provider supplies an API. Patient-facing access, WhatsApp delivery and IVR are later channel decisions with separate identity, privacy and workflow requirements.</w:t>
      </w:r>
    </w:p>
    <w:p>
      <w:bookmarkStart w:id="5" w:name="sec_4"/>
      <w:pPr>
        <w:pStyle w:val="Heading1"/>
      </w:pPr>
      <w:r>
        <w:t>4 Stakeholders and accountability</w:t>
      </w:r>
      <w:bookmarkEnd w:id="5"/>
    </w:p>
    <w:p>
      <w:r>
        <w:t>The buyer, programme owner, deployment operator and clinical authority may be different organisations. The operating agreement must name them and allocate responsibility for data, staffing, model use, referral follow-through and incident response. Aplyd is the proposed product steward; this document does not assign it authority over government records or patient care.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Role</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Accountable for</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Minimum boundary</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Business sponsor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Scope, funding, buyer agreement and outcome review</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Cannot waive a legal restriction or clinical authority requirement</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Product owner</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Requirement baseline, release content and user outcomes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Cannot independently approve clinical protocols</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Programme owner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Forms, indicators, eligibility, reporting and connector acceptance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Controls only the named programme and authorised geography</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Clinical safety lead</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Clinical workflow review, hazards, escalation and model-use conditions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Must be qualified and designated for the deployment</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Privacy and legal lead</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Processing basis, notices, agreements, retention and jurisdiction review</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Approval must be recorded by data flow and use</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Security lead</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Access model, security assessment, incident response and production readiness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No routine right to browse clinical content</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Integration owner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Identity mapping, connector operation and reconciliation</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Cannot impersonate workers outside an authorised delegation</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AI governance owner</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Capability eligibility, version approval, monitoring and suspension</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Cannot substitute vendor marketing for evidence</w:t>
            </w:r>
          </w:p>
        </w:tc>
      </w:tr>
      <w:tr>
        <w:trPr>
          <w:cantSplit/>
          <w:cantSplit/>
        </w:trPr>
        <w:tc>
          <w:tcPr>
            <w:tcW w:type="dxa" w:w="2376"/>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Operations lead</w:t>
            </w:r>
          </w:p>
        </w:tc>
        <w:tc>
          <w:tcPr>
            <w:tcW w:type="dxa" w:w="3917"/>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Training, support, device readiness and service management</w:t>
            </w:r>
          </w:p>
        </w:tc>
        <w:tc>
          <w:tcPr>
            <w:tcW w:type="dxa" w:w="3701"/>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Handles exceptions under scoped access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Patient representative</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Accessibility, understandability and confidentiality feedback</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Participation does not replace individual authorisation</w:t>
            </w:r>
          </w:p>
        </w:tc>
      </w:tr>
    </w:tbl>
    <w:p>
      <w:pPr>
        <w:spacing w:after="60" w:before="0" w:line="40" w:lineRule="exact"/>
      </w:pPr>
      <w:r>
        <w:rPr>
          <w:sz w:val="4"/>
        </w:rPr>
      </w:r>
    </w:p>
    <w:p>
      <w:pPr>
        <w:pStyle w:val="Heading2"/>
      </w:pPr>
      <w:r>
        <w:t>User permission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Role</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Default access</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Restricted actions</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Frontline worker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Assigned households, permitted observations, own tasks and visit records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No prescribing, bulk export, unrelated case search or model activation</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Supervisor or ANM</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Assigned team and service area, exception queues and review tasks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Clinical authority follows credential and local protocol, not the job label alone</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Clinician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Authorised patient referrals and supporting evidence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No automatic access to unrelated programme populations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Programme manager</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Approved aggregate indicators and scoped operational lists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Person-level drilldown requires a separately granted purpose and permission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Tenant administrator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Users, organisational scope and configuration</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Administration does not confer unrestricted patient access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Integration administrator</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Connector settings, receipts and redacted technical diagnostics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Secrets and raw clinical payloads are restricted and audited</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AI provider administrator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Own capability metadata and approved diagnostics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No default access to patient records or other providers' content</w:t>
            </w:r>
          </w:p>
        </w:tc>
      </w:tr>
      <w:tr>
        <w:trPr>
          <w:cantSplit/>
          <w:cantSplit/>
        </w:trPr>
        <w:tc>
          <w:tcPr>
            <w:tcW w:type="dxa" w:w="2376"/>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Auditor</w:t>
            </w:r>
          </w:p>
        </w:tc>
        <w:tc>
          <w:tcPr>
            <w:tcW w:type="dxa" w:w="3917"/>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Time-bounded evidence views under assigned scope</w:t>
            </w:r>
          </w:p>
        </w:tc>
        <w:tc>
          <w:tcPr>
            <w:tcW w:type="dxa" w:w="3701"/>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No record correction or operational execution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Platform support</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Redacted diagnostics and approved support sessions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Temporary content access requires a case, reason and expiry</w:t>
            </w:r>
          </w:p>
        </w:tc>
      </w:tr>
    </w:tbl>
    <w:p>
      <w:pPr>
        <w:spacing w:after="60" w:before="0" w:line="40" w:lineRule="exact"/>
      </w:pPr>
      <w:r>
        <w:rPr>
          <w:sz w:val="4"/>
        </w:rPr>
      </w:r>
    </w:p>
    <w:p>
      <w:r>
        <w:t>One person may hold several roles, but active authority must be explicit. Tenant, programme, geography, facility, assignment, purpose and action type constrain permissions. Conflicting duties such as requesting and approving a sensitive change must remain separated even when a user has several roles.</w:t>
      </w:r>
    </w:p>
    <w:p>
      <w:bookmarkStart w:id="6" w:name="sec_5"/>
      <w:pPr>
        <w:pStyle w:val="Heading1"/>
      </w:pPr>
      <w:r>
        <w:t>5 Business operating model</w:t>
      </w:r>
      <w:bookmarkEnd w:id="6"/>
    </w:p>
    <w:p>
      <w:pPr>
        <w:pStyle w:val="Heading2"/>
      </w:pPr>
      <w:r>
        <w:t>Layers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Layer</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Business responsibility</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Boundary</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Unified workspace</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Present visits, questions, tool results and next actions in the user's language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Exposes only capabilities allowed for the current role and task</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Shared health context</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Maintain authorised person, household, encounter and task context</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Every fact retains source, time, verification state and permitted uses</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Agent and workflow coordination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Plan bounded tasks, select tools and track completion</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Policy and clinical rules constrain plans and execution</w:t>
            </w:r>
          </w:p>
        </w:tc>
      </w:tr>
      <w:tr>
        <w:trPr>
          <w:cantSplit/>
          <w:cantSplit/>
        </w:trPr>
        <w:tc>
          <w:tcPr>
            <w:tcW w:type="dxa" w:w="2376"/>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Capability registry</w:t>
            </w:r>
          </w:p>
        </w:tc>
        <w:tc>
          <w:tcPr>
            <w:tcW w:type="dxa" w:w="3917"/>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Describe, approve and monitor AI and non-AI tools</w:t>
            </w:r>
          </w:p>
        </w:tc>
        <w:tc>
          <w:tcPr>
            <w:tcW w:type="dxa" w:w="3701"/>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Eligibility is specific to version, purpose, population and deployment</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Programme connectors</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Translate and exchange authorised data</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External owners retain control of their records and acceptance rules</w:t>
            </w:r>
          </w:p>
        </w:tc>
      </w:tr>
    </w:tbl>
    <w:p>
      <w:pPr>
        <w:spacing w:after="60" w:before="0" w:line="40" w:lineRule="exact"/>
      </w:pPr>
      <w:r>
        <w:rPr>
          <w:sz w:val="4"/>
        </w:rPr>
      </w:r>
    </w:p>
    <w:p>
      <w:r>
        <w:t>Identity, access, privacy, security, clinical governance, audit and operations apply across all layers. They are not optional modules that a connector or model can bypass.</w:t>
      </w:r>
    </w:p>
    <w:p>
      <w:pPr>
        <w:pStyle w:val="Heading2"/>
      </w:pPr>
      <w:r>
        <w:t>Configuration unit</w:t>
      </w:r>
    </w:p>
    <w:p>
      <w:r>
        <w:t>A deployment consists of an organisational scope, user roles, a person and facility registry, programme packs, approved capability versions, connector contracts, language packs and jurisdiction rules. A programme pack includes questions, definitions, eligibility, workflow steps, authorised actions, escalation routes, forms, indicators and tests. A new pack must reuse common facts where valid and preserve its own programme-specific meaning where necessary.</w:t>
      </w:r>
    </w:p>
    <w:p>
      <w:pPr>
        <w:pStyle w:val="Heading2"/>
      </w:pPr>
      <w:r>
        <w:t>Buyer and commercial hypotheses</w:t>
      </w:r>
    </w:p>
    <w:p>
      <w:r>
        <w:t>The proposed first buyer is an organisation responsible for frontline health delivery across several programmes. A single buyer or coalition needs authority to remove redundant work and permit integrations. A pilot sponsor who cannot change reporting obligations may fund a demonstration but cannot alone validate sustained workload savings.</w:t>
      </w:r>
    </w:p>
    <w:p>
      <w:r>
        <w:t>Pricing should be evaluated as a deployment fee plus a recurring service charge with separately visible AI usage. The charge unit may be an active worker, facility or managed population; it must be chosen after field economics are measured. Prices and revenue forecasts are outside this baseline because no buyer commitments or unit costs have been established.</w:t>
      </w:r>
    </w:p>
    <w:p>
      <w:r>
        <w:t>Commercial viability requires visibility into configuration effort, connector maintenance, provider charges, support, security operations and change requests. Data access is governed by the deployment agreement and applicable law; patient data must not become an implicit payment mechanism or unrestricted training asset.</w:t>
      </w:r>
    </w:p>
    <w:p>
      <w:bookmarkStart w:id="7" w:name="sec_6"/>
      <w:pPr>
        <w:pStyle w:val="Heading1"/>
      </w:pPr>
      <w:r>
        <w:t>6 Success measures and pilot design</w:t>
      </w:r>
      <w:bookmarkEnd w:id="7"/>
    </w:p>
    <w:p>
      <w:r>
        <w:t>Capture a baseline before replacing workflow steps. Compare equivalent visit types, programme complexity, worker experience and connectivity conditions. Include paper records and any external application work still required. Proposed pilot design: two weeks of baseline observation followed by six to eight weeks of controlled use, with timing adjusted by the deployment owner. Clinical studies require their own design and approvals.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90"/>
      </w:tblGrid>
      <w:tr>
        <w:trPr>
          <w:cantSplit/>
          <w:tblHeader/>
          <w:tblHeader w:val="true"/>
          <w:tblHeader w:val="true"/>
          <w:cantSplit/>
        </w:trPr>
        <w:tc>
          <w:tcPr>
            <w:tcW w:type="dxa" w:w="2304"/>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Measure</w:t>
            </w:r>
          </w:p>
        </w:tc>
        <w:tc>
          <w:tcPr>
            <w:tcW w:type="dxa" w:w="367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Definition</w:t>
            </w:r>
          </w:p>
        </w:tc>
        <w:tc>
          <w:tcPr>
            <w:tcW w:type="dxa" w:w="331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Proposed target and evidence</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Repeated entry reduction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Re-entry of the same eligible fact for the same person and time period across included systems</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At least 70 percent reduction against observed baseline; exclude legitimately new measurements</w:t>
            </w:r>
          </w:p>
        </w:tc>
      </w:tr>
      <w:tr>
        <w:trPr>
          <w:cantSplit/>
          <w:cantSplit/>
        </w:trPr>
        <w:tc>
          <w:tcPr>
            <w:tcW w:type="dxa" w:w="230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Total documentation time</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Active recording, correction and reconciliation time per comparable completed visit</w:t>
            </w:r>
          </w:p>
        </w:tc>
        <w:tc>
          <w:tcPr>
            <w:tcW w:type="dxa" w:w="331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At least 30 percent lower median; report distribution and programme mix</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Workspace task completion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Eligible visits completed without opening a separate AI application</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At least 90 percent; report external MIS steps separately</w:t>
            </w:r>
          </w:p>
        </w:tc>
      </w:tr>
      <w:tr>
        <w:trPr>
          <w:cantSplit/>
          <w:cantSplit/>
        </w:trPr>
        <w:tc>
          <w:tcPr>
            <w:tcW w:type="dxa" w:w="230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Accepted writeback</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Valid, authorised submissions acknowledged by an available destination within the agreed window</w:t>
            </w:r>
          </w:p>
        </w:tc>
        <w:tc>
          <w:tcPr>
            <w:tcW w:type="dxa" w:w="331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At least 99 percent within 24 hours; also publish rate including destination outages</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Record completeness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Confirmed mandatory fields completed without guessed values</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At least 98 percent of eligible submissions; report unknown and refused responses separately</w:t>
            </w:r>
          </w:p>
        </w:tc>
      </w:tr>
      <w:tr>
        <w:trPr>
          <w:cantSplit/>
          <w:cantSplit/>
        </w:trPr>
        <w:tc>
          <w:tcPr>
            <w:tcW w:type="dxa" w:w="230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Referral closure</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Referrals with verified service completion or a coded unresolved outcome by their due date</w:t>
            </w:r>
          </w:p>
        </w:tc>
        <w:tc>
          <w:tcPr>
            <w:tcW w:type="dxa" w:w="331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Establish baseline and improve by a proposed 15 percentage points; no assumption that the software controls service supply</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Worker task usability</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Unassisted completion of core tasks after standard training</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At least 90 percent across the tested roles and language groups</w:t>
            </w:r>
          </w:p>
        </w:tc>
      </w:tr>
      <w:tr>
        <w:trPr>
          <w:cantSplit/>
          <w:cantSplit/>
        </w:trPr>
        <w:tc>
          <w:tcPr>
            <w:tcW w:type="dxa" w:w="230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AI traceability</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Displayed AI results linked to provider, version, inputs and eligibility evidence</w:t>
            </w:r>
          </w:p>
        </w:tc>
        <w:tc>
          <w:tcPr>
            <w:tcW w:type="dxa" w:w="331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100 percent in release tests and audit samples</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Patient separation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Wrong-person or unauthorised cross-tenant data disclosure in release tests</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Zero; any observed breach blocks launch and triggers investigation</w:t>
            </w:r>
          </w:p>
        </w:tc>
      </w:tr>
      <w:tr>
        <w:trPr>
          <w:cantSplit/>
          <w:cantSplit/>
        </w:trPr>
        <w:tc>
          <w:tcPr>
            <w:tcW w:type="dxa" w:w="2304"/>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Support burden</w:t>
            </w:r>
          </w:p>
        </w:tc>
        <w:tc>
          <w:tcPr>
            <w:tcW w:type="dxa" w:w="3672"/>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Tickets and assisted completions per 100 active workers per week</w:t>
            </w:r>
          </w:p>
        </w:tc>
        <w:tc>
          <w:tcPr>
            <w:tcW w:type="dxa" w:w="3312"/>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Measure and reduce over the pilot; target set after baseline</w:t>
            </w:r>
          </w:p>
        </w:tc>
      </w:tr>
      <w:tr>
        <w:trPr>
          <w:cantSplit/>
          <w:cantSplit/>
        </w:trPr>
        <w:tc>
          <w:tcPr>
            <w:tcW w:type="dxa" w:w="230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Cost per completed visit</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Allocated platform, AI, communications, support and connector cost divided by completed visits</w:t>
            </w:r>
          </w:p>
        </w:tc>
        <w:tc>
          <w:tcPr>
            <w:tcW w:type="dxa" w:w="331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Instrument in R1; budget threshold approved before paid scale</w:t>
            </w:r>
          </w:p>
        </w:tc>
      </w:tr>
      <w:tr>
        <w:trPr>
          <w:cantSplit/>
        </w:trPr>
        <w:tc>
          <w:tcPr>
            <w:tcW w:type="dxa" w:w="2304"/>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Interoperable exchange</w:t>
            </w:r>
          </w:p>
        </w:tc>
        <w:tc>
          <w:tcPr>
            <w:tcW w:type="dxa" w:w="367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Eligible reviewed records transmitted without manual recapture and with preserved provenance</w:t>
            </w:r>
          </w:p>
        </w:tc>
        <w:tc>
          <w:tcPr>
            <w:tcW w:type="dxa" w:w="331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At least 90 percent for the included EHR and ABDM workflow; report exclusions and rejected mappings</w:t>
            </w:r>
          </w:p>
        </w:tc>
      </w:tr>
    </w:tbl>
    <w:p>
      <w:pPr>
        <w:spacing w:after="60" w:before="0" w:line="40" w:lineRule="exact"/>
      </w:pPr>
      <w:r>
        <w:rPr>
          <w:sz w:val="4"/>
        </w:rPr>
      </w:r>
    </w:p>
    <w:p>
      <w:r>
        <w:t>The evidence report must show denominators, exclusions, dates, unresolved failures and data sources. The dashboard must not treat correlation as clinical impact. Increased referrals alone do not establish improved care or model accuracy. Outcome evaluation, where required, belongs to a separately approved study plan.</w:t>
      </w:r>
    </w:p>
    <w:p>
      <w:bookmarkStart w:id="8" w:name="sec_7"/>
      <w:pPr>
        <w:pStyle w:val="Heading1"/>
      </w:pPr>
      <w:r>
        <w:t>7 Shared data and system authority</w:t>
      </w:r>
      <w:bookmarkEnd w:id="8"/>
    </w:p>
    <w:p>
      <w:r>
        <w:t>The common model enables reuse while preserving provenance. It must distinguish identity from programme enrolment, a household from its members, a visit from an individual encounter, a reported symptom from a diagnosis, a recommended action from an authorised order, and a transmitted record from an accepted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Business object</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Required meaning</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Authority rule</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jc w:val="center"/>
            </w:pPr>
            <w:r>
              <w:rPr>
                <w:rFonts w:ascii="Arial" w:hAnsi="Arial"/>
                <w:color w:val="000000"/>
                <w:sz w:val="20"/>
              </w:rPr>
              <w:t>Person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Local identifier, names, demographics, language, contacts and verified external links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External identifier ownership stays with its issuing system</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Household</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Address, membership and effective dates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Membership does not grant access to every member's confidential information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Encounter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Person, worker, visit context, time, location precision and completion state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Platform owns local capture; accepted external copies retain their destination identity</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Observation</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Value, unit, measurement time, source and verification state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Preserve original and corrected versions; no silent overwrite</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Programme enrolment</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Programme identifier, status, eligibility and effective dates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Programme system confirms enrolment and official state</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Authorisation record</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Purpose, scope, basis, notice version, decision and expiry</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Applies to specific access or processing, not unrestricted sharing</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AI invocation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Capability version, input references, request state and resource use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Platform records execution; provider owns documented model behaviour</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AI result</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Output, validity, limitations, intended use and human review</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Retained as model output until an authorised person records a separate decision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Referral</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Reason, priority, destination, owner, status and outcome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Receiving service or authorised verifier confirms care completion</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jc w:val="center"/>
            </w:pPr>
            <w:r>
              <w:rPr>
                <w:rFonts w:ascii="Arial" w:hAnsi="Arial"/>
                <w:color w:val="000000"/>
                <w:sz w:val="20"/>
              </w:rPr>
              <w:t>Task</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Assignee, deadline, dependency and outcome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Each open task has one accountable owner</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Submission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Destination, payload version, receipt and reconciliation state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Acceptance is determined by the external destination</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Protocol and knowledge source</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Publisher, version, effective date, approval and scope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Clinical owner authorises local use</w:t>
            </w:r>
          </w:p>
        </w:tc>
      </w:tr>
      <w:tr>
        <w:trPr>
          <w:cantSplit/>
          <w:cantSplit/>
        </w:trPr>
        <w:tc>
          <w:tcPr>
            <w:tcW w:type="dxa" w:w="2376"/>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Audit event</w:t>
            </w:r>
          </w:p>
        </w:tc>
        <w:tc>
          <w:tcPr>
            <w:tcW w:type="dxa" w:w="3917"/>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Actor, purpose, object, action, time and outcome</w:t>
            </w:r>
          </w:p>
        </w:tc>
        <w:tc>
          <w:tcPr>
            <w:tcW w:type="dxa" w:w="3701"/>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Append-only evidence with governed retention</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Facility and worker registry</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Service capability, location, working hours and credential scope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Named registry owner maintains and verifies changes</w:t>
            </w:r>
          </w:p>
        </w:tc>
      </w:tr>
    </w:tbl>
    <w:p>
      <w:pPr>
        <w:spacing w:after="60" w:before="0" w:line="40" w:lineRule="exact"/>
      </w:pPr>
      <w:r>
        <w:rPr>
          <w:sz w:val="4"/>
        </w:rPr>
      </w:r>
    </w:p>
    <w:p>
      <w:pPr>
        <w:pStyle w:val="Heading2"/>
      </w:pPr>
      <w:r>
        <w:t>Rules for reusing a fact</w:t>
      </w:r>
    </w:p>
    <w:p>
      <w:r>
        <w:t>Reuse requires a match on person, concept, unit, relevant time, source quality, programme definition and permitted purpose. The user must be able to inspect where a reused fact came from. Programme-specific transformations, such as a coded response or indicator grouping, must be visible to programme reviewers and versioned independently of the source observation.</w:t>
      </w:r>
    </w:p>
    <w:p>
      <w:r>
        <w:t>Conflicts are not resolved by “latest value wins” alone. A current patient-reported medicine list can differ from an older prescription, and both may be valid descriptions of different concepts. The platform must preserve the distinction and refer substantive contradictions to a person with the appropriate authority.</w:t>
      </w:r>
    </w:p>
    <w:p>
      <w:pPr>
        <w:pStyle w:val="Heading2"/>
      </w:pPr>
      <w:r>
        <w:t>Illustrative reuse example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Captured fact</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Permitted reuse</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Additional condition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Confirmed person name and local identifier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Encounter, referral and authorised programme submissions</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Confirm external identifier match; preserve spelling differences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Current measured blood pressure</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Relevant clinical workflow and eligible programme record</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Retain unit, measurement time, device or observer and protocol freshness</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Reported cough duration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Applicable symptom assessment and programme screening record</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Preserve reported status; do not turn it into a diagnosis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Pregnancy information</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Authorised maternal workflow and relevant model inputs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Verify episode and purpose; restrict disclosure to other household members</w:t>
            </w:r>
          </w:p>
        </w:tc>
      </w:tr>
      <w:tr>
        <w:trPr>
          <w:cantSplit/>
          <w:cantSplit/>
        </w:trPr>
        <w:tc>
          <w:tcPr>
            <w:tcW w:type="dxa" w:w="2376"/>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Cough audio</w:t>
            </w:r>
          </w:p>
        </w:tc>
        <w:tc>
          <w:tcPr>
            <w:tcW w:type="dxa" w:w="3917"/>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Eligible cough-analysis capability</w:t>
            </w:r>
          </w:p>
        </w:tc>
        <w:tc>
          <w:tcPr>
            <w:tcW w:type="dxa" w:w="3701"/>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Obtain required authorisation, check quality and send only necessary context</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Vaccine history</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Scheduling and relevant programme update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Distinguish self-report from documented administration</w:t>
            </w:r>
          </w:p>
        </w:tc>
      </w:tr>
    </w:tbl>
    <w:p>
      <w:pPr>
        <w:spacing w:after="60" w:before="0" w:line="40" w:lineRule="exact"/>
      </w:pPr>
      <w:r>
        <w:rPr>
          <w:sz w:val="4"/>
        </w:rPr>
      </w:r>
    </w:p>
    <w:p>
      <w:bookmarkStart w:id="9" w:name="sec_8"/>
      <w:pPr>
        <w:pStyle w:val="Heading1"/>
      </w:pPr>
      <w:r>
        <w:t>8 Unified workspace requirements</w:t>
      </w:r>
      <w:bookmarkEnd w:id="9"/>
    </w:p>
    <w:p>
      <w:pPr>
        <w:pStyle w:val="Small"/>
        <w:keepNext/>
      </w:pPr>
      <w:r>
        <w:t>Owner: Product owner, with frontline operations and accessibility review. Scope: BR-UX requirements support BO1, BO2 and BO3.</w:t>
      </w:r>
    </w:p>
    <w:p>
      <w:pPr>
        <w:pStyle w:val="Requirement"/>
      </w:pPr>
      <w:r>
        <w:t>BR-UX-01  One task entry point</w:t>
      </w:r>
      <w:r>
        <w:rPr>
          <w:b w:val="0"/>
          <w:sz w:val="19"/>
        </w:rPr>
        <w:t xml:space="preserve">  (Must, R1)</w:t>
      </w:r>
    </w:p>
    <w:p>
      <w:pPr>
        <w:keepNext/>
        <w:keepLines/>
        <w:spacing w:after="60"/>
      </w:pPr>
      <w:r>
        <w:t>The worker shall start a visit, follow-up or screening from one workspace. Eligible programme activities and AI functions shall appear within that task without requiring the worker to select a vendor application.</w:t>
      </w:r>
    </w:p>
    <w:p>
      <w:pPr>
        <w:pStyle w:val="Acceptance"/>
      </w:pPr>
      <w:r>
        <w:rPr>
          <w:b/>
        </w:rPr>
        <w:t>Acceptance:</w:t>
      </w:r>
      <w:r>
        <w:t xml:space="preserve"> The approved multi-programme journey completes through one authenticated workspace with no separate AI login or manual transfer of patient details.</w:t>
      </w:r>
    </w:p>
    <w:p>
      <w:pPr>
        <w:pStyle w:val="Requirement"/>
      </w:pPr>
      <w:r>
        <w:t>BR-UX-02  Clear patient and visit context</w:t>
      </w:r>
      <w:r>
        <w:rPr>
          <w:b w:val="0"/>
          <w:sz w:val="19"/>
        </w:rPr>
        <w:t xml:space="preserve">  (Must, R1)</w:t>
      </w:r>
    </w:p>
    <w:p>
      <w:pPr>
        <w:keepNext/>
        <w:keepLines/>
        <w:spacing w:after="60"/>
      </w:pPr>
      <w:r>
        <w:t>The interface shall show the active person and visit throughout capture, model use and action review. Changing patients shall explicitly close or suspend the current context and clear uncommitted cross-person inputs.</w:t>
      </w:r>
    </w:p>
    <w:p>
      <w:pPr>
        <w:pStyle w:val="Acceptance"/>
      </w:pPr>
      <w:r>
        <w:rPr>
          <w:b/>
        </w:rPr>
        <w:t>Acceptance:</w:t>
      </w:r>
      <w:r>
        <w:t xml:space="preserve"> Patient-switch tests cannot attach the prior person's recording, answer or AI result to the next person.</w:t>
      </w:r>
    </w:p>
    <w:p>
      <w:pPr>
        <w:pStyle w:val="Requirement"/>
      </w:pPr>
      <w:r>
        <w:t>BR-UX-03  Voice text and guided entry</w:t>
      </w:r>
      <w:r>
        <w:rPr>
          <w:b w:val="0"/>
          <w:sz w:val="19"/>
        </w:rPr>
        <w:t xml:space="preserve">  (Must, R1)</w:t>
      </w:r>
    </w:p>
    <w:p>
      <w:pPr>
        <w:keepNext/>
        <w:keepLines/>
        <w:spacing w:after="60"/>
      </w:pPr>
      <w:r>
        <w:t>Workers shall be able to speak, type or use structured questions for the same core workflow. Voice shall be optional; background listening shall be disabled. Users shall control recording, playback and deletion before submission.</w:t>
      </w:r>
    </w:p>
    <w:p>
      <w:pPr>
        <w:pStyle w:val="Acceptance"/>
      </w:pPr>
      <w:r>
        <w:rPr>
          <w:b/>
        </w:rPr>
        <w:t>Acceptance:</w:t>
      </w:r>
      <w:r>
        <w:t xml:space="preserve"> A user completes each pilot journey without using a microphone and can review or correct a voice-derived value before confirmation.</w:t>
      </w:r>
    </w:p>
    <w:p>
      <w:pPr>
        <w:pStyle w:val="Requirement"/>
      </w:pPr>
      <w:r>
        <w:t>BR-UX-04  Structured encounter summary</w:t>
      </w:r>
      <w:r>
        <w:rPr>
          <w:b w:val="0"/>
          <w:sz w:val="19"/>
        </w:rPr>
        <w:t xml:space="preserve">  (Must, R1)</w:t>
      </w:r>
    </w:p>
    <w:p>
      <w:pPr>
        <w:keepNext/>
        <w:keepLines/>
        <w:spacing w:after="60"/>
      </w:pPr>
      <w:r>
        <w:t>The workspace shall display confirmed facts, uncertain facts, missing information and proposed actions as separate readable elements. A conversational answer shall not be the only way to discover task status.</w:t>
      </w:r>
    </w:p>
    <w:p>
      <w:pPr>
        <w:pStyle w:val="Acceptance"/>
      </w:pPr>
      <w:r>
        <w:rPr>
          <w:b/>
        </w:rPr>
        <w:t>Acceptance:</w:t>
      </w:r>
      <w:r>
        <w:t xml:space="preserve"> Usability participants can identify the next required step and each unresolved field without searching a transcript.</w:t>
      </w:r>
    </w:p>
    <w:p>
      <w:pPr>
        <w:pStyle w:val="Requirement"/>
      </w:pPr>
      <w:r>
        <w:t>BR-UX-05  Language and accessibility</w:t>
      </w:r>
      <w:r>
        <w:rPr>
          <w:b w:val="0"/>
          <w:sz w:val="19"/>
        </w:rPr>
        <w:t xml:space="preserve">  (Must, R1)</w:t>
      </w:r>
    </w:p>
    <w:p>
      <w:pPr>
        <w:keepNext/>
        <w:keepLines/>
        <w:spacing w:after="60"/>
      </w:pPr>
      <w:r>
        <w:t>The pilot shall support approved interface, speech and content languages, initially Hindi and English if suitable for the selected site. Critical content shall have reviewed translations. Numeric values, units and names shall survive language changes.</w:t>
      </w:r>
    </w:p>
    <w:p>
      <w:pPr>
        <w:pStyle w:val="Acceptance"/>
      </w:pPr>
      <w:r>
        <w:rPr>
          <w:b/>
        </w:rPr>
        <w:t>Acceptance:</w:t>
      </w:r>
      <w:r>
        <w:t xml:space="preserve"> The same encounter retains meaning across supported languages and passes the defined accessibility and language-specific task tests.</w:t>
      </w:r>
    </w:p>
    <w:p>
      <w:pPr>
        <w:pStyle w:val="Requirement"/>
      </w:pPr>
      <w:r>
        <w:t>BR-UX-06  Status that reflects reality</w:t>
      </w:r>
      <w:r>
        <w:rPr>
          <w:b w:val="0"/>
          <w:sz w:val="19"/>
        </w:rPr>
        <w:t xml:space="preserve">  (Must, R1)</w:t>
      </w:r>
    </w:p>
    <w:p>
      <w:pPr>
        <w:keepNext/>
        <w:keepLines/>
        <w:spacing w:after="60"/>
      </w:pPr>
      <w:r>
        <w:t>The application shall distinguish saved on device, saved on server, awaiting review, submitted, accepted, rejected and unresolved. A general completion tick shall never imply that every destination accepted a record.</w:t>
      </w:r>
    </w:p>
    <w:p>
      <w:pPr>
        <w:pStyle w:val="Acceptance"/>
      </w:pPr>
      <w:r>
        <w:rPr>
          <w:b/>
        </w:rPr>
        <w:t>Acceptance:</w:t>
      </w:r>
      <w:r>
        <w:t xml:space="preserve"> Simultaneous success in one programme and failure in another produces separate visible statuses and a specific recovery action.</w:t>
      </w:r>
    </w:p>
    <w:p>
      <w:pPr>
        <w:pStyle w:val="Requirement"/>
      </w:pPr>
      <w:r>
        <w:t>BR-UX-07  Resume interrupted work</w:t>
      </w:r>
      <w:r>
        <w:rPr>
          <w:b w:val="0"/>
          <w:sz w:val="19"/>
        </w:rPr>
        <w:t xml:space="preserve">  (Must, R1)</w:t>
      </w:r>
    </w:p>
    <w:p>
      <w:pPr>
        <w:keepNext/>
        <w:keepLines/>
        <w:spacing w:after="60"/>
      </w:pPr>
      <w:r>
        <w:t>An interrupted visit shall reopen at its last durable state with captured data, outstanding questions and pending actions. Users shall not repeat a successfully recorded measurement solely because a screen or connection was lost.</w:t>
      </w:r>
    </w:p>
    <w:p>
      <w:pPr>
        <w:pStyle w:val="Acceptance"/>
      </w:pPr>
      <w:r>
        <w:rPr>
          <w:b/>
        </w:rPr>
        <w:t>Acceptance:</w:t>
      </w:r>
      <w:r>
        <w:t xml:space="preserve"> App restart, incoming call and network-loss scenarios retain every field previously shown as durably saved.</w:t>
      </w:r>
    </w:p>
    <w:p>
      <w:pPr>
        <w:pStyle w:val="Requirement"/>
      </w:pPr>
      <w:r>
        <w:t>BR-UX-08  Low literacy and field use</w:t>
      </w:r>
      <w:r>
        <w:rPr>
          <w:b w:val="0"/>
          <w:sz w:val="19"/>
        </w:rPr>
        <w:t xml:space="preserve">  (Should, R1)</w:t>
      </w:r>
    </w:p>
    <w:p>
      <w:pPr>
        <w:keepNext/>
        <w:keepLines/>
        <w:spacing w:after="60"/>
      </w:pPr>
      <w:r>
        <w:t>Common actions shall use short labels, clear touch targets and a small number of steps. Audio guidance shall be available only on demand to avoid disclosure in a shared setting. Progress shall not rely on colour alone.</w:t>
      </w:r>
    </w:p>
    <w:p>
      <w:pPr>
        <w:pStyle w:val="Acceptance"/>
      </w:pPr>
      <w:r>
        <w:rPr>
          <w:b/>
        </w:rPr>
        <w:t>Acceptance:</w:t>
      </w:r>
      <w:r>
        <w:t xml:space="preserve"> Representative workers complete the principal tasks under the defined field usability protocol, including noisy and private-entry conditions.</w:t>
      </w:r>
    </w:p>
    <w:p>
      <w:pPr>
        <w:pStyle w:val="Requirement"/>
      </w:pPr>
      <w:r>
        <w:t>BR-UX-09  Explainable action review</w:t>
      </w:r>
      <w:r>
        <w:rPr>
          <w:b w:val="0"/>
          <w:sz w:val="19"/>
        </w:rPr>
        <w:t xml:space="preserve">  (Must, R1)</w:t>
      </w:r>
    </w:p>
    <w:p>
      <w:pPr>
        <w:keepNext/>
        <w:keepLines/>
        <w:spacing w:after="60"/>
      </w:pPr>
      <w:r>
        <w:t>Before committing consequential actions, users shall see what will happen, the receiving organisation and the information involved in language suited to their role. Safe routine actions may be grouped by encounter under configured policy.</w:t>
      </w:r>
    </w:p>
    <w:p>
      <w:pPr>
        <w:pStyle w:val="Acceptance"/>
      </w:pPr>
      <w:r>
        <w:rPr>
          <w:b/>
        </w:rPr>
        <w:t>Acceptance:</w:t>
      </w:r>
      <w:r>
        <w:t xml:space="preserve"> A worker can exclude one proposed destination or edit one fact before confirming the remaining permitted action bundle.</w:t>
      </w:r>
    </w:p>
    <w:p>
      <w:bookmarkStart w:id="10" w:name="sec_9"/>
      <w:pPr>
        <w:pStyle w:val="Heading1"/>
      </w:pPr>
      <w:r>
        <w:t>9 User identity and caseload requirements</w:t>
      </w:r>
      <w:bookmarkEnd w:id="10"/>
    </w:p>
    <w:p>
      <w:pPr>
        <w:pStyle w:val="Small"/>
        <w:keepNext/>
      </w:pPr>
      <w:r>
        <w:t>Owner: Deployment operations and security leads. Scope: BR-ID requirements support BO3 and BO5.</w:t>
      </w:r>
    </w:p>
    <w:p>
      <w:pPr>
        <w:pStyle w:val="Requirement"/>
      </w:pPr>
      <w:r>
        <w:t>BR-ID-01  Workforce lifecycle</w:t>
      </w:r>
      <w:r>
        <w:rPr>
          <w:b w:val="0"/>
          <w:sz w:val="19"/>
        </w:rPr>
        <w:t xml:space="preserve">  (Must, R1)</w:t>
      </w:r>
    </w:p>
    <w:p>
      <w:pPr>
        <w:keepNext/>
        <w:keepLines/>
        <w:spacing w:after="60"/>
      </w:pPr>
      <w:r>
        <w:t>The platform shall support invitation or approved import, identity verification, role assignment, activation, suspension, reassignment and removal. Every account shall belong to an accountable organisation; shared credentials shall not be the operating model.</w:t>
      </w:r>
    </w:p>
    <w:p>
      <w:pPr>
        <w:pStyle w:val="Acceptance"/>
      </w:pPr>
      <w:r>
        <w:rPr>
          <w:b/>
        </w:rPr>
        <w:t>Acceptance:</w:t>
      </w:r>
      <w:r>
        <w:t xml:space="preserve"> A suspended user's online access and pending privileged actions are revoked within the NFR limit, with offline limits disclosed.</w:t>
      </w:r>
    </w:p>
    <w:p>
      <w:pPr>
        <w:pStyle w:val="Requirement"/>
      </w:pPr>
      <w:r>
        <w:t>BR-ID-02  Scoped permissions</w:t>
      </w:r>
      <w:r>
        <w:rPr>
          <w:b w:val="0"/>
          <w:sz w:val="19"/>
        </w:rPr>
        <w:t xml:space="preserve">  (Must, R1)</w:t>
      </w:r>
    </w:p>
    <w:p>
      <w:pPr>
        <w:keepNext/>
        <w:keepLines/>
        <w:spacing w:after="60"/>
      </w:pPr>
      <w:r>
        <w:t>Access shall be constrained by tenant, role, assignment, programme, facility or geography, purpose and action. The server shall enforce the effective permission set for reads, writes, searches, exports and tool calls.</w:t>
      </w:r>
    </w:p>
    <w:p>
      <w:pPr>
        <w:pStyle w:val="Acceptance"/>
      </w:pPr>
      <w:r>
        <w:rPr>
          <w:b/>
        </w:rPr>
        <w:t>Acceptance:</w:t>
      </w:r>
      <w:r>
        <w:t xml:space="preserve"> Negative tests cover each boundary and prove that hidden screens or manipulated requests cannot expand access.</w:t>
      </w:r>
    </w:p>
    <w:p>
      <w:pPr>
        <w:pStyle w:val="Requirement"/>
      </w:pPr>
      <w:r>
        <w:t>BR-ID-03  Authentication and recovery</w:t>
      </w:r>
      <w:r>
        <w:rPr>
          <w:b w:val="0"/>
          <w:sz w:val="19"/>
        </w:rPr>
        <w:t xml:space="preserve">  (Must, R1)</w:t>
      </w:r>
    </w:p>
    <w:p>
      <w:pPr>
        <w:keepNext/>
        <w:keepLines/>
        <w:spacing w:after="60"/>
      </w:pPr>
      <w:r>
        <w:t>Workers shall use an approved authentication method appropriate to devices and connectivity. Privileged roles require a second factor. Recovery and device replacement shall verify identity and revoke superseded credentials.</w:t>
      </w:r>
    </w:p>
    <w:p>
      <w:pPr>
        <w:pStyle w:val="Acceptance"/>
      </w:pPr>
      <w:r>
        <w:rPr>
          <w:b/>
        </w:rPr>
        <w:t>Acceptance:</w:t>
      </w:r>
      <w:r>
        <w:t xml:space="preserve"> Recovery cannot be completed using patient data or a shared phone number alone; privileged access remains blocked without the required factor.</w:t>
      </w:r>
    </w:p>
    <w:p>
      <w:pPr>
        <w:pStyle w:val="Requirement"/>
      </w:pPr>
      <w:r>
        <w:t>BR-ID-04  Caseload assignment and transfer</w:t>
      </w:r>
      <w:r>
        <w:rPr>
          <w:b w:val="0"/>
          <w:sz w:val="19"/>
        </w:rPr>
        <w:t xml:space="preserve">  (Must, R1)</w:t>
      </w:r>
    </w:p>
    <w:p>
      <w:pPr>
        <w:keepNext/>
        <w:keepLines/>
        <w:spacing w:after="60"/>
      </w:pPr>
      <w:r>
        <w:t>Households, patients and tasks shall have effective assignment dates and responsible teams. Transfer shall preserve open work, restrict former access and identify unresolved responsibility gaps.</w:t>
      </w:r>
    </w:p>
    <w:p>
      <w:pPr>
        <w:pStyle w:val="Acceptance"/>
      </w:pPr>
      <w:r>
        <w:rPr>
          <w:b/>
        </w:rPr>
        <w:t>Acceptance:</w:t>
      </w:r>
      <w:r>
        <w:t xml:space="preserve"> Transferring a worker's caseload moves eligible open tasks, records acknowledgement and prevents duplicate ownership or orphaned urgent tasks.</w:t>
      </w:r>
    </w:p>
    <w:p>
      <w:pPr>
        <w:pStyle w:val="Requirement"/>
      </w:pPr>
      <w:r>
        <w:t>BR-ID-05  Patient matching with human resolution</w:t>
      </w:r>
      <w:r>
        <w:rPr>
          <w:b w:val="0"/>
          <w:sz w:val="19"/>
        </w:rPr>
        <w:t xml:space="preserve">  (Must, R1)</w:t>
      </w:r>
    </w:p>
    <w:p>
      <w:pPr>
        <w:keepNext/>
        <w:keepLines/>
        <w:spacing w:after="60"/>
      </w:pPr>
      <w:r>
        <w:t>The platform shall search permitted records using identifiers and selected demographics, present possible matches and support uncertain identities. A name or phone number alone shall not trigger an automatic merge.</w:t>
      </w:r>
    </w:p>
    <w:p>
      <w:pPr>
        <w:pStyle w:val="Acceptance"/>
      </w:pPr>
      <w:r>
        <w:rPr>
          <w:b/>
        </w:rPr>
        <w:t>Acceptance:</w:t>
      </w:r>
      <w:r>
        <w:t xml:space="preserve"> Same-name, shared-phone, spelling-variant and twin cases remain distinct unless an authorised reviewer resolves the identity link.</w:t>
      </w:r>
    </w:p>
    <w:p>
      <w:pPr>
        <w:pStyle w:val="Requirement"/>
      </w:pPr>
      <w:r>
        <w:t>BR-ID-06  Local registration without national identifier</w:t>
      </w:r>
      <w:r>
        <w:rPr>
          <w:b w:val="0"/>
          <w:sz w:val="19"/>
        </w:rPr>
        <w:t xml:space="preserve">  (Must, R1)</w:t>
      </w:r>
    </w:p>
    <w:p>
      <w:pPr>
        <w:keepNext/>
        <w:keepLines/>
        <w:spacing w:after="60"/>
      </w:pPr>
      <w:r>
        <w:t>A person shall be able to receive a local record and permitted workflow without an ABHA number, personal phone or biometric identifier. External identity linking shall be a separate authorised process.</w:t>
      </w:r>
    </w:p>
    <w:p>
      <w:pPr>
        <w:pStyle w:val="Acceptance"/>
      </w:pPr>
      <w:r>
        <w:rPr>
          <w:b/>
        </w:rPr>
        <w:t>Acceptance:</w:t>
      </w:r>
      <w:r>
        <w:t xml:space="preserve"> A person lacking all three completes an eligible pilot encounter without a fabricated external identifier.</w:t>
      </w:r>
    </w:p>
    <w:p>
      <w:pPr>
        <w:pStyle w:val="Requirement"/>
      </w:pPr>
      <w:r>
        <w:t>BR-ID-07  Household and proxy boundaries</w:t>
      </w:r>
      <w:r>
        <w:rPr>
          <w:b w:val="0"/>
          <w:sz w:val="19"/>
        </w:rPr>
        <w:t xml:space="preserve">  (Must, R1)</w:t>
      </w:r>
    </w:p>
    <w:p>
      <w:pPr>
        <w:keepNext/>
        <w:keepLines/>
        <w:spacing w:after="60"/>
      </w:pPr>
      <w:r>
        <w:t>Household relationships, caregivers and authorised representatives shall be recorded separately from account access. A family contact number shall not grant access to a member's private history or authorise disclosure.</w:t>
      </w:r>
    </w:p>
    <w:p>
      <w:pPr>
        <w:pStyle w:val="Acceptance"/>
      </w:pPr>
      <w:r>
        <w:rPr>
          <w:b/>
        </w:rPr>
        <w:t>Acceptance:</w:t>
      </w:r>
      <w:r>
        <w:t xml:space="preserve"> A caregiver and household head can receive only the information permitted by the relevant relationship and authorisation rules.</w:t>
      </w:r>
    </w:p>
    <w:p>
      <w:pPr>
        <w:pStyle w:val="Requirement"/>
      </w:pPr>
      <w:r>
        <w:t>BR-ID-08  Correctable identity links</w:t>
      </w:r>
      <w:r>
        <w:rPr>
          <w:b w:val="0"/>
          <w:sz w:val="19"/>
        </w:rPr>
        <w:t xml:space="preserve">  (Must, R1)</w:t>
      </w:r>
    </w:p>
    <w:p>
      <w:pPr>
        <w:keepNext/>
        <w:keepLines/>
        <w:spacing w:after="60"/>
      </w:pPr>
      <w:r>
        <w:t>External programme identifiers shall retain issuer, verification state and link history. Wrong matches, merges and transfers require a controlled correction process that preserves original references and downstream impact.</w:t>
      </w:r>
    </w:p>
    <w:p>
      <w:pPr>
        <w:pStyle w:val="Acceptance"/>
      </w:pPr>
      <w:r>
        <w:rPr>
          <w:b/>
        </w:rPr>
        <w:t>Acceptance:</w:t>
      </w:r>
      <w:r>
        <w:t xml:space="preserve"> An authorised correction unlinks the wrong identity, flags affected submissions and records which external changes remain unresolved.</w:t>
      </w:r>
    </w:p>
    <w:p>
      <w:pPr>
        <w:pStyle w:val="Requirement"/>
      </w:pPr>
      <w:r>
        <w:t>BR-ID-09  Service accounts and delegation</w:t>
      </w:r>
      <w:r>
        <w:rPr>
          <w:b w:val="0"/>
          <w:sz w:val="19"/>
        </w:rPr>
        <w:t xml:space="preserve">  (Must, R1)</w:t>
      </w:r>
    </w:p>
    <w:p>
      <w:pPr>
        <w:keepNext/>
        <w:keepLines/>
        <w:spacing w:after="60"/>
      </w:pPr>
      <w:r>
        <w:t>Connectors and automated tasks shall use individually managed service identities with limited scope, expiry and an accountable owner. A worker's session shall not become a reusable unrestricted credential for an agent.</w:t>
      </w:r>
    </w:p>
    <w:p>
      <w:pPr>
        <w:pStyle w:val="Acceptance"/>
      </w:pPr>
      <w:r>
        <w:rPr>
          <w:b/>
        </w:rPr>
        <w:t>Acceptance:</w:t>
      </w:r>
      <w:r>
        <w:t xml:space="preserve"> Revoking a connector credential stops its new calls without disabling unrelated connectors; audit identifies both initiating user and executing service.</w:t>
      </w:r>
    </w:p>
    <w:p>
      <w:pPr>
        <w:pStyle w:val="Requirement"/>
      </w:pPr>
      <w:r>
        <w:t>BR-ID-10  Organisational federation</w:t>
      </w:r>
      <w:r>
        <w:rPr>
          <w:b w:val="0"/>
          <w:sz w:val="19"/>
        </w:rPr>
        <w:t xml:space="preserve">  (Should, R2)</w:t>
      </w:r>
    </w:p>
    <w:p>
      <w:pPr>
        <w:keepNext/>
        <w:keepLines/>
        <w:spacing w:after="60"/>
      </w:pPr>
      <w:r>
        <w:t>Where approved by the buyer, enterprise sign-in and authoritative workforce registries shall supply identity and role updates. Local emergency administration shall remain controlled and auditable.</w:t>
      </w:r>
    </w:p>
    <w:p>
      <w:pPr>
        <w:pStyle w:val="Acceptance"/>
      </w:pPr>
      <w:r>
        <w:rPr>
          <w:b/>
        </w:rPr>
        <w:t>Acceptance:</w:t>
      </w:r>
      <w:r>
        <w:t xml:space="preserve"> An upstream removal or scope change is reflected within the approved synchronisation window, including termination of incompatible sessions.</w:t>
      </w:r>
    </w:p>
    <w:p>
      <w:bookmarkStart w:id="11" w:name="sec_10"/>
      <w:pPr>
        <w:pStyle w:val="Heading1"/>
      </w:pPr>
      <w:r>
        <w:t>10 Capture once and reuse requirements</w:t>
      </w:r>
      <w:bookmarkEnd w:id="11"/>
    </w:p>
    <w:p>
      <w:pPr>
        <w:pStyle w:val="Small"/>
        <w:keepNext/>
      </w:pPr>
      <w:r>
        <w:t>Owner: Programme data owner and product owner. Scope: BR-DATA requirements support BO1 and BO4.</w:t>
      </w:r>
    </w:p>
    <w:p>
      <w:pPr>
        <w:pStyle w:val="Requirement"/>
      </w:pPr>
      <w:r>
        <w:t>BR-DATA-01  Shared question assembly</w:t>
      </w:r>
      <w:r>
        <w:rPr>
          <w:b w:val="0"/>
          <w:sz w:val="19"/>
        </w:rPr>
        <w:t xml:space="preserve">  (Must, R1)</w:t>
      </w:r>
    </w:p>
    <w:p>
      <w:pPr>
        <w:keepNext/>
        <w:keepLines/>
        <w:spacing w:after="60"/>
      </w:pPr>
      <w:r>
        <w:t>The platform shall combine required questions from applicable programme packs and avoid asking an identical eligible fact twice in one encounter. It shall preserve separate questions where programme meanings differ.</w:t>
      </w:r>
    </w:p>
    <w:p>
      <w:pPr>
        <w:pStyle w:val="Acceptance"/>
      </w:pPr>
      <w:r>
        <w:rPr>
          <w:b/>
        </w:rPr>
        <w:t>Acceptance:</w:t>
      </w:r>
      <w:r>
        <w:t xml:space="preserve"> The approved three-programme fixture asks each shared concept once and retains every distinct mandatory programme-specific question.</w:t>
      </w:r>
    </w:p>
    <w:p>
      <w:pPr>
        <w:pStyle w:val="Requirement"/>
      </w:pPr>
      <w:r>
        <w:t>BR-DATA-02  Source and timing for every fact</w:t>
      </w:r>
      <w:r>
        <w:rPr>
          <w:b w:val="0"/>
          <w:sz w:val="19"/>
        </w:rPr>
        <w:t xml:space="preserve">  (Must, R1)</w:t>
      </w:r>
    </w:p>
    <w:p>
      <w:pPr>
        <w:keepNext/>
        <w:keepLines/>
        <w:spacing w:after="60"/>
      </w:pPr>
      <w:r>
        <w:t>Reusable observations shall retain person, concept, value, unit, time, source, author and verification state. Unknown, not asked, refused and not applicable shall be separate responses.</w:t>
      </w:r>
    </w:p>
    <w:p>
      <w:pPr>
        <w:pStyle w:val="Acceptance"/>
      </w:pPr>
      <w:r>
        <w:rPr>
          <w:b/>
        </w:rPr>
        <w:t>Acceptance:</w:t>
      </w:r>
      <w:r>
        <w:t xml:space="preserve"> Each destination field can be traced to the confirmed source fact or a documented transformation; missing data is never converted to a negative finding.</w:t>
      </w:r>
    </w:p>
    <w:p>
      <w:pPr>
        <w:pStyle w:val="Requirement"/>
      </w:pPr>
      <w:r>
        <w:t>BR-DATA-03  Speech extraction as a draft</w:t>
      </w:r>
      <w:r>
        <w:rPr>
          <w:b w:val="0"/>
          <w:sz w:val="19"/>
        </w:rPr>
        <w:t xml:space="preserve">  (Must, R1)</w:t>
      </w:r>
    </w:p>
    <w:p>
      <w:pPr>
        <w:keepNext/>
        <w:keepLines/>
        <w:spacing w:after="60"/>
      </w:pPr>
      <w:r>
        <w:t>Speech and free text may populate draft fields, but uncertain negations, numbers, medicines, dates and identities shall be surfaced for correction. Derived values shall not be presented as direct measurements.</w:t>
      </w:r>
    </w:p>
    <w:p>
      <w:pPr>
        <w:pStyle w:val="Acceptance"/>
      </w:pPr>
      <w:r>
        <w:rPr>
          <w:b/>
        </w:rPr>
        <w:t>Acceptance:</w:t>
      </w:r>
      <w:r>
        <w:t xml:space="preserve"> A test set containing negation, mixed language, background speakers and ambiguous quantities produces reviewable fields and no unconfirmed authoritative write.</w:t>
      </w:r>
    </w:p>
    <w:p>
      <w:pPr>
        <w:pStyle w:val="Requirement"/>
      </w:pPr>
      <w:r>
        <w:t>BR-DATA-04  Freshness and relevance</w:t>
      </w:r>
      <w:r>
        <w:rPr>
          <w:b w:val="0"/>
          <w:sz w:val="19"/>
        </w:rPr>
        <w:t xml:space="preserve">  (Must, R1)</w:t>
      </w:r>
    </w:p>
    <w:p>
      <w:pPr>
        <w:keepNext/>
        <w:keepLines/>
        <w:spacing w:after="60"/>
      </w:pPr>
      <w:r>
        <w:t>Each programme or capability shall specify which prior inputs can be reused and their allowed age. The workspace shall distinguish a historical value from a new observation and request remeasurement where the approved rule requires it.</w:t>
      </w:r>
    </w:p>
    <w:p>
      <w:pPr>
        <w:pStyle w:val="Acceptance"/>
      </w:pPr>
      <w:r>
        <w:rPr>
          <w:b/>
        </w:rPr>
        <w:t>Acceptance:</w:t>
      </w:r>
      <w:r>
        <w:t xml:space="preserve"> An expired measurement is excluded from a time-sensitive model call even if it is the latest value available.</w:t>
      </w:r>
    </w:p>
    <w:p>
      <w:pPr>
        <w:pStyle w:val="Requirement"/>
      </w:pPr>
      <w:r>
        <w:t>BR-DATA-05  Validation without fabrication</w:t>
      </w:r>
      <w:r>
        <w:rPr>
          <w:b w:val="0"/>
          <w:sz w:val="19"/>
        </w:rPr>
        <w:t xml:space="preserve">  (Must, R1)</w:t>
      </w:r>
    </w:p>
    <w:p>
      <w:pPr>
        <w:keepNext/>
        <w:keepLines/>
        <w:spacing w:after="60"/>
      </w:pPr>
      <w:r>
        <w:t>Range, unit, logical and cross-field checks shall flag implausible or incomplete inputs. A worker may record an unusual confirmed measurement with a reason where policy permits, but cannot silently bypass a mandatory validation.</w:t>
      </w:r>
    </w:p>
    <w:p>
      <w:pPr>
        <w:pStyle w:val="Acceptance"/>
      </w:pPr>
      <w:r>
        <w:rPr>
          <w:b/>
        </w:rPr>
        <w:t>Acceptance:</w:t>
      </w:r>
      <w:r>
        <w:t xml:space="preserve"> Invalid units block submission; a permitted override retains the original value, reason and reviewer identity.</w:t>
      </w:r>
    </w:p>
    <w:p>
      <w:pPr>
        <w:pStyle w:val="Requirement"/>
      </w:pPr>
      <w:r>
        <w:t>BR-DATA-06  Traceable amendments</w:t>
      </w:r>
      <w:r>
        <w:rPr>
          <w:b w:val="0"/>
          <w:sz w:val="19"/>
        </w:rPr>
        <w:t xml:space="preserve">  (Must, R1)</w:t>
      </w:r>
    </w:p>
    <w:p>
      <w:pPr>
        <w:keepNext/>
        <w:keepLines/>
        <w:spacing w:after="60"/>
      </w:pPr>
      <w:r>
        <w:t>Confirmed records shall be corrected by amendment with actor, time and reason. Existing accepted submissions shall be identified for downstream correction; prior versions remain available under the retention policy.</w:t>
      </w:r>
    </w:p>
    <w:p>
      <w:pPr>
        <w:pStyle w:val="Acceptance"/>
      </w:pPr>
      <w:r>
        <w:rPr>
          <w:b/>
        </w:rPr>
        <w:t>Acceptance:</w:t>
      </w:r>
      <w:r>
        <w:t xml:space="preserve"> Correcting a key fact reveals all dependent AI results and submissions, marks invalidated outputs and creates the necessary reconciliation tasks.</w:t>
      </w:r>
    </w:p>
    <w:p>
      <w:pPr>
        <w:pStyle w:val="Requirement"/>
      </w:pPr>
      <w:r>
        <w:t>BR-DATA-07  Concurrent edits</w:t>
      </w:r>
      <w:r>
        <w:rPr>
          <w:b w:val="0"/>
          <w:sz w:val="19"/>
        </w:rPr>
        <w:t xml:space="preserve">  (Must, R1)</w:t>
      </w:r>
    </w:p>
    <w:p>
      <w:pPr>
        <w:keepNext/>
        <w:keepLines/>
        <w:spacing w:after="60"/>
      </w:pPr>
      <w:r>
        <w:t>Conflicting edits from workers, devices or external sources shall be detectable. Clinically meaningful conflicts shall require authorised resolution rather than silent overwrite.</w:t>
      </w:r>
    </w:p>
    <w:p>
      <w:pPr>
        <w:pStyle w:val="Acceptance"/>
      </w:pPr>
      <w:r>
        <w:rPr>
          <w:b/>
        </w:rPr>
        <w:t>Acceptance:</w:t>
      </w:r>
      <w:r>
        <w:t xml:space="preserve"> Two offline edits to the same observation produce a visible conflict with both versions, and no unsafe destination update is committed before resolution.</w:t>
      </w:r>
    </w:p>
    <w:p>
      <w:pPr>
        <w:pStyle w:val="Requirement"/>
      </w:pPr>
      <w:r>
        <w:t>BR-DATA-08  Documents and media</w:t>
      </w:r>
      <w:r>
        <w:rPr>
          <w:b w:val="0"/>
          <w:sz w:val="19"/>
        </w:rPr>
        <w:t xml:space="preserve">  (Must, R1)</w:t>
      </w:r>
    </w:p>
    <w:p>
      <w:pPr>
        <w:keepNext/>
        <w:keepLines/>
        <w:spacing w:after="60"/>
      </w:pPr>
      <w:r>
        <w:t>Attachments shall be linked to a person and encounter, checked for supported type and quality, and governed by purpose and retention. Extraction from an image or document shall remain distinguishable from a verified clinical entry.</w:t>
      </w:r>
    </w:p>
    <w:p>
      <w:pPr>
        <w:pStyle w:val="Acceptance"/>
      </w:pPr>
      <w:r>
        <w:rPr>
          <w:b/>
        </w:rPr>
        <w:t>Acceptance:</w:t>
      </w:r>
      <w:r>
        <w:t xml:space="preserve"> A low-quality image cannot silently generate confirmed values; deleting an unsubmitted recording removes the associated draft references.</w:t>
      </w:r>
    </w:p>
    <w:p>
      <w:pPr>
        <w:pStyle w:val="Requirement"/>
      </w:pPr>
      <w:r>
        <w:t>BR-DATA-09  Authoritative field mapping</w:t>
      </w:r>
      <w:r>
        <w:rPr>
          <w:b w:val="0"/>
          <w:sz w:val="19"/>
        </w:rPr>
        <w:t xml:space="preserve">  (Must, R1)</w:t>
      </w:r>
    </w:p>
    <w:p>
      <w:pPr>
        <w:keepNext/>
        <w:keepLines/>
        <w:spacing w:after="60"/>
      </w:pPr>
      <w:r>
        <w:t>Each connector shall use a reviewed mapping from common facts to destination definitions, codes and units. Mapping versions shall be recorded with submissions and effective dates.</w:t>
      </w:r>
    </w:p>
    <w:p>
      <w:pPr>
        <w:pStyle w:val="Acceptance"/>
      </w:pPr>
      <w:r>
        <w:rPr>
          <w:b/>
        </w:rPr>
        <w:t>Acceptance:</w:t>
      </w:r>
      <w:r>
        <w:t xml:space="preserve"> A mapping change passes owner-approved fixtures and does not reinterpret earlier accepted records without a documented migration.</w:t>
      </w:r>
    </w:p>
    <w:p>
      <w:pPr>
        <w:pStyle w:val="Requirement"/>
      </w:pPr>
      <w:r>
        <w:t>BR-DATA-10  Selective permitted reuse</w:t>
      </w:r>
      <w:r>
        <w:rPr>
          <w:b w:val="0"/>
          <w:sz w:val="19"/>
        </w:rPr>
        <w:t xml:space="preserve">  (Must, R1)</w:t>
      </w:r>
    </w:p>
    <w:p>
      <w:pPr>
        <w:keepNext/>
        <w:keepLines/>
        <w:spacing w:after="60"/>
      </w:pPr>
      <w:r>
        <w:t>Data reuse shall be evaluated per destination and purpose. One valid use shall not authorise sharing with every connected programme or vendor.</w:t>
      </w:r>
    </w:p>
    <w:p>
      <w:pPr>
        <w:pStyle w:val="Acceptance"/>
      </w:pPr>
      <w:r>
        <w:rPr>
          <w:b/>
        </w:rPr>
        <w:t>Acceptance:</w:t>
      </w:r>
      <w:r>
        <w:t xml:space="preserve"> A fact approved for one task is excluded from another provider's payload when that second use lacks the required permission.</w:t>
      </w:r>
    </w:p>
    <w:p>
      <w:pPr>
        <w:pStyle w:val="Requirement"/>
      </w:pPr>
      <w:r>
        <w:t>BR-DATA-11  Controlled migration</w:t>
      </w:r>
      <w:r>
        <w:rPr>
          <w:b w:val="0"/>
          <w:sz w:val="19"/>
        </w:rPr>
        <w:t xml:space="preserve">  (Should, R2)</w:t>
      </w:r>
    </w:p>
    <w:p>
      <w:pPr>
        <w:keepNext/>
        <w:keepLines/>
        <w:spacing w:after="60"/>
      </w:pPr>
      <w:r>
        <w:t>Legacy imports shall support dry runs, data-quality reports, duplicate review and source lineage. A bulk import shall not automatically create programme enrolment or change a clinician's recorded decision.</w:t>
      </w:r>
    </w:p>
    <w:p>
      <w:pPr>
        <w:pStyle w:val="Acceptance"/>
      </w:pPr>
      <w:r>
        <w:rPr>
          <w:b/>
        </w:rPr>
        <w:t>Acceptance:</w:t>
      </w:r>
      <w:r>
        <w:t xml:space="preserve"> A migration sample reconciles source counts, rejects, merges and accepted records, with a reversible process for failed batches.</w:t>
      </w:r>
    </w:p>
    <w:p>
      <w:pPr>
        <w:pStyle w:val="Requirement"/>
      </w:pPr>
      <w:r>
        <w:t>BR-DATA-12  Measurement of actual reuse</w:t>
      </w:r>
      <w:r>
        <w:rPr>
          <w:b w:val="0"/>
          <w:sz w:val="19"/>
        </w:rPr>
        <w:t xml:space="preserve">  (Must, R1)</w:t>
      </w:r>
    </w:p>
    <w:p>
      <w:pPr>
        <w:keepNext/>
        <w:keepLines/>
        <w:spacing w:after="60"/>
      </w:pPr>
      <w:r>
        <w:t>The platform shall count opportunities for reuse, successful reuse, repeated questions and reasons reuse was blocked. Metrics shall exclude facts that are genuinely different in meaning or time.</w:t>
      </w:r>
    </w:p>
    <w:p>
      <w:pPr>
        <w:pStyle w:val="Acceptance"/>
      </w:pPr>
      <w:r>
        <w:rPr>
          <w:b/>
        </w:rPr>
        <w:t>Acceptance:</w:t>
      </w:r>
      <w:r>
        <w:t xml:space="preserve"> Auditors can reproduce a sample reuse calculation from event records and separate avoidable re-entry from clinically required recapture.</w:t>
      </w:r>
    </w:p>
    <w:p>
      <w:bookmarkStart w:id="12" w:name="sec_11"/>
      <w:pPr>
        <w:pStyle w:val="Heading1"/>
      </w:pPr>
      <w:r>
        <w:t>11 Programme workflow requirements</w:t>
      </w:r>
      <w:bookmarkEnd w:id="12"/>
    </w:p>
    <w:p>
      <w:pPr>
        <w:pStyle w:val="Small"/>
        <w:keepNext/>
      </w:pPr>
      <w:r>
        <w:t>Owner: Each programme owner with clinical safety approval. Scope: BR-PROG requirements support BO1, BO3 and BO4. Clinical thresholds and schedules below are configurable domain content; this BRD does not prescribe them.</w:t>
      </w:r>
    </w:p>
    <w:p>
      <w:pPr>
        <w:pStyle w:val="Requirement"/>
      </w:pPr>
      <w:r>
        <w:t>BR-PROG-01  Versioned programme packs</w:t>
      </w:r>
      <w:r>
        <w:rPr>
          <w:b w:val="0"/>
          <w:sz w:val="19"/>
        </w:rPr>
        <w:t xml:space="preserve">  (Must, R1)</w:t>
      </w:r>
    </w:p>
    <w:p>
      <w:pPr>
        <w:keepNext/>
        <w:keepLines/>
        <w:spacing w:after="60"/>
      </w:pPr>
      <w:r>
        <w:t>Each pack shall define population, eligibility, questions, mandatory evidence, authorised roles, workflow states, escalation, destination mappings and indicators. Activation requires named business and clinical approvals where applicable.</w:t>
      </w:r>
    </w:p>
    <w:p>
      <w:pPr>
        <w:pStyle w:val="Acceptance"/>
      </w:pPr>
      <w:r>
        <w:rPr>
          <w:b/>
        </w:rPr>
        <w:t>Acceptance:</w:t>
      </w:r>
      <w:r>
        <w:t xml:space="preserve"> An incomplete or unapproved pack cannot be activated, and each completed encounter records the pack version used.</w:t>
      </w:r>
    </w:p>
    <w:p>
      <w:pPr>
        <w:pStyle w:val="Requirement"/>
      </w:pPr>
      <w:r>
        <w:t>BR-PROG-02  Maternal health workflow</w:t>
      </w:r>
      <w:r>
        <w:rPr>
          <w:b w:val="0"/>
          <w:sz w:val="19"/>
        </w:rPr>
        <w:t xml:space="preserve">  (Must, R1)</w:t>
      </w:r>
    </w:p>
    <w:p>
      <w:pPr>
        <w:keepNext/>
        <w:keepLines/>
        <w:spacing w:after="60"/>
      </w:pPr>
      <w:r>
        <w:t>The maternal pack shall support pregnancy episode confirmation, permitted visit history, due activities, approved symptom questions, missed visits, counselling and referral or supervisor review. It shall handle unknown dates and pregnancy outcomes without assuming an ongoing pregnancy.</w:t>
      </w:r>
    </w:p>
    <w:p>
      <w:pPr>
        <w:pStyle w:val="Acceptance"/>
      </w:pPr>
      <w:r>
        <w:rPr>
          <w:b/>
        </w:rPr>
        <w:t>Acceptance:</w:t>
      </w:r>
      <w:r>
        <w:t xml:space="preserve"> Approved normal, uncertain, overdue, escalated and closed-episode scenarios follow the correct workflow and preserve episode identity.</w:t>
      </w:r>
    </w:p>
    <w:p>
      <w:pPr>
        <w:pStyle w:val="Requirement"/>
      </w:pPr>
      <w:r>
        <w:t>BR-PROG-03  TB screening workflow</w:t>
      </w:r>
      <w:r>
        <w:rPr>
          <w:b w:val="0"/>
          <w:sz w:val="19"/>
        </w:rPr>
        <w:t xml:space="preserve">  (Must, R1)</w:t>
      </w:r>
    </w:p>
    <w:p>
      <w:pPr>
        <w:keepNext/>
        <w:keepLines/>
        <w:spacing w:after="60"/>
      </w:pPr>
      <w:r>
        <w:t>The TB pack shall support authorised symptom screening, relevant history, optional eligible AI assistance, referral preparation and follow-up of testing or care milestones. Screening output shall remain separate from confirmed diagnosis and official programme registration.</w:t>
      </w:r>
    </w:p>
    <w:p>
      <w:pPr>
        <w:pStyle w:val="Acceptance"/>
      </w:pPr>
      <w:r>
        <w:rPr>
          <w:b/>
        </w:rPr>
        <w:t>Acceptance:</w:t>
      </w:r>
      <w:r>
        <w:t xml:space="preserve"> A low-risk AI output cannot suppress a referral required by the approved symptom protocol, and an unresolved result remains visible for follow-up.</w:t>
      </w:r>
    </w:p>
    <w:p>
      <w:pPr>
        <w:pStyle w:val="Requirement"/>
      </w:pPr>
      <w:r>
        <w:t>BR-PROG-04  Hypertension follow-up workflow</w:t>
      </w:r>
      <w:r>
        <w:rPr>
          <w:b w:val="0"/>
          <w:sz w:val="19"/>
        </w:rPr>
        <w:t xml:space="preserve">  (Must, R1)</w:t>
      </w:r>
    </w:p>
    <w:p>
      <w:pPr>
        <w:keepNext/>
        <w:keepLines/>
        <w:spacing w:after="60"/>
      </w:pPr>
      <w:r>
        <w:t>The hypertension pack shall support protocol-authorised measurements, medication history as reported, adherence discussion, scheduled review and escalation. Prescription changes and clinical orders require a qualified authorised user.</w:t>
      </w:r>
    </w:p>
    <w:p>
      <w:pPr>
        <w:pStyle w:val="Acceptance"/>
      </w:pPr>
      <w:r>
        <w:rPr>
          <w:b/>
        </w:rPr>
        <w:t>Acceptance:</w:t>
      </w:r>
      <w:r>
        <w:t xml:space="preserve"> Worker tests cannot issue or amend a prescription, and measurements retain unit, time, context and source.</w:t>
      </w:r>
    </w:p>
    <w:p>
      <w:pPr>
        <w:pStyle w:val="Requirement"/>
      </w:pPr>
      <w:r>
        <w:t>BR-PROG-05  Cross-programme scheduling</w:t>
      </w:r>
      <w:r>
        <w:rPr>
          <w:b w:val="0"/>
          <w:sz w:val="19"/>
        </w:rPr>
        <w:t xml:space="preserve">  (Must, R1)</w:t>
      </w:r>
    </w:p>
    <w:p>
      <w:pPr>
        <w:keepNext/>
        <w:keepLines/>
        <w:spacing w:after="60"/>
      </w:pPr>
      <w:r>
        <w:t>The platform shall combine due activities into a person or household visit plan where timing and privacy permit, while retaining each programme's completion criteria and owner.</w:t>
      </w:r>
    </w:p>
    <w:p>
      <w:pPr>
        <w:pStyle w:val="Acceptance"/>
      </w:pPr>
      <w:r>
        <w:rPr>
          <w:b/>
        </w:rPr>
        <w:t>Acceptance:</w:t>
      </w:r>
      <w:r>
        <w:t xml:space="preserve"> One visit completes eligible shared tasks, leaves incomplete activities open and does not duplicate a referral merely because two packs identify it.</w:t>
      </w:r>
    </w:p>
    <w:p>
      <w:pPr>
        <w:pStyle w:val="Requirement"/>
      </w:pPr>
      <w:r>
        <w:t>BR-PROG-06  Eligibility and enrolment distinction</w:t>
      </w:r>
      <w:r>
        <w:rPr>
          <w:b w:val="0"/>
          <w:sz w:val="19"/>
        </w:rPr>
        <w:t xml:space="preserve">  (Must, R1)</w:t>
      </w:r>
    </w:p>
    <w:p>
      <w:pPr>
        <w:keepNext/>
        <w:keepLines/>
        <w:spacing w:after="60"/>
      </w:pPr>
      <w:r>
        <w:t>The platform may identify eligibility and prepare enrolment, but official enrolment shall require the destination's acceptance and any programme-specific authorisation.</w:t>
      </w:r>
    </w:p>
    <w:p>
      <w:pPr>
        <w:pStyle w:val="Acceptance"/>
      </w:pPr>
      <w:r>
        <w:rPr>
          <w:b/>
        </w:rPr>
        <w:t>Acceptance:</w:t>
      </w:r>
      <w:r>
        <w:t xml:space="preserve"> A person whose external enrolment is rejected remains locally visible with a clear rejection reason and no false enrolled status.</w:t>
      </w:r>
    </w:p>
    <w:p>
      <w:pPr>
        <w:pStyle w:val="Requirement"/>
      </w:pPr>
      <w:r>
        <w:t>BR-PROG-07  Protocol change and case continuity</w:t>
      </w:r>
      <w:r>
        <w:rPr>
          <w:b w:val="0"/>
          <w:sz w:val="19"/>
        </w:rPr>
        <w:t xml:space="preserve">  (Must, R1)</w:t>
      </w:r>
    </w:p>
    <w:p>
      <w:pPr>
        <w:keepNext/>
        <w:keepLines/>
        <w:spacing w:after="60"/>
      </w:pPr>
      <w:r>
        <w:t>Pack changes shall have an effective date, affected population, change summary and transition rule for open cases. Historical actions shall retain the rules in force when they occurred.</w:t>
      </w:r>
    </w:p>
    <w:p>
      <w:pPr>
        <w:pStyle w:val="Acceptance"/>
      </w:pPr>
      <w:r>
        <w:rPr>
          <w:b/>
        </w:rPr>
        <w:t>Acceptance:</w:t>
      </w:r>
      <w:r>
        <w:t xml:space="preserve"> Updating a referral rule identifies affected open work and requires reviewed migration rather than silently rewriting past decisions.</w:t>
      </w:r>
    </w:p>
    <w:p>
      <w:pPr>
        <w:pStyle w:val="Requirement"/>
      </w:pPr>
      <w:r>
        <w:t>BR-PROG-08  Additional programme packs</w:t>
      </w:r>
      <w:r>
        <w:rPr>
          <w:b w:val="0"/>
          <w:sz w:val="19"/>
        </w:rPr>
        <w:t xml:space="preserve">  (Should, R2)</w:t>
      </w:r>
    </w:p>
    <w:p>
      <w:pPr>
        <w:keepNext/>
        <w:keepLines/>
        <w:spacing w:after="60"/>
      </w:pPr>
      <w:r>
        <w:t>The platform shall support later packs for immunisation, child health, diabetes or other buyer-approved needs using the same configuration and review process. Their adoption is subject to workflow and integration readiness.</w:t>
      </w:r>
    </w:p>
    <w:p>
      <w:pPr>
        <w:pStyle w:val="Acceptance"/>
      </w:pPr>
      <w:r>
        <w:rPr>
          <w:b/>
        </w:rPr>
        <w:t>Acceptance:</w:t>
      </w:r>
      <w:r>
        <w:t xml:space="preserve"> A new pack can reuse common identity and observations while defining independent schedules, role boundaries and destination rules.</w:t>
      </w:r>
    </w:p>
    <w:p>
      <w:bookmarkStart w:id="13" w:name="sec_12"/>
      <w:pPr>
        <w:pStyle w:val="Heading1"/>
      </w:pPr>
      <w:r>
        <w:t>12 Agent orchestration requirements</w:t>
      </w:r>
      <w:bookmarkEnd w:id="13"/>
    </w:p>
    <w:p>
      <w:pPr>
        <w:pStyle w:val="Small"/>
        <w:keepNext/>
      </w:pPr>
      <w:r>
        <w:t>Owner: Product owner, AI governance owner and security lead. Scope: BR-AG requirements support BO2 and BO5.</w:t>
      </w:r>
    </w:p>
    <w:p>
      <w:pPr>
        <w:pStyle w:val="Requirement"/>
      </w:pPr>
      <w:r>
        <w:t>BR-AG-01  Bounded task planning</w:t>
      </w:r>
      <w:r>
        <w:rPr>
          <w:b w:val="0"/>
          <w:sz w:val="19"/>
        </w:rPr>
        <w:t xml:space="preserve">  (Must, R1)</w:t>
      </w:r>
    </w:p>
    <w:p>
      <w:pPr>
        <w:keepNext/>
        <w:keepLines/>
        <w:spacing w:after="60"/>
      </w:pPr>
      <w:r>
        <w:t>The agent shall plan within an approved task catalogue and the user's current authority. It shall state what it can complete, what information is missing and which steps require human action.</w:t>
      </w:r>
    </w:p>
    <w:p>
      <w:pPr>
        <w:pStyle w:val="Acceptance"/>
      </w:pPr>
      <w:r>
        <w:rPr>
          <w:b/>
        </w:rPr>
        <w:t>Acceptance:</w:t>
      </w:r>
      <w:r>
        <w:t xml:space="preserve"> An out-of-scope request receives a clear limitation or referral to the correct role and does not trigger an improvised external action.</w:t>
      </w:r>
    </w:p>
    <w:p>
      <w:pPr>
        <w:pStyle w:val="Requirement"/>
      </w:pPr>
      <w:r>
        <w:t>BR-AG-02  Context restricted to the task</w:t>
      </w:r>
      <w:r>
        <w:rPr>
          <w:b w:val="0"/>
          <w:sz w:val="19"/>
        </w:rPr>
        <w:t xml:space="preserve">  (Must, R1)</w:t>
      </w:r>
    </w:p>
    <w:p>
      <w:pPr>
        <w:keepNext/>
        <w:keepLines/>
        <w:spacing w:after="60"/>
      </w:pPr>
      <w:r>
        <w:t>The agent shall retrieve only the records and fields needed for the current purpose. Session memory shall be separated by tenant, person and encounter; patient details shall not become unrestricted global memory.</w:t>
      </w:r>
    </w:p>
    <w:p>
      <w:pPr>
        <w:pStyle w:val="Acceptance"/>
      </w:pPr>
      <w:r>
        <w:rPr>
          <w:b/>
        </w:rPr>
        <w:t>Acceptance:</w:t>
      </w:r>
      <w:r>
        <w:t xml:space="preserve"> A cross-patient prompt cannot retrieve another person's information without a separately authorised task and permission check.</w:t>
      </w:r>
    </w:p>
    <w:p>
      <w:pPr>
        <w:pStyle w:val="Requirement"/>
      </w:pPr>
      <w:r>
        <w:t>BR-AG-03  Eligibility before tool selection</w:t>
      </w:r>
      <w:r>
        <w:rPr>
          <w:b w:val="0"/>
          <w:sz w:val="19"/>
        </w:rPr>
        <w:t xml:space="preserve">  (Must, R1)</w:t>
      </w:r>
    </w:p>
    <w:p>
      <w:pPr>
        <w:keepNext/>
        <w:keepLines/>
        <w:spacing w:after="60"/>
      </w:pPr>
      <w:r>
        <w:t>Tool selection shall first apply jurisdiction, role, intended use, population, input quality, evidence status, consent or other authorisation, language and connectivity constraints. Cost and speed can rank only eligible tools.</w:t>
      </w:r>
    </w:p>
    <w:p>
      <w:pPr>
        <w:pStyle w:val="Acceptance"/>
      </w:pPr>
      <w:r>
        <w:rPr>
          <w:b/>
        </w:rPr>
        <w:t>Acceptance:</w:t>
      </w:r>
      <w:r>
        <w:t xml:space="preserve"> A cheaper or available tool with an incompatible approved use is never substituted into the workflow.</w:t>
      </w:r>
    </w:p>
    <w:p>
      <w:pPr>
        <w:pStyle w:val="Requirement"/>
      </w:pPr>
      <w:r>
        <w:t>BR-AG-04  Approved execution paths</w:t>
      </w:r>
      <w:r>
        <w:rPr>
          <w:b w:val="0"/>
          <w:sz w:val="19"/>
        </w:rPr>
        <w:t xml:space="preserve">  (Must, R1)</w:t>
      </w:r>
    </w:p>
    <w:p>
      <w:pPr>
        <w:keepNext/>
        <w:keepLines/>
        <w:spacing w:after="60"/>
      </w:pPr>
      <w:r>
        <w:t>The agent shall use a defined tool catalogue with validated inputs and outputs. Retrieved text, documents and model responses shall be treated as content, not as authority to grant access or change execution policy.</w:t>
      </w:r>
    </w:p>
    <w:p>
      <w:pPr>
        <w:pStyle w:val="Acceptance"/>
      </w:pPr>
      <w:r>
        <w:rPr>
          <w:b/>
        </w:rPr>
        <w:t>Acceptance:</w:t>
      </w:r>
      <w:r>
        <w:t xml:space="preserve"> Instructions embedded in a patient note or provider output cannot activate a new tool, reveal credentials or bypass a confirmation.</w:t>
      </w:r>
    </w:p>
    <w:p>
      <w:pPr>
        <w:pStyle w:val="Requirement"/>
      </w:pPr>
      <w:r>
        <w:t>BR-AG-05  Human authority at action boundaries</w:t>
      </w:r>
      <w:r>
        <w:rPr>
          <w:b w:val="0"/>
          <w:sz w:val="19"/>
        </w:rPr>
        <w:t xml:space="preserve">  (Must, R1)</w:t>
      </w:r>
    </w:p>
    <w:p>
      <w:pPr>
        <w:keepNext/>
        <w:keepLines/>
        <w:spacing w:after="60"/>
      </w:pPr>
      <w:r>
        <w:t>The platform shall distinguish draft preparation, routine authorised recording and consequential clinical or external actions. Actions shall require the confirmation and professional authority defined in Section 21.</w:t>
      </w:r>
    </w:p>
    <w:p>
      <w:pPr>
        <w:pStyle w:val="Acceptance"/>
      </w:pPr>
      <w:r>
        <w:rPr>
          <w:b/>
        </w:rPr>
        <w:t>Acceptance:</w:t>
      </w:r>
      <w:r>
        <w:t xml:space="preserve"> The agent cannot make itself the approving actor, and expired approvals cannot be reused for changed data or a different destination.</w:t>
      </w:r>
    </w:p>
    <w:p>
      <w:pPr>
        <w:pStyle w:val="Requirement"/>
      </w:pPr>
      <w:r>
        <w:t>BR-AG-06  Durable progress and recovery</w:t>
      </w:r>
      <w:r>
        <w:rPr>
          <w:b w:val="0"/>
          <w:sz w:val="19"/>
        </w:rPr>
        <w:t xml:space="preserve">  (Must, R1)</w:t>
      </w:r>
    </w:p>
    <w:p>
      <w:pPr>
        <w:keepNext/>
        <w:keepLines/>
        <w:spacing w:after="60"/>
      </w:pPr>
      <w:r>
        <w:t>The agent shall retain the state of each step, its outcome and dependencies so an interrupted task can resume without duplicating completed external actions.</w:t>
      </w:r>
    </w:p>
    <w:p>
      <w:pPr>
        <w:pStyle w:val="Acceptance"/>
      </w:pPr>
      <w:r>
        <w:rPr>
          <w:b/>
        </w:rPr>
        <w:t>Acceptance:</w:t>
      </w:r>
      <w:r>
        <w:t xml:space="preserve"> A failure after one destination accepts a record does not repeat that submission; the user sees and can recover only unfinished steps.</w:t>
      </w:r>
    </w:p>
    <w:p>
      <w:pPr>
        <w:pStyle w:val="Requirement"/>
      </w:pPr>
      <w:r>
        <w:t>BR-AG-07  Limits and cancellation</w:t>
      </w:r>
      <w:r>
        <w:rPr>
          <w:b w:val="0"/>
          <w:sz w:val="19"/>
        </w:rPr>
        <w:t xml:space="preserve">  (Must, R1)</w:t>
      </w:r>
    </w:p>
    <w:p>
      <w:pPr>
        <w:keepNext/>
        <w:keepLines/>
        <w:spacing w:after="60"/>
      </w:pPr>
      <w:r>
        <w:t>Every task shall have limits on time, tool calls, retries and spend. Users shall be able to stop pending activity. Cancelling cannot falsely reverse an action already accepted elsewhere.</w:t>
      </w:r>
    </w:p>
    <w:p>
      <w:pPr>
        <w:pStyle w:val="Acceptance"/>
      </w:pPr>
      <w:r>
        <w:rPr>
          <w:b/>
        </w:rPr>
        <w:t>Acceptance:</w:t>
      </w:r>
      <w:r>
        <w:t xml:space="preserve"> A looping provider interaction stops at the configured limit and reports which actions completed, were cancelled or remain unresolved.</w:t>
      </w:r>
    </w:p>
    <w:p>
      <w:pPr>
        <w:pStyle w:val="Requirement"/>
      </w:pPr>
      <w:r>
        <w:t>BR-AG-08  Conflicting outputs</w:t>
      </w:r>
      <w:r>
        <w:rPr>
          <w:b w:val="0"/>
          <w:sz w:val="19"/>
        </w:rPr>
        <w:t xml:space="preserve">  (Must, R1)</w:t>
      </w:r>
    </w:p>
    <w:p>
      <w:pPr>
        <w:keepNext/>
        <w:keepLines/>
        <w:spacing w:after="60"/>
      </w:pPr>
      <w:r>
        <w:t>Contradictory or incomparable model outputs shall be shown as such and routed according to approved policy. The agent shall not average risk scores, invent a consensus or suppress a qualifying warning unless a validated composition explicitly permits it.</w:t>
      </w:r>
    </w:p>
    <w:p>
      <w:pPr>
        <w:pStyle w:val="Acceptance"/>
      </w:pPr>
      <w:r>
        <w:rPr>
          <w:b/>
        </w:rPr>
        <w:t>Acceptance:</w:t>
      </w:r>
      <w:r>
        <w:t xml:space="preserve"> A designed model-disagreement case produces a review task with both original outputs and no fabricated combined diagnosis.</w:t>
      </w:r>
    </w:p>
    <w:p>
      <w:pPr>
        <w:pStyle w:val="Requirement"/>
      </w:pPr>
      <w:r>
        <w:t>BR-AG-09  Evidence behind explanations</w:t>
      </w:r>
      <w:r>
        <w:rPr>
          <w:b w:val="0"/>
          <w:sz w:val="19"/>
        </w:rPr>
        <w:t xml:space="preserve">  (Must, R1)</w:t>
      </w:r>
    </w:p>
    <w:p>
      <w:pPr>
        <w:keepNext/>
        <w:keepLines/>
        <w:spacing w:after="60"/>
      </w:pPr>
      <w:r>
        <w:t>Explanations shall identify the relevant recorded facts, protocol or model and any material uncertainty. They shall not claim certainty from model confidence or supply unsupported clinical advice.</w:t>
      </w:r>
    </w:p>
    <w:p>
      <w:pPr>
        <w:pStyle w:val="Acceptance"/>
      </w:pPr>
      <w:r>
        <w:rPr>
          <w:b/>
        </w:rPr>
        <w:t>Acceptance:</w:t>
      </w:r>
      <w:r>
        <w:t xml:space="preserve"> Reviewers can trace each consequential recommendation to its underlying rule or approved output; unsupported answers are withheld or escalated.</w:t>
      </w:r>
    </w:p>
    <w:p>
      <w:pPr>
        <w:pStyle w:val="Requirement"/>
      </w:pPr>
      <w:r>
        <w:t>BR-AG-10  Clinical workflow continuity without an LLM</w:t>
      </w:r>
      <w:r>
        <w:rPr>
          <w:b w:val="0"/>
          <w:sz w:val="19"/>
        </w:rPr>
        <w:t xml:space="preserve">  (Must, R1)</w:t>
      </w:r>
    </w:p>
    <w:p>
      <w:pPr>
        <w:keepNext/>
        <w:keepLines/>
        <w:spacing w:after="60"/>
      </w:pPr>
      <w:r>
        <w:t>Loss of the language model shall not prevent structured capture, access to valid cached protocols, a local draft referral or visibility of urgent tasks. The interface shall make unavailable functions explicit.</w:t>
      </w:r>
    </w:p>
    <w:p>
      <w:pPr>
        <w:pStyle w:val="Acceptance"/>
      </w:pPr>
      <w:r>
        <w:rPr>
          <w:b/>
        </w:rPr>
        <w:t>Acceptance:</w:t>
      </w:r>
      <w:r>
        <w:t xml:space="preserve"> A simulated LLM outage leaves the core non-generative encounter workflow usable without substituting invented AI results.</w:t>
      </w:r>
    </w:p>
    <w:p>
      <w:pPr>
        <w:pStyle w:val="Requirement"/>
      </w:pPr>
      <w:r>
        <w:t>BR-AG-11  Programme manager analysis</w:t>
      </w:r>
      <w:r>
        <w:rPr>
          <w:b w:val="0"/>
          <w:sz w:val="19"/>
        </w:rPr>
        <w:t xml:space="preserve">  (Should, R2)</w:t>
      </w:r>
    </w:p>
    <w:p>
      <w:pPr>
        <w:keepNext/>
        <w:keepLines/>
        <w:spacing w:after="60"/>
      </w:pPr>
      <w:r>
        <w:t>Authorised managers may request questions over approved datasets and metric definitions. The agent shall disclose the cohort, time period, data freshness, filters and method, and enforce the same restrictions as standard reporting.</w:t>
      </w:r>
    </w:p>
    <w:p>
      <w:pPr>
        <w:pStyle w:val="Acceptance"/>
      </w:pPr>
      <w:r>
        <w:rPr>
          <w:b/>
        </w:rPr>
        <w:t>Acceptance:</w:t>
      </w:r>
      <w:r>
        <w:t xml:space="preserve"> A natural-language count matches the governed report and cannot expose restricted patient lists through a reformulated query.</w:t>
      </w:r>
    </w:p>
    <w:p>
      <w:pPr>
        <w:pStyle w:val="Requirement"/>
      </w:pPr>
      <w:r>
        <w:t>BR-AG-12  Change control for the agent</w:t>
      </w:r>
      <w:r>
        <w:rPr>
          <w:b w:val="0"/>
          <w:sz w:val="19"/>
        </w:rPr>
        <w:t xml:space="preserve">  (Must, R1)</w:t>
      </w:r>
    </w:p>
    <w:p>
      <w:pPr>
        <w:keepNext/>
        <w:keepLines/>
        <w:spacing w:after="60"/>
      </w:pPr>
      <w:r>
        <w:t>Material changes to prompts, tool descriptions, routing rules, model versions and knowledge sources shall be versioned and tested against the release suite. Production learning from user interactions shall not silently change behaviour.</w:t>
      </w:r>
    </w:p>
    <w:p>
      <w:pPr>
        <w:pStyle w:val="Acceptance"/>
      </w:pPr>
      <w:r>
        <w:rPr>
          <w:b/>
        </w:rPr>
        <w:t>Acceptance:</w:t>
      </w:r>
      <w:r>
        <w:t xml:space="preserve"> Operators can identify the exact configuration behind an encounter and restore a previously approved configuration after a regression.</w:t>
      </w:r>
    </w:p>
    <w:p>
      <w:bookmarkStart w:id="14" w:name="sec_13"/>
      <w:pPr>
        <w:pStyle w:val="Heading1"/>
      </w:pPr>
      <w:r>
        <w:t>13 AI capability registry and provider requirements</w:t>
      </w:r>
      <w:bookmarkEnd w:id="14"/>
    </w:p>
    <w:p>
      <w:pPr>
        <w:pStyle w:val="Small"/>
        <w:keepNext/>
      </w:pPr>
      <w:r>
        <w:t>Owner: AI governance owner and provider relationship owner. Scope: BR-AI requirements support BO2, BO5 and BO6.</w:t>
      </w:r>
    </w:p>
    <w:p>
      <w:pPr>
        <w:pStyle w:val="Requirement"/>
      </w:pPr>
      <w:r>
        <w:t>BR-AI-01  Capability registration</w:t>
      </w:r>
      <w:r>
        <w:rPr>
          <w:b w:val="0"/>
          <w:sz w:val="19"/>
        </w:rPr>
        <w:t xml:space="preserve">  (Must, R1)</w:t>
      </w:r>
    </w:p>
    <w:p>
      <w:pPr>
        <w:keepNext/>
        <w:keepLines/>
        <w:spacing w:after="60"/>
      </w:pPr>
      <w:r>
        <w:t>Every capability shall have an accountable provider, a stable identity, version, purpose, input and output definitions, deployment scope, evidence, operating limits and a support contact. Clinical and administrative capabilities shall be clearly distinguished.</w:t>
      </w:r>
    </w:p>
    <w:p>
      <w:pPr>
        <w:pStyle w:val="Acceptance"/>
      </w:pPr>
      <w:r>
        <w:rPr>
          <w:b/>
        </w:rPr>
        <w:t>Acceptance:</w:t>
      </w:r>
      <w:r>
        <w:t xml:space="preserve"> Registration cannot reach an active state while mandatory manifest fields or accountable ownership are missing.</w:t>
      </w:r>
    </w:p>
    <w:p>
      <w:pPr>
        <w:pStyle w:val="Requirement"/>
      </w:pPr>
      <w:r>
        <w:t>BR-AI-02  Intended use and excluded use</w:t>
      </w:r>
      <w:r>
        <w:rPr>
          <w:b w:val="0"/>
          <w:sz w:val="19"/>
        </w:rPr>
        <w:t xml:space="preserve">  (Must, R1)</w:t>
      </w:r>
    </w:p>
    <w:p>
      <w:pPr>
        <w:keepNext/>
        <w:keepLines/>
        <w:spacing w:after="60"/>
      </w:pPr>
      <w:r>
        <w:t>Each capability shall specify authorised users, populations, age range where relevant, settings, languages, devices, required input quality and excluded uses. Eligibility shall be machine-checkable where possible and explicitly reviewable elsewhere.</w:t>
      </w:r>
    </w:p>
    <w:p>
      <w:pPr>
        <w:pStyle w:val="Acceptance"/>
      </w:pPr>
      <w:r>
        <w:rPr>
          <w:b/>
        </w:rPr>
        <w:t>Acceptance:</w:t>
      </w:r>
      <w:r>
        <w:t xml:space="preserve"> A capability approved for adults cannot run on a child case unless that use has separate approval.</w:t>
      </w:r>
    </w:p>
    <w:p>
      <w:pPr>
        <w:pStyle w:val="Requirement"/>
      </w:pPr>
      <w:r>
        <w:t>BR-AI-03  Evidence and deployment authorisation</w:t>
      </w:r>
      <w:r>
        <w:rPr>
          <w:b w:val="0"/>
          <w:sz w:val="19"/>
        </w:rPr>
        <w:t xml:space="preserve">  (Must, R1)</w:t>
      </w:r>
    </w:p>
    <w:p>
      <w:pPr>
        <w:keepNext/>
        <w:keepLines/>
        <w:spacing w:after="60"/>
      </w:pPr>
      <w:r>
        <w:t>Evidence records shall identify model version, evaluation context, limitations and review decisions. Regulatory status and local deployment authorisation shall be recorded separately from technical integration and sandbox evaluation.</w:t>
      </w:r>
    </w:p>
    <w:p>
      <w:pPr>
        <w:pStyle w:val="Acceptance"/>
      </w:pPr>
      <w:r>
        <w:rPr>
          <w:b/>
        </w:rPr>
        <w:t>Acceptance:</w:t>
      </w:r>
      <w:r>
        <w:t xml:space="preserve"> A technically successful API test cannot activate a clinical capability without the required documented evidence and deployment approvals.</w:t>
      </w:r>
    </w:p>
    <w:p>
      <w:pPr>
        <w:pStyle w:val="Requirement"/>
      </w:pPr>
      <w:r>
        <w:t>BR-AI-04  Capability lifecycle</w:t>
      </w:r>
      <w:r>
        <w:rPr>
          <w:b w:val="0"/>
          <w:sz w:val="19"/>
        </w:rPr>
        <w:t xml:space="preserve">  (Must, R1)</w:t>
      </w:r>
    </w:p>
    <w:p>
      <w:pPr>
        <w:keepNext/>
        <w:keepLines/>
        <w:spacing w:after="60"/>
      </w:pPr>
      <w:r>
        <w:t>The lifecycle shall cover registered, technically verified, under review, approved for a scope, active, suspended, retired and replaced. Activation shall be deployment-specific and allow trial or shadow status without exposing unapproved results to care.</w:t>
      </w:r>
    </w:p>
    <w:p>
      <w:pPr>
        <w:pStyle w:val="Acceptance"/>
      </w:pPr>
      <w:r>
        <w:rPr>
          <w:b/>
        </w:rPr>
        <w:t>Acceptance:</w:t>
      </w:r>
      <w:r>
        <w:t xml:space="preserve"> A provider cannot self-activate; suspension blocks new invocations and identifies in-progress work requiring cancellation or review.</w:t>
      </w:r>
    </w:p>
    <w:p>
      <w:pPr>
        <w:pStyle w:val="Requirement"/>
      </w:pPr>
      <w:r>
        <w:t>BR-AI-05  Contract validation</w:t>
      </w:r>
      <w:r>
        <w:rPr>
          <w:b w:val="0"/>
          <w:sz w:val="19"/>
        </w:rPr>
        <w:t xml:space="preserve">  (Must, R1)</w:t>
      </w:r>
    </w:p>
    <w:p>
      <w:pPr>
        <w:keepNext/>
        <w:keepLines/>
        <w:spacing w:after="60"/>
      </w:pPr>
      <w:r>
        <w:t>Adapters shall validate required inputs, accepted types, ranges, units, response states and result semantics. Binary media requirements and large or asynchronous responses shall be documented.</w:t>
      </w:r>
    </w:p>
    <w:p>
      <w:pPr>
        <w:pStyle w:val="Acceptance"/>
      </w:pPr>
      <w:r>
        <w:rPr>
          <w:b/>
        </w:rPr>
        <w:t>Acceptance:</w:t>
      </w:r>
      <w:r>
        <w:t xml:space="preserve"> Malformed or unsupported responses are quarantined with an actionable error and cannot be presented as a valid clinical result.</w:t>
      </w:r>
    </w:p>
    <w:p>
      <w:pPr>
        <w:pStyle w:val="Requirement"/>
      </w:pPr>
      <w:r>
        <w:t>BR-AI-06  Input quality and inability to assess</w:t>
      </w:r>
      <w:r>
        <w:rPr>
          <w:b w:val="0"/>
          <w:sz w:val="19"/>
        </w:rPr>
        <w:t xml:space="preserve">  (Must, R1)</w:t>
      </w:r>
    </w:p>
    <w:p>
      <w:pPr>
        <w:keepNext/>
        <w:keepLines/>
        <w:spacing w:after="60"/>
      </w:pPr>
      <w:r>
        <w:t>The workflow shall check signal quality and record insufficient-input, unsupported-case, unavailable and unable-to-assess states separately from a low-risk or negative result.</w:t>
      </w:r>
    </w:p>
    <w:p>
      <w:pPr>
        <w:pStyle w:val="Acceptance"/>
      </w:pPr>
      <w:r>
        <w:rPr>
          <w:b/>
        </w:rPr>
        <w:t>Acceptance:</w:t>
      </w:r>
      <w:r>
        <w:t xml:space="preserve"> A noisy cough recording produces a quality failure or valid retry instruction, never an implied negative screen.</w:t>
      </w:r>
    </w:p>
    <w:p>
      <w:pPr>
        <w:pStyle w:val="Requirement"/>
      </w:pPr>
      <w:r>
        <w:t>BR-AI-07  Version pinning</w:t>
      </w:r>
      <w:r>
        <w:rPr>
          <w:b w:val="0"/>
          <w:sz w:val="19"/>
        </w:rPr>
        <w:t xml:space="preserve">  (Must, R1)</w:t>
      </w:r>
    </w:p>
    <w:p>
      <w:pPr>
        <w:keepNext/>
        <w:keepLines/>
        <w:spacing w:after="60"/>
      </w:pPr>
      <w:r>
        <w:t>Production invocations shall bind to an approved provider and model version or an equivalently controlled provider release identifier. Undisclosed provider updates shall be treated as contract violations requiring review.</w:t>
      </w:r>
    </w:p>
    <w:p>
      <w:pPr>
        <w:pStyle w:val="Acceptance"/>
      </w:pPr>
      <w:r>
        <w:rPr>
          <w:b/>
        </w:rPr>
        <w:t>Acceptance:</w:t>
      </w:r>
      <w:r>
        <w:t xml:space="preserve"> A provider version change triggers quarantine or controlled reapproval and cannot silently replace a validated version.</w:t>
      </w:r>
    </w:p>
    <w:p>
      <w:pPr>
        <w:pStyle w:val="Requirement"/>
      </w:pPr>
      <w:r>
        <w:t>BR-AI-08  Least-data provider invocation</w:t>
      </w:r>
      <w:r>
        <w:rPr>
          <w:b w:val="0"/>
          <w:sz w:val="19"/>
        </w:rPr>
        <w:t xml:space="preserve">  (Must, R1)</w:t>
      </w:r>
    </w:p>
    <w:p>
      <w:pPr>
        <w:keepNext/>
        <w:keepLines/>
        <w:spacing w:after="60"/>
      </w:pPr>
      <w:r>
        <w:t>Each call shall include only the fields and media needed for the approved purpose. Provider retention, training use, subprocessors and hosting region shall be recorded and compatible with the deployment agreement.</w:t>
      </w:r>
    </w:p>
    <w:p>
      <w:pPr>
        <w:pStyle w:val="Acceptance"/>
      </w:pPr>
      <w:r>
        <w:rPr>
          <w:b/>
        </w:rPr>
        <w:t>Acceptance:</w:t>
      </w:r>
      <w:r>
        <w:t xml:space="preserve"> Payload inspection confirms excluded identifiers are absent and a provider with incompatible retention terms is blocked.</w:t>
      </w:r>
    </w:p>
    <w:p>
      <w:pPr>
        <w:pStyle w:val="Requirement"/>
      </w:pPr>
      <w:r>
        <w:t>BR-AI-09  Multi-provider result history</w:t>
      </w:r>
      <w:r>
        <w:rPr>
          <w:b w:val="0"/>
          <w:sz w:val="19"/>
        </w:rPr>
        <w:t xml:space="preserve">  (Must, R1)</w:t>
      </w:r>
    </w:p>
    <w:p>
      <w:pPr>
        <w:keepNext/>
        <w:keepLines/>
        <w:spacing w:after="60"/>
      </w:pPr>
      <w:r>
        <w:t>The platform shall retain provider attribution and original output for each invocation. Replacing a provider shall not overwrite historical results or obscure the version used for an earlier decision.</w:t>
      </w:r>
    </w:p>
    <w:p>
      <w:pPr>
        <w:pStyle w:val="Acceptance"/>
      </w:pPr>
      <w:r>
        <w:rPr>
          <w:b/>
        </w:rPr>
        <w:t>Acceptance:</w:t>
      </w:r>
      <w:r>
        <w:t xml:space="preserve"> An encounter spanning a provider change shows both results independently with their input timestamps and review states.</w:t>
      </w:r>
    </w:p>
    <w:p>
      <w:pPr>
        <w:pStyle w:val="Requirement"/>
      </w:pPr>
      <w:r>
        <w:t>BR-AI-10  Monitoring and safety suspension</w:t>
      </w:r>
      <w:r>
        <w:rPr>
          <w:b w:val="0"/>
          <w:sz w:val="19"/>
        </w:rPr>
        <w:t xml:space="preserve">  (Must, R1)</w:t>
      </w:r>
    </w:p>
    <w:p>
      <w:pPr>
        <w:keepNext/>
        <w:keepLines/>
        <w:spacing w:after="60"/>
      </w:pPr>
      <w:r>
        <w:t>Monitoring shall cover availability, latency, input-quality failures, unsupported cases, usage, incidents and reviewed outcome measures where suitable ground truth exists. Clinical degradation shall trigger the approved investigation and suspension process.</w:t>
      </w:r>
    </w:p>
    <w:p>
      <w:pPr>
        <w:pStyle w:val="Acceptance"/>
      </w:pPr>
      <w:r>
        <w:rPr>
          <w:b/>
        </w:rPr>
        <w:t>Acceptance:</w:t>
      </w:r>
      <w:r>
        <w:t xml:space="preserve"> Operators can suspend a named version, identify affected encounters and assign follow-up without disabling unrelated safe capabilities.</w:t>
      </w:r>
    </w:p>
    <w:p>
      <w:pPr>
        <w:pStyle w:val="Requirement"/>
      </w:pPr>
      <w:r>
        <w:t>BR-AI-11  Provider self-service in a controlled environment</w:t>
      </w:r>
      <w:r>
        <w:rPr>
          <w:b w:val="0"/>
          <w:sz w:val="19"/>
        </w:rPr>
        <w:t xml:space="preserve">  (Should, R2)</w:t>
      </w:r>
    </w:p>
    <w:p>
      <w:pPr>
        <w:keepNext/>
        <w:keepLines/>
        <w:spacing w:after="60"/>
      </w:pPr>
      <w:r>
        <w:t>Providers may maintain documentation, credentials for testing and proposed versions in an isolated environment using approved synthetic data. They shall not publish directly to production or inspect unrestricted patient payloads.</w:t>
      </w:r>
    </w:p>
    <w:p>
      <w:pPr>
        <w:pStyle w:val="Acceptance"/>
      </w:pPr>
      <w:r>
        <w:rPr>
          <w:b/>
        </w:rPr>
        <w:t>Acceptance:</w:t>
      </w:r>
      <w:r>
        <w:t xml:space="preserve"> Provider test access remains limited to its own capability and synthetic environment; production activation follows the standard review path.</w:t>
      </w:r>
    </w:p>
    <w:p>
      <w:pPr>
        <w:pStyle w:val="Requirement"/>
      </w:pPr>
      <w:r>
        <w:t>BR-AI-12  Cost and contractual limits</w:t>
      </w:r>
      <w:r>
        <w:rPr>
          <w:b w:val="0"/>
          <w:sz w:val="19"/>
        </w:rPr>
        <w:t xml:space="preserve">  (Must, R1)</w:t>
      </w:r>
    </w:p>
    <w:p>
      <w:pPr>
        <w:keepNext/>
        <w:keepLines/>
        <w:spacing w:after="60"/>
      </w:pPr>
      <w:r>
        <w:t>Usage shall be metered by provider, capability, deployment and task, with budget limits and alerts. Financial incentives shall not override clinical eligibility or conceal a recommended provider substitution.</w:t>
      </w:r>
    </w:p>
    <w:p>
      <w:pPr>
        <w:pStyle w:val="Acceptance"/>
      </w:pPr>
      <w:r>
        <w:rPr>
          <w:b/>
        </w:rPr>
        <w:t>Acceptance:</w:t>
      </w:r>
      <w:r>
        <w:t xml:space="preserve"> Reaching a cost limit results in a visible controlled fallback and does not silently select an unapproved model.</w:t>
      </w:r>
    </w:p>
    <w:p>
      <w:pPr>
        <w:pStyle w:val="Heading2"/>
      </w:pPr>
      <w:r>
        <w:t>Minimum provider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330"/>
      </w:tblGrid>
      <w:tr>
        <w:trPr>
          <w:cantSplit/>
          <w:tblHeader/>
          <w:tblHeader w:val="true"/>
          <w:cantSplit/>
        </w:trPr>
        <w:tc>
          <w:tcPr>
            <w:tcW w:type="dxa" w:w="2664"/>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Manifest group</w:t>
            </w:r>
          </w:p>
        </w:tc>
        <w:tc>
          <w:tcPr>
            <w:tcW w:type="dxa" w:w="7330"/>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Required business content</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Ownership</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Provider legal identity, support owner, licensing rights and accountable clinical contact where relevant</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Capability</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Intended task, clinical or administrative status, supported workflows and excluded uses</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Eligibility</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User role, population, setting, language, device, geography and quality conditions</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jc w:val="center"/>
            </w:pPr>
            <w:r>
              <w:rPr>
                <w:rFonts w:ascii="Arial" w:hAnsi="Arial"/>
                <w:color w:val="000000"/>
                <w:sz w:val="20"/>
              </w:rPr>
              <w:t>Inputs</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Required and optional fields, units, timing, supported media, sample requirements and permitted identifiers</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Outputs</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Field meanings, units, uncertainty where supported, inability-to-assess states and prohibited interpretations</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Evidence</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Model release, evaluation reports, subgroup coverage, known limitations and review expiry</w:t>
            </w:r>
          </w:p>
        </w:tc>
      </w:tr>
      <w:tr>
        <w:trPr>
          <w:cantSplit/>
          <w:cantSplit/>
        </w:trPr>
        <w:tc>
          <w:tcPr>
            <w:tcW w:type="dxa" w:w="266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Governance</w:t>
            </w:r>
          </w:p>
        </w:tc>
        <w:tc>
          <w:tcPr>
            <w:tcW w:type="dxa" w:w="7330"/>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Deployment approval, applicable regulatory status, suspension criteria and change-notice obligations</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Operations</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Authentication, endpoint ownership, timeout, retries, rate limits, response mode and support hours</w:t>
            </w:r>
          </w:p>
        </w:tc>
      </w:tr>
      <w:tr>
        <w:trPr>
          <w:cantSplit/>
          <w:cantSplit/>
        </w:trPr>
        <w:tc>
          <w:tcPr>
            <w:tcW w:type="dxa" w:w="2664"/>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Data use</w:t>
            </w:r>
          </w:p>
        </w:tc>
        <w:tc>
          <w:tcPr>
            <w:tcW w:type="dxa" w:w="7330"/>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Purpose, retention, training restrictions, subprocessors, hosting region and deletion process</w:t>
            </w:r>
          </w:p>
        </w:tc>
      </w:tr>
      <w:tr>
        <w:trPr>
          <w:cantSplit/>
          <w:cantSplit/>
        </w:trPr>
        <w:tc>
          <w:tcPr>
            <w:tcW w:type="dxa" w:w="266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Commercial</w:t>
            </w:r>
          </w:p>
        </w:tc>
        <w:tc>
          <w:tcPr>
            <w:tcW w:type="dxa" w:w="7330"/>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Billing unit, usage reporting, limits, service responsibility and exit provisions</w:t>
            </w:r>
          </w:p>
        </w:tc>
      </w:tr>
    </w:tbl>
    <w:p>
      <w:pPr>
        <w:spacing w:after="60" w:before="0" w:line="40" w:lineRule="exact"/>
      </w:pPr>
      <w:r>
        <w:rPr>
          <w:sz w:val="4"/>
        </w:rPr>
      </w:r>
    </w:p>
    <w:p>
      <w:bookmarkStart w:id="15" w:name="sec_14"/>
      <w:pPr>
        <w:pStyle w:val="Heading1"/>
      </w:pPr>
      <w:r>
        <w:t>14 Clinical guidance and knowledge requirements</w:t>
      </w:r>
      <w:bookmarkEnd w:id="15"/>
    </w:p>
    <w:p>
      <w:pPr>
        <w:pStyle w:val="Small"/>
        <w:keepNext/>
      </w:pPr>
      <w:r>
        <w:t>Owner: Clinical safety lead. Scope: BR-CLIN requirements support BO3 and BO5. These are product controls and workflow requirements, not clinical treatment instructions. WHO guidance provides a health AI governance reference [S4]; local use still requires the accountable institution's review.</w:t>
      </w:r>
    </w:p>
    <w:p>
      <w:pPr>
        <w:pStyle w:val="Requirement"/>
      </w:pPr>
      <w:r>
        <w:t>BR-CLIN-01  Approved source library</w:t>
      </w:r>
      <w:r>
        <w:rPr>
          <w:b w:val="0"/>
          <w:sz w:val="19"/>
        </w:rPr>
        <w:t xml:space="preserve">  (Must, R1)</w:t>
      </w:r>
    </w:p>
    <w:p>
      <w:pPr>
        <w:keepNext/>
        <w:keepLines/>
        <w:spacing w:after="60"/>
      </w:pPr>
      <w:r>
        <w:t>Clinical content shall come from approved, versioned sources with publisher, effective date, local applicability and reviewer. Retrieval shall favour content approved for the current programme and user role.</w:t>
      </w:r>
    </w:p>
    <w:p>
      <w:pPr>
        <w:pStyle w:val="Acceptance"/>
      </w:pPr>
      <w:r>
        <w:rPr>
          <w:b/>
        </w:rPr>
        <w:t>Acceptance:</w:t>
      </w:r>
      <w:r>
        <w:t xml:space="preserve"> Superseded or unapproved guidance cannot be offered as current advice, and each displayed recommendation links to its source.</w:t>
      </w:r>
    </w:p>
    <w:p>
      <w:pPr>
        <w:pStyle w:val="Requirement"/>
      </w:pPr>
      <w:r>
        <w:t>BR-CLIN-02  Controlled clinical logic</w:t>
      </w:r>
      <w:r>
        <w:rPr>
          <w:b w:val="0"/>
          <w:sz w:val="19"/>
        </w:rPr>
        <w:t xml:space="preserve">  (Must, R1)</w:t>
      </w:r>
    </w:p>
    <w:p>
      <w:pPr>
        <w:keepNext/>
        <w:keepLines/>
        <w:spacing w:after="60"/>
      </w:pPr>
      <w:r>
        <w:t>Eligibility, warning signs, thresholds, contraindications and referral logic shall be represented through approved rules or explicitly approved clinical capabilities. The language model may explain them but may not rewrite them during a visit.</w:t>
      </w:r>
    </w:p>
    <w:p>
      <w:pPr>
        <w:pStyle w:val="Acceptance"/>
      </w:pPr>
      <w:r>
        <w:rPr>
          <w:b/>
        </w:rPr>
        <w:t>Acceptance:</w:t>
      </w:r>
      <w:r>
        <w:t xml:space="preserve"> Rephrasing a prompt does not change a protocol's decision for the same confirmed facts.</w:t>
      </w:r>
    </w:p>
    <w:p>
      <w:pPr>
        <w:pStyle w:val="Requirement"/>
      </w:pPr>
      <w:r>
        <w:t>BR-CLIN-03  Escalation without model dependence</w:t>
      </w:r>
      <w:r>
        <w:rPr>
          <w:b w:val="0"/>
          <w:sz w:val="19"/>
        </w:rPr>
        <w:t xml:space="preserve">  (Must, R1)</w:t>
      </w:r>
    </w:p>
    <w:p>
      <w:pPr>
        <w:keepNext/>
        <w:keepLines/>
        <w:spacing w:after="60"/>
      </w:pPr>
      <w:r>
        <w:t>When an approved protocol identifies a need for urgent escalation, the application shall show the locally approved action and contacts immediately. A pending AI call shall not delay that action.</w:t>
      </w:r>
    </w:p>
    <w:p>
      <w:pPr>
        <w:pStyle w:val="Acceptance"/>
      </w:pPr>
      <w:r>
        <w:rPr>
          <w:b/>
        </w:rPr>
        <w:t>Acceptance:</w:t>
      </w:r>
      <w:r>
        <w:t xml:space="preserve"> An urgent synthetic scenario follows the configured escalation path when cloud AI and external MIS services are unavailable.</w:t>
      </w:r>
    </w:p>
    <w:p>
      <w:pPr>
        <w:pStyle w:val="Requirement"/>
      </w:pPr>
      <w:r>
        <w:t>BR-CLIN-04  Scope of practice</w:t>
      </w:r>
      <w:r>
        <w:rPr>
          <w:b w:val="0"/>
          <w:sz w:val="19"/>
        </w:rPr>
        <w:t xml:space="preserve">  (Must, R1)</w:t>
      </w:r>
    </w:p>
    <w:p>
      <w:pPr>
        <w:keepNext/>
        <w:keepLines/>
        <w:spacing w:after="60"/>
      </w:pPr>
      <w:r>
        <w:t>Advice and available actions shall reflect the user's verified authority. A worker may record observations and prepare referrals only within the approved scope; medical decisions requiring a clinician shall be routed accordingly.</w:t>
      </w:r>
    </w:p>
    <w:p>
      <w:pPr>
        <w:pStyle w:val="Acceptance"/>
      </w:pPr>
      <w:r>
        <w:rPr>
          <w:b/>
        </w:rPr>
        <w:t>Acceptance:</w:t>
      </w:r>
      <w:r>
        <w:t xml:space="preserve"> User role changes modify available clinical actions, and server-side tests reject unauthorised orders.</w:t>
      </w:r>
    </w:p>
    <w:p>
      <w:pPr>
        <w:pStyle w:val="Requirement"/>
      </w:pPr>
      <w:r>
        <w:t>BR-CLIN-05  Review and override</w:t>
      </w:r>
      <w:r>
        <w:rPr>
          <w:b w:val="0"/>
          <w:sz w:val="19"/>
        </w:rPr>
        <w:t xml:space="preserve">  (Must, R1)</w:t>
      </w:r>
    </w:p>
    <w:p>
      <w:pPr>
        <w:keepNext/>
        <w:keepLines/>
        <w:spacing w:after="60"/>
      </w:pPr>
      <w:r>
        <w:t>An authorised reviewer shall be able to accept, reject or override a suggestion with a reason. Overrides shall preserve the original evidence and shall feed quality review without automatically retraining a model.</w:t>
      </w:r>
    </w:p>
    <w:p>
      <w:pPr>
        <w:pStyle w:val="Acceptance"/>
      </w:pPr>
      <w:r>
        <w:rPr>
          <w:b/>
        </w:rPr>
        <w:t>Acceptance:</w:t>
      </w:r>
      <w:r>
        <w:t xml:space="preserve"> The record distinguishes the model recommendation from the human decision and identifies the responsible professional.</w:t>
      </w:r>
    </w:p>
    <w:p>
      <w:pPr>
        <w:pStyle w:val="Requirement"/>
      </w:pPr>
      <w:r>
        <w:t>BR-CLIN-06  Model-specific quality requirements</w:t>
      </w:r>
      <w:r>
        <w:rPr>
          <w:b w:val="0"/>
          <w:sz w:val="19"/>
        </w:rPr>
        <w:t xml:space="preserve">  (Must, R1)</w:t>
      </w:r>
    </w:p>
    <w:p>
      <w:pPr>
        <w:keepNext/>
        <w:keepLines/>
        <w:spacing w:after="60"/>
      </w:pPr>
      <w:r>
        <w:t>Each clinical capability shall have a separate acceptance plan appropriate to its task, population and intended use, including relevant subgroup performance and uncertainty. There shall be no generic platform-wide clinical accuracy percentage.</w:t>
      </w:r>
    </w:p>
    <w:p>
      <w:pPr>
        <w:pStyle w:val="Acceptance"/>
      </w:pPr>
      <w:r>
        <w:rPr>
          <w:b/>
        </w:rPr>
        <w:t>Acceptance:</w:t>
      </w:r>
      <w:r>
        <w:t xml:space="preserve"> Clinical activation requires a signed capability-specific evidence review; administrative usability results cannot substitute for clinical validation.</w:t>
      </w:r>
    </w:p>
    <w:p>
      <w:pPr>
        <w:pStyle w:val="Requirement"/>
      </w:pPr>
      <w:r>
        <w:t>BR-CLIN-07  Composition safety</w:t>
      </w:r>
      <w:r>
        <w:rPr>
          <w:b w:val="0"/>
          <w:sz w:val="19"/>
        </w:rPr>
        <w:t xml:space="preserve">  (Must, R1)</w:t>
      </w:r>
    </w:p>
    <w:p>
      <w:pPr>
        <w:keepNext/>
        <w:keepLines/>
        <w:spacing w:after="60"/>
      </w:pPr>
      <w:r>
        <w:t>When several tools feed a single recommendation, the combined workflow shall be evaluated for interactions, missing inputs and disagreement. Individual model approvals shall not be treated as approval of every possible combination.</w:t>
      </w:r>
    </w:p>
    <w:p>
      <w:pPr>
        <w:pStyle w:val="Acceptance"/>
      </w:pPr>
      <w:r>
        <w:rPr>
          <w:b/>
        </w:rPr>
        <w:t>Acceptance:</w:t>
      </w:r>
      <w:r>
        <w:t xml:space="preserve"> The activated workflow has a reviewed composition and tested conflict scenarios; unapproved combinations are unavailable.</w:t>
      </w:r>
    </w:p>
    <w:p>
      <w:pPr>
        <w:pStyle w:val="Requirement"/>
      </w:pPr>
      <w:r>
        <w:t>BR-CLIN-08  Harm reporting and review</w:t>
      </w:r>
      <w:r>
        <w:rPr>
          <w:b w:val="0"/>
          <w:sz w:val="19"/>
        </w:rPr>
        <w:t xml:space="preserve">  (Must, R1)</w:t>
      </w:r>
    </w:p>
    <w:p>
      <w:pPr>
        <w:keepNext/>
        <w:keepLines/>
        <w:spacing w:after="60"/>
      </w:pPr>
      <w:r>
        <w:t>Users shall be able to flag misleading advice, wrong-patient results, missed escalation and potential harm from the current encounter. Reports shall reach a named clinical owner with evidence and action tracking.</w:t>
      </w:r>
    </w:p>
    <w:p>
      <w:pPr>
        <w:pStyle w:val="Acceptance"/>
      </w:pPr>
      <w:r>
        <w:rPr>
          <w:b/>
        </w:rPr>
        <w:t>Acceptance:</w:t>
      </w:r>
      <w:r>
        <w:t xml:space="preserve"> A safety report creates a visible case, preserves relevant versions and can initiate a capability hold and affected-case review.</w:t>
      </w:r>
    </w:p>
    <w:p>
      <w:pPr>
        <w:pStyle w:val="Heading1"/>
      </w:pPr>
      <w:r>
        <w:rPr>
          <w:rFonts w:ascii="Arial" w:hAnsi="Arial"/>
        </w:rPr>
        <w:t>15 Health system and programme integration requirements</w:t>
      </w:r>
    </w:p>
    <w:p>
      <w:pPr>
        <w:pStyle w:val="Small"/>
        <w:keepNext/>
      </w:pPr>
      <w:r>
        <w:rPr>
          <w:rFonts w:ascii="Arial" w:hAnsi="Arial"/>
        </w:rPr>
        <w:t>Owner: Integration owner with ABDM, EHR, HMIS and programme system owners. Scope: BR-INT requirements support BO1, BO4, BO5, BO6 and BO7.</w:t>
      </w:r>
    </w:p>
    <w:p>
      <w:pPr>
        <w:pStyle w:val="Requirement"/>
      </w:pPr>
      <w:r>
        <w:t>BR-INT-01  Integration readiness contract</w:t>
      </w:r>
      <w:r>
        <w:rPr>
          <w:b w:val="0"/>
          <w:sz w:val="19"/>
        </w:rPr>
        <w:t xml:space="preserve">  (Must, R1)</w:t>
      </w:r>
    </w:p>
    <w:p>
      <w:pPr>
        <w:keepNext/>
        <w:keepLines/>
        <w:spacing w:after="60"/>
      </w:pPr>
      <w:r>
        <w:t>Each connector shall record the system owner, permitted read and write operations, identity method, data contract, authorisation, test environment, support contact and operational limits. Unknown capabilities shall remain explicitly unverified.</w:t>
      </w:r>
    </w:p>
    <w:p>
      <w:pPr>
        <w:pStyle w:val="Acceptance"/>
      </w:pPr>
      <w:r>
        <w:rPr>
          <w:b/>
        </w:rPr>
        <w:t>Acceptance:</w:t>
      </w:r>
      <w:r>
        <w:t xml:space="preserve"> A connector cannot be labelled live until the receiving owner has accepted its tested scope and production access is enabled.</w:t>
      </w:r>
    </w:p>
    <w:p>
      <w:pPr>
        <w:pStyle w:val="Requirement"/>
      </w:pPr>
      <w:r>
        <w:t>BR-INT-02  Independent read and write permissions</w:t>
      </w:r>
      <w:r>
        <w:rPr>
          <w:b w:val="0"/>
          <w:sz w:val="19"/>
        </w:rPr>
        <w:t xml:space="preserve">  (Must, R1)</w:t>
      </w:r>
    </w:p>
    <w:p>
      <w:pPr>
        <w:keepNext/>
        <w:keepLines/>
        <w:spacing w:after="60"/>
      </w:pPr>
      <w:r>
        <w:t>Read access, creation, update, deletion, status lookup and aggregation shall be separately configurable. Permission to retrieve a record shall not imply permission to modify it or register a patient.</w:t>
      </w:r>
    </w:p>
    <w:p>
      <w:pPr>
        <w:pStyle w:val="Acceptance"/>
      </w:pPr>
      <w:r>
        <w:rPr>
          <w:b/>
        </w:rPr>
        <w:t>Acceptance:</w:t>
      </w:r>
      <w:r>
        <w:t xml:space="preserve"> A read-only connector exposes no active write path and clearly states when programme updates require a separate process.</w:t>
      </w:r>
    </w:p>
    <w:p>
      <w:pPr>
        <w:pStyle w:val="Requirement"/>
      </w:pPr>
      <w:r>
        <w:t>BR-INT-03  Confirmed submission receipts</w:t>
      </w:r>
      <w:r>
        <w:rPr>
          <w:b w:val="0"/>
          <w:sz w:val="19"/>
        </w:rPr>
        <w:t xml:space="preserve">  (Must, R1)</w:t>
      </w:r>
    </w:p>
    <w:p>
      <w:pPr>
        <w:keepNext/>
        <w:keepLines/>
        <w:spacing w:after="60"/>
      </w:pPr>
      <w:r>
        <w:t>Every attempted external write shall retain destination, submitted version, time, initiating authority, status and receipt or error. Acceptance shall require the destination's meaningful acknowledgement, not merely a successful HTTP transport response.</w:t>
      </w:r>
    </w:p>
    <w:p>
      <w:pPr>
        <w:pStyle w:val="Acceptance"/>
      </w:pPr>
      <w:r>
        <w:rPr>
          <w:b/>
        </w:rPr>
        <w:t>Acceptance:</w:t>
      </w:r>
      <w:r>
        <w:t xml:space="preserve"> A response containing a business rejection is shown as rejected even when the network request technically succeeded.</w:t>
      </w:r>
    </w:p>
    <w:p>
      <w:pPr>
        <w:pStyle w:val="Requirement"/>
      </w:pPr>
      <w:r>
        <w:t>BR-INT-04  Duplicate prevention and uncertain outcomes</w:t>
      </w:r>
      <w:r>
        <w:rPr>
          <w:b w:val="0"/>
          <w:sz w:val="19"/>
        </w:rPr>
        <w:t xml:space="preserve">  (Must, R1)</w:t>
      </w:r>
    </w:p>
    <w:p>
      <w:pPr>
        <w:keepNext/>
        <w:keepLines/>
        <w:spacing w:after="60"/>
      </w:pPr>
      <w:r>
        <w:t>Retries shall use stable submission identity and destination-supported duplicate controls. Where acceptance is uncertain, the platform shall reconcile before resubmitting or route the case for review.</w:t>
      </w:r>
    </w:p>
    <w:p>
      <w:pPr>
        <w:pStyle w:val="Acceptance"/>
      </w:pPr>
      <w:r>
        <w:rPr>
          <w:b/>
        </w:rPr>
        <w:t>Acceptance:</w:t>
      </w:r>
      <w:r>
        <w:t xml:space="preserve"> A timeout after external acceptance does not create a second patient or activity; an unverifiable outcome remains visibly unresolved.</w:t>
      </w:r>
    </w:p>
    <w:p>
      <w:pPr>
        <w:pStyle w:val="Requirement"/>
      </w:pPr>
      <w:r>
        <w:t>BR-INT-05  Partial completion across systems</w:t>
      </w:r>
      <w:r>
        <w:rPr>
          <w:b w:val="0"/>
          <w:sz w:val="19"/>
        </w:rPr>
        <w:t xml:space="preserve">  (Must, R1)</w:t>
      </w:r>
    </w:p>
    <w:p>
      <w:pPr>
        <w:keepNext/>
        <w:keepLines/>
        <w:spacing w:after="60"/>
      </w:pPr>
      <w:r>
        <w:t>The platform shall track each destination independently and support recovery from partial success. It shall not promise an atomic transaction across unrelated MIS systems or automatically delete valid records to simulate rollback.</w:t>
      </w:r>
    </w:p>
    <w:p>
      <w:pPr>
        <w:pStyle w:val="Acceptance"/>
      </w:pPr>
      <w:r>
        <w:rPr>
          <w:b/>
        </w:rPr>
        <w:t>Acceptance:</w:t>
      </w:r>
      <w:r>
        <w:t xml:space="preserve"> If one of two writes succeeds, the success receipt is preserved and only the failed or uncertain destination is retried.</w:t>
      </w:r>
    </w:p>
    <w:p>
      <w:pPr>
        <w:pStyle w:val="Requirement"/>
      </w:pPr>
      <w:r>
        <w:t>BR-INT-06  Inbound changes and reconciliation</w:t>
      </w:r>
      <w:r>
        <w:rPr>
          <w:b w:val="0"/>
          <w:sz w:val="19"/>
        </w:rPr>
        <w:t xml:space="preserve">  (Must, R1)</w:t>
      </w:r>
    </w:p>
    <w:p>
      <w:pPr>
        <w:keepNext/>
        <w:keepLines/>
        <w:spacing w:after="60"/>
      </w:pPr>
      <w:r>
        <w:t>Approved inbound updates shall identify source, version and effective time. Conflicts with local work shall enter a review process, and outstanding receipts shall be reconciled on a schedule appropriate to the connector.</w:t>
      </w:r>
    </w:p>
    <w:p>
      <w:pPr>
        <w:pStyle w:val="Acceptance"/>
      </w:pPr>
      <w:r>
        <w:rPr>
          <w:b/>
        </w:rPr>
        <w:t>Acceptance:</w:t>
      </w:r>
      <w:r>
        <w:t xml:space="preserve"> An external status change does not silently discard an unsynchronised local correction, and the responsible reviewer sees both.</w:t>
      </w:r>
    </w:p>
    <w:p>
      <w:pPr>
        <w:pStyle w:val="Requirement"/>
      </w:pPr>
      <w:r>
        <w:t>BR-INT-07  Schema and mapping change control</w:t>
      </w:r>
      <w:r>
        <w:rPr>
          <w:b w:val="0"/>
          <w:sz w:val="19"/>
        </w:rPr>
        <w:t xml:space="preserve">  (Must, R1)</w:t>
      </w:r>
    </w:p>
    <w:p>
      <w:pPr>
        <w:keepNext/>
        <w:keepLines/>
        <w:spacing w:after="60"/>
      </w:pPr>
      <w:r>
        <w:t>External form, code or API changes shall trigger compatibility checks and owner review. Failed validation shall pause affected submissions while preserving queued data and unaffected workflows.</w:t>
      </w:r>
    </w:p>
    <w:p>
      <w:pPr>
        <w:pStyle w:val="Acceptance"/>
      </w:pPr>
      <w:r>
        <w:rPr>
          <w:b/>
        </w:rPr>
        <w:t>Acceptance:</w:t>
      </w:r>
      <w:r>
        <w:t xml:space="preserve"> A removed mandatory destination field causes a controlled connector exception, not silent data loss or guessed replacement values.</w:t>
      </w:r>
    </w:p>
    <w:p>
      <w:pPr>
        <w:pStyle w:val="Requirement"/>
      </w:pPr>
      <w:r>
        <w:t>BR-INT-08  Limited integration alternatives</w:t>
      </w:r>
      <w:r>
        <w:rPr>
          <w:b w:val="0"/>
          <w:sz w:val="19"/>
        </w:rPr>
        <w:t xml:space="preserve">  (Must, R1)</w:t>
      </w:r>
    </w:p>
    <w:p>
      <w:pPr>
        <w:keepNext/>
        <w:keepLines/>
        <w:spacing w:after="60"/>
      </w:pPr>
      <w:r>
        <w:t>Where approved APIs are unavailable, owner-authorised file exchange or assisted submission may be supported and labelled as such. Credentials, access controls or usage restrictions shall not be bypassed to simulate connectivity.</w:t>
      </w:r>
    </w:p>
    <w:p>
      <w:pPr>
        <w:pStyle w:val="Acceptance"/>
      </w:pPr>
      <w:r>
        <w:rPr>
          <w:b/>
        </w:rPr>
        <w:t>Acceptance:</w:t>
      </w:r>
      <w:r>
        <w:t xml:space="preserve"> Exported files carry reconciliation identifiers; a prepared export is never reported as accepted until acceptance evidence is recorded.</w:t>
      </w:r>
    </w:p>
    <w:p>
      <w:pPr>
        <w:pStyle w:val="Requirement"/>
      </w:pPr>
      <w:r>
        <w:t>BR-INT-09  Per-destination data minimisation</w:t>
      </w:r>
      <w:r>
        <w:rPr>
          <w:b w:val="0"/>
          <w:sz w:val="19"/>
        </w:rPr>
        <w:t xml:space="preserve">  (Must, R1)</w:t>
      </w:r>
    </w:p>
    <w:p>
      <w:pPr>
        <w:keepNext/>
        <w:keepLines/>
        <w:spacing w:after="60"/>
      </w:pPr>
      <w:r>
        <w:t>Each connector shall send only authorised fields needed by its contract. Person-level operational data shall not be sent to an aggregate-reporting system merely because both are labelled health MIS.</w:t>
      </w:r>
    </w:p>
    <w:p>
      <w:pPr>
        <w:pStyle w:val="Acceptance"/>
      </w:pPr>
      <w:r>
        <w:rPr>
          <w:b/>
        </w:rPr>
        <w:t>Acceptance:</w:t>
      </w:r>
      <w:r>
        <w:t xml:space="preserve"> Payload fixtures and production audits verify field allowlists and distinguish person records from aggregate measures.</w:t>
      </w:r>
    </w:p>
    <w:p>
      <w:pPr>
        <w:pStyle w:val="Requirement"/>
      </w:pPr>
      <w:r>
        <w:rPr>
          <w:rFonts w:ascii="Arial" w:hAnsi="Arial"/>
        </w:rPr>
        <w:t>BR-INT-10  Standards-based exchange  (Must, R1)</w:t>
      </w:r>
    </w:p>
    <w:p>
      <w:pPr>
        <w:keepNext/>
        <w:keepLines/>
        <w:spacing w:after="60"/>
      </w:pPr>
      <w:r>
        <w:rPr>
          <w:rFonts w:ascii="Arial" w:hAnsi="Arial"/>
        </w:rPr>
        <w:t>Where an ecosystem requires a published standard or implementation guide, the connector shall use a pinned agreed version and pass its conformance checks. ABDM exchange shall follow the applicable onboarding flows and the current agreed ABDM FHIR profiles [S1, S2, S8, S9].</w:t>
      </w:r>
    </w:p>
    <w:p>
      <w:pPr>
        <w:pStyle w:val="Acceptance"/>
      </w:pPr>
      <w:r>
        <w:rPr>
          <w:b/>
        </w:rPr>
        <w:t>Acceptance:</w:t>
      </w:r>
      <w:r>
        <w:t xml:space="preserve"> Standards validation and owner acceptance are recorded separately; valid FHIR content alone does not mark the connector production-ready.</w:t>
      </w:r>
    </w:p>
    <w:p>
      <w:pPr>
        <w:pStyle w:val="Heading2"/>
      </w:pPr>
      <w:r>
        <w:t>Candidate integration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90"/>
      </w:tblGrid>
      <w:tr>
        <w:trPr>
          <w:cantSplit/>
          <w:tblHeader/>
          <w:tblHeader w:val="true"/>
          <w:tblHeader w:val="true"/>
          <w:cantSplit/>
        </w:trPr>
        <w:tc>
          <w:tcPr>
            <w:tcW w:type="dxa" w:w="2520"/>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Candidate ecosystem</w:t>
            </w:r>
          </w:p>
        </w:tc>
        <w:tc>
          <w:tcPr>
            <w:tcW w:type="dxa" w:w="345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Intended business use</w:t>
            </w:r>
          </w:p>
        </w:tc>
        <w:tc>
          <w:tcPr>
            <w:tcW w:type="dxa" w:w="367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Dependency to verify</w:t>
            </w:r>
          </w:p>
        </w:tc>
      </w:tr>
      <w:tr>
        <w:trPr>
          <w:cantSplit/>
          <w:cantSplit/>
        </w:trPr>
        <w:tc>
          <w:tcPr>
            <w:tcW w:type="dxa" w:w="252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Ni-kshay or authorised TB programme system</w:t>
            </w:r>
          </w:p>
        </w:tc>
        <w:tc>
          <w:tcPr>
            <w:tcW w:type="dxa" w:w="34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TB programme context, screening or referral workflow and status exchange where permitted</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Exact operations, delegated authority, identifiers, owner approval and production interface</w:t>
            </w:r>
          </w:p>
        </w:tc>
      </w:tr>
      <w:tr>
        <w:trPr>
          <w:cantSplit/>
          <w:cantSplit/>
        </w:trPr>
        <w:tc>
          <w:tcPr>
            <w:tcW w:type="dxa" w:w="252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RCH or state maternal health system</w:t>
            </w:r>
          </w:p>
        </w:tc>
        <w:tc>
          <w:tcPr>
            <w:tcW w:type="dxa" w:w="34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Maternal episode, due activities and authorised visit updates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State deployment, data definitions, update scope and acknowledgement semantics</w:t>
            </w:r>
          </w:p>
        </w:tc>
      </w:tr>
      <w:tr>
        <w:trPr>
          <w:cantSplit/>
          <w:cantSplit/>
        </w:trPr>
        <w:tc>
          <w:tcPr>
            <w:tcW w:type="dxa" w:w="252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State NCD platform</w:t>
            </w:r>
          </w:p>
        </w:tc>
        <w:tc>
          <w:tcPr>
            <w:tcW w:type="dxa" w:w="34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Relevant measurements, follow-up and programme status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Applicable system, access agreement, forms and role boundaries</w:t>
            </w:r>
          </w:p>
        </w:tc>
      </w:tr>
      <w:tr>
        <w:trPr>
          <w:cantSplit/>
          <w:cantSplit/>
        </w:trPr>
        <w:tc>
          <w:tcPr>
            <w:tcW w:type="dxa" w:w="252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U-WIN or applicable immunisation system</w:t>
            </w:r>
          </w:p>
        </w:tc>
        <w:tc>
          <w:tcPr>
            <w:tcW w:type="dxa" w:w="34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Later immunisation history and workflow exchange</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Current authorised integration route and permitted operations</w:t>
            </w:r>
          </w:p>
        </w:tc>
      </w:tr>
      <w:tr>
        <w:trPr>
          <w:cantSplit/>
          <w:cantSplit/>
        </w:trPr>
        <w:tc>
          <w:tcPr>
            <w:tcW w:type="dxa" w:w="252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HMIS or equivalent aggregate reporting</w:t>
            </w:r>
          </w:p>
        </w:tc>
        <w:tc>
          <w:tcPr>
            <w:tcW w:type="dxa" w:w="345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Governed aggregate programme indicators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Reporting grain, metric definitions, period closure and approval process</w:t>
            </w:r>
          </w:p>
        </w:tc>
      </w:tr>
      <w:tr>
        <w:trPr>
          <w:cantSplit/>
          <w:cantSplit/>
        </w:trPr>
        <w:tc>
          <w:tcPr>
            <w:tcW w:type="dxa" w:w="252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ABDM ecosystem</w:t>
            </w:r>
          </w:p>
        </w:tc>
        <w:tc>
          <w:tcPr>
            <w:tcW w:type="dxa" w:w="3456"/>
            <w:vAlign w:val="center"/>
            <w:tcMar>
              <w:top w:w="90" w:type="dxa"/>
              <w:bottom w:w="90" w:type="dxa"/>
              <w:left w:w="105" w:type="dxa"/>
              <w:right w:w="105" w:type="dxa"/>
              <w:start w:w="100" w:type="dxa"/>
              <w:end w:w="100" w:type="dxa"/>
            </w:tcMar>
            <w:shd w:fill="F2F5FA"/>
          </w:tcPr>
          <w:p>
            <w:pPr>
              <w:spacing w:after="0" w:line="252" w:lineRule="auto"/>
              <w:jc w:val="left"/>
            </w:pPr>
            <w:r/>
            <w:r>
              <w:rPr>
                <w:rFonts w:ascii="Arial" w:hAnsi="Arial"/>
                <w:b w:val="0"/>
                <w:color w:val="000000"/>
                <w:sz w:val="17"/>
              </w:rPr>
              <w:t>ABHA services, Scan and Share, HIP or HIU exchange and other explicitly approved modules</w:t>
            </w:r>
          </w:p>
        </w:tc>
        <w:tc>
          <w:tcPr>
            <w:tcW w:type="dxa" w:w="3672"/>
            <w:vAlign w:val="center"/>
            <w:tcMar>
              <w:top w:w="90" w:type="dxa"/>
              <w:bottom w:w="90" w:type="dxa"/>
              <w:left w:w="105" w:type="dxa"/>
              <w:right w:w="105" w:type="dxa"/>
              <w:start w:w="100" w:type="dxa"/>
              <w:end w:w="100" w:type="dxa"/>
            </w:tcMar>
            <w:shd w:fill="F2F5FA"/>
          </w:tcPr>
          <w:p>
            <w:pPr>
              <w:spacing w:after="0" w:line="252" w:lineRule="auto"/>
              <w:jc w:val="left"/>
            </w:pPr>
            <w:r/>
            <w:r>
              <w:rPr>
                <w:rFonts w:ascii="Arial" w:hAnsi="Arial"/>
                <w:b w:val="0"/>
                <w:color w:val="000000"/>
                <w:sz w:val="17"/>
              </w:rPr>
              <w:t>Exact module and role, onboarding environment, consent flow, pinned FHIR profiles, facility and professional attribution, and production authority</w:t>
            </w:r>
          </w:p>
        </w:tc>
      </w:tr>
      <w:tr>
        <w:trPr>
          <w:cantSplit/>
          <w:cantSplit/>
        </w:trPr>
        <w:tc>
          <w:tcPr>
            <w:tcW w:type="dxa" w:w="2520"/>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Facility EHR, EMR, HMIS, laboratory or imaging system</w:t>
            </w:r>
          </w:p>
        </w:tc>
        <w:tc>
          <w:tcPr>
            <w:tcW w:type="dxa" w:w="3456"/>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Patient context, encounters, orders, results, documents, prescriptions and care outcomes where authorised</w:t>
            </w:r>
          </w:p>
        </w:tc>
        <w:tc>
          <w:tcPr>
            <w:tcW w:type="dxa" w:w="3672"/>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Connector capability profile, patient matching, terminology, read and write authority, receipts, conflict handling and support owner</w:t>
            </w:r>
          </w:p>
        </w:tc>
      </w:tr>
      <w:tr>
        <w:trPr>
          <w:cantSplit/>
          <w:cantSplit/>
        </w:trPr>
        <w:tc>
          <w:tcPr>
            <w:tcW w:type="dxa" w:w="252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Global Health AI Sandbox</w:t>
            </w:r>
          </w:p>
        </w:tc>
        <w:tc>
          <w:tcPr>
            <w:tcW w:type="dxa" w:w="345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Versioned evaluation evidence, restrictions and safety notifications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Evidence format and access; no automatic grant of clinical deployment authority</w:t>
            </w:r>
          </w:p>
        </w:tc>
      </w:tr>
    </w:tbl>
    <w:p>
      <w:pPr>
        <w:spacing w:after="60" w:before="0" w:line="40" w:lineRule="exact"/>
      </w:pPr>
      <w:r>
        <w:rPr>
          <w:sz w:val="4"/>
        </w:rPr>
      </w:r>
    </w:p>
    <w:p>
      <w:r>
        <w:t>These entries are integration hypotheses, not claims that every system currently offers a public, writable API. ABDM identity and record exchange must not be presented as universal access to programme databases. NHA's HIP and HIU guidance and NRCeS profiles provide reference points for the relevant exchange roles [S1, S2].</w:t>
      </w:r>
    </w:p>
    <w:p>
      <w:pPr>
        <w:pStyle w:val="Heading2"/>
      </w:pPr>
      <w:r>
        <w:rPr>
          <w:rFonts w:ascii="Arial" w:hAnsi="Arial"/>
        </w:rPr>
        <w:t>ABDM interoperability requirements</w:t>
      </w:r>
    </w:p>
    <w:p>
      <w:pPr>
        <w:pStyle w:val="Small"/>
      </w:pPr>
      <w:r>
        <w:rPr>
          <w:rFonts w:ascii="Arial" w:hAnsi="Arial"/>
        </w:rPr>
        <w:t>Owner: ABDM product owner with identity, privacy, clinical, security and integration owners. These requirements define product behaviour; NHA onboarding and production approval remain external dependencies.</w:t>
      </w:r>
    </w:p>
    <w:p>
      <w:pPr>
        <w:pStyle w:val="Requirement"/>
      </w:pPr>
      <w:r>
        <w:rPr>
          <w:rFonts w:ascii="Arial" w:hAnsi="Arial"/>
        </w:rPr>
        <w:t>BR-INT-11  Canonical exchange representation  (Must, R1)</w:t>
      </w:r>
    </w:p>
    <w:p>
      <w:pPr/>
      <w:r>
        <w:rPr>
          <w:rFonts w:ascii="Arial" w:hAnsi="Arial"/>
        </w:rPr>
        <w:t>The platform shall maintain a canonical representation for person, encounter, observation, condition, service request, care plan, medication, diagnostic result, document and provenance. Source payloads and destination payloads shall remain traceable to this representation without erasing material differences.</w:t>
      </w:r>
    </w:p>
    <w:p>
      <w:pPr>
        <w:pStyle w:val="Acceptance"/>
      </w:pPr>
      <w:r>
        <w:rPr>
          <w:rFonts w:ascii="Arial" w:hAnsi="Arial"/>
        </w:rPr>
        <w:t>Acceptance: A single confirmed blood-pressure observation can be mapped to two approved destinations, and the audit shows the original source, canonical value, units, mapping version and each destination payload.</w:t>
      </w:r>
    </w:p>
    <w:p>
      <w:pPr>
        <w:pStyle w:val="Requirement"/>
      </w:pPr>
      <w:r>
        <w:rPr>
          <w:rFonts w:ascii="Arial" w:hAnsi="Arial"/>
        </w:rPr>
        <w:t>BR-INT-12  Source and destination provenance  (Must, R1)</w:t>
      </w:r>
    </w:p>
    <w:p>
      <w:pPr/>
      <w:r>
        <w:rPr>
          <w:rFonts w:ascii="Arial" w:hAnsi="Arial"/>
        </w:rPr>
        <w:t>Every imported or exported clinical element shall retain source system, source identifier, author or device where known, effective time, receipt time, transformation version and confidence or verification state. A transformed record shall not be represented as if the platform originally measured it.</w:t>
      </w:r>
    </w:p>
    <w:p>
      <w:pPr>
        <w:pStyle w:val="Acceptance"/>
      </w:pPr>
      <w:r>
        <w:rPr>
          <w:rFonts w:ascii="Arial" w:hAnsi="Arial"/>
        </w:rPr>
        <w:t>Acceptance: An imported laboratory result and an ASHA-recorded observation remain distinguishable after display, export and reconciliation.</w:t>
      </w:r>
    </w:p>
    <w:p>
      <w:pPr>
        <w:pStyle w:val="Requirement"/>
      </w:pPr>
      <w:r>
        <w:rPr>
          <w:rFonts w:ascii="Arial" w:hAnsi="Arial"/>
        </w:rPr>
        <w:t>BR-INT-13  ABDM participation scope  (Must, R1)</w:t>
      </w:r>
    </w:p>
    <w:p>
      <w:pPr/>
      <w:r>
        <w:rPr>
          <w:rFonts w:ascii="Arial" w:hAnsi="Arial"/>
        </w:rPr>
        <w:t>Each deployment shall explicitly approve the ABDM modules and roles it uses, including any ABHA, Scan and Share, HIP, HIU, consented exchange or NHCX capability. Permission for one module or role shall not imply another.</w:t>
      </w:r>
    </w:p>
    <w:p>
      <w:pPr>
        <w:pStyle w:val="Acceptance"/>
      </w:pPr>
      <w:r>
        <w:rPr>
          <w:rFonts w:ascii="Arial" w:hAnsi="Arial"/>
        </w:rPr>
        <w:t>Acceptance: Administration and test evidence identify the enabled ABDM role, environment, facility, client credentials, approved operations and responsible owner; all other operations are unavailable.</w:t>
      </w:r>
    </w:p>
    <w:p>
      <w:pPr>
        <w:pStyle w:val="Requirement"/>
      </w:pPr>
      <w:r>
        <w:rPr>
          <w:rFonts w:ascii="Arial" w:hAnsi="Arial"/>
        </w:rPr>
        <w:t>BR-INT-14  ABHA identity and record linking  (Must, R1)</w:t>
      </w:r>
    </w:p>
    <w:p>
      <w:pPr/>
      <w:r>
        <w:rPr>
          <w:rFonts w:ascii="Arial" w:hAnsi="Arial"/>
        </w:rPr>
        <w:t>ABHA creation, verification, demographic matching and record linking shall use authorised flows and explicit user confirmation where required. The platform shall support care for a person without ABHA when the approved workflow permits and shall not merge people solely because names, phones or demographic fields are similar.</w:t>
      </w:r>
    </w:p>
    <w:p>
      <w:pPr>
        <w:pStyle w:val="Acceptance"/>
      </w:pPr>
      <w:r>
        <w:rPr>
          <w:rFonts w:ascii="Arial" w:hAnsi="Arial"/>
        </w:rPr>
        <w:t>Acceptance: Tests cover verified ABHA linkage, declined linkage, absent ABHA, duplicate candidates, demographic mismatch and later correction without wrong-person disclosure.</w:t>
      </w:r>
    </w:p>
    <w:p>
      <w:pPr>
        <w:pStyle w:val="Requirement"/>
      </w:pPr>
      <w:r>
        <w:rPr>
          <w:rFonts w:ascii="Arial" w:hAnsi="Arial"/>
        </w:rPr>
        <w:t>BR-INT-15  ABDM consent enforcement  (Must, R1)</w:t>
      </w:r>
    </w:p>
    <w:p>
      <w:pPr/>
      <w:r>
        <w:rPr>
          <w:rFonts w:ascii="Arial" w:hAnsi="Arial"/>
        </w:rPr>
        <w:t>For ABDM exchanges that require a consent artefact, the platform shall enforce the named HIU and HIP, purpose, health information types, date range, expiry and status. Revocation, expiry or mismatch shall stop new retrieval or disclosure and create an auditable outcome.</w:t>
      </w:r>
    </w:p>
    <w:p>
      <w:pPr>
        <w:pStyle w:val="Acceptance"/>
      </w:pPr>
      <w:r>
        <w:rPr>
          <w:rFonts w:ascii="Arial" w:hAnsi="Arial"/>
        </w:rPr>
        <w:t>Acceptance: Requests outside the approved purpose, date range, data type or validity period are blocked even when the calling user can otherwise view the local patient record.</w:t>
      </w:r>
    </w:p>
    <w:p>
      <w:pPr>
        <w:pStyle w:val="Requirement"/>
      </w:pPr>
      <w:r>
        <w:rPr>
          <w:rFonts w:ascii="Arial" w:hAnsi="Arial"/>
        </w:rPr>
        <w:t>BR-INT-16  Facility and professional attribution  (Must, R1)</w:t>
      </w:r>
    </w:p>
    <w:p>
      <w:pPr/>
      <w:r>
        <w:rPr>
          <w:rFonts w:ascii="Arial" w:hAnsi="Arial"/>
        </w:rPr>
        <w:t>Where the ABDM or EHR workflow requires organisation, facility or practitioner attribution, the platform shall use verified HFR, HPR or destination identifiers and the active role. It shall not invent identifiers or reuse a professional identity across an unapproved facility context.</w:t>
      </w:r>
    </w:p>
    <w:p>
      <w:pPr>
        <w:pStyle w:val="Acceptance"/>
      </w:pPr>
      <w:r>
        <w:rPr>
          <w:rFonts w:ascii="Arial" w:hAnsi="Arial"/>
        </w:rPr>
        <w:t>Acceptance: A consultation bundle fails validation or enters review when the configured facility or practitioner attribution is absent, expired or inconsistent with the encounter.</w:t>
      </w:r>
    </w:p>
    <w:p>
      <w:pPr>
        <w:pStyle w:val="Requirement"/>
      </w:pPr>
      <w:r>
        <w:rPr>
          <w:rFonts w:ascii="Arial" w:hAnsi="Arial"/>
        </w:rPr>
        <w:t>BR-INT-17  ABDM FHIR conformance and version control  (Must, R1)</w:t>
      </w:r>
    </w:p>
    <w:p>
      <w:pPr/>
      <w:r>
        <w:rPr>
          <w:rFonts w:ascii="Arial" w:hAnsi="Arial"/>
        </w:rPr>
        <w:t>ABDM clinical artefacts shall conform to the pinned NRCeS FHIR implementation package agreed for the deployment. The validator, profile set, terminology content and mapping shall be versioned together; upgrades require regression testing and owner approval [S2].</w:t>
      </w:r>
    </w:p>
    <w:p>
      <w:pPr>
        <w:pStyle w:val="Acceptance"/>
      </w:pPr>
      <w:r>
        <w:rPr>
          <w:rFonts w:ascii="Arial" w:hAnsi="Arial"/>
        </w:rPr>
        <w:t>Acceptance: Every outbound test bundle passes the pinned validator; a deliberate profile violation is rejected with a specific error and no external submission.</w:t>
      </w:r>
    </w:p>
    <w:p>
      <w:pPr>
        <w:pStyle w:val="Requirement"/>
      </w:pPr>
      <w:r>
        <w:rPr>
          <w:rFonts w:ascii="Arial" w:hAnsi="Arial"/>
        </w:rPr>
        <w:t>BR-INT-18  Health Information Provider operation  (Must, R1)</w:t>
      </w:r>
    </w:p>
    <w:p>
      <w:pPr/>
      <w:r>
        <w:rPr>
          <w:rFonts w:ascii="Arial" w:hAnsi="Arial"/>
        </w:rPr>
        <w:t>When operating as or through a HIP, the platform shall create eligible records, preserve care-context linkage, respond only through authorised exchange, encrypt and transmit the required payload, and retain the ABDM acknowledgement and failure state.</w:t>
      </w:r>
    </w:p>
    <w:p>
      <w:pPr>
        <w:pStyle w:val="Acceptance"/>
      </w:pPr>
      <w:r>
        <w:rPr>
          <w:rFonts w:ascii="Arial" w:hAnsi="Arial"/>
        </w:rPr>
        <w:t>Acceptance: A consented request retrieves only the authorised records and produces traceable request, encryption, transfer, acknowledgement and error evidence without exposing unrelated records.</w:t>
      </w:r>
    </w:p>
    <w:p>
      <w:pPr>
        <w:pStyle w:val="Requirement"/>
      </w:pPr>
      <w:r>
        <w:rPr>
          <w:rFonts w:ascii="Arial" w:hAnsi="Arial"/>
        </w:rPr>
        <w:t>BR-INT-19  Health Information User operation  (Must, R1)</w:t>
      </w:r>
    </w:p>
    <w:p>
      <w:pPr/>
      <w:r>
        <w:rPr>
          <w:rFonts w:ascii="Arial" w:hAnsi="Arial"/>
        </w:rPr>
        <w:t>When operating as or through an HIU, the platform shall request the minimum health information needed for the approved purpose, track consent and data-flow states, validate received bundles, preserve external provenance and prevent silent overwriting of local records.</w:t>
      </w:r>
    </w:p>
    <w:p>
      <w:pPr>
        <w:pStyle w:val="Acceptance"/>
      </w:pPr>
      <w:r>
        <w:rPr>
          <w:rFonts w:ascii="Arial" w:hAnsi="Arial"/>
        </w:rPr>
        <w:t>Acceptance: A received record is shown with its source and effective date, while invalid, duplicate or conflicting content enters the configured reconciliation path.</w:t>
      </w:r>
    </w:p>
    <w:p>
      <w:pPr>
        <w:pStyle w:val="Requirement"/>
      </w:pPr>
      <w:r>
        <w:rPr>
          <w:rFonts w:ascii="Arial" w:hAnsi="Arial"/>
        </w:rPr>
        <w:t>BR-INT-20  EHR connector capability profile  (Must, R1)</w:t>
      </w:r>
    </w:p>
    <w:p>
      <w:pPr/>
      <w:r>
        <w:rPr>
          <w:rFonts w:ascii="Arial" w:hAnsi="Arial"/>
        </w:rPr>
        <w:t>Every EHR or HMIS connector shall publish a capability profile covering supported resources or documents, search keys, read and write operations, authentication, patient matching, terminology, versioning, latency, idempotency, receipts, amendments, deletion restrictions and support ownership.</w:t>
      </w:r>
    </w:p>
    <w:p>
      <w:pPr>
        <w:pStyle w:val="Acceptance"/>
      </w:pPr>
      <w:r>
        <w:rPr>
          <w:rFonts w:ascii="Arial" w:hAnsi="Arial"/>
        </w:rPr>
        <w:t>Acceptance: The platform enables only operations declared in the active profile and blocks configuration that assumes unsupported search, update or acknowledgement behaviour.</w:t>
      </w:r>
    </w:p>
    <w:p>
      <w:pPr>
        <w:pStyle w:val="Requirement"/>
      </w:pPr>
      <w:r>
        <w:rPr>
          <w:rFonts w:ascii="Arial" w:hAnsi="Arial"/>
        </w:rPr>
        <w:t>BR-INT-21  EHR writeback and conflict handling  (Must, R1)</w:t>
      </w:r>
    </w:p>
    <w:p>
      <w:pPr/>
      <w:r>
        <w:rPr>
          <w:rFonts w:ascii="Arial" w:hAnsi="Arial"/>
        </w:rPr>
        <w:t>The platform shall preserve the EHR as authority for its accepted records and shall use destination-supported identifiers, conditional updates, versions or reconciliation before writeback. Conflicting updates shall not be resolved through last-write-wins unless the destination owner explicitly approves that rule for the record type.</w:t>
      </w:r>
    </w:p>
    <w:p>
      <w:pPr>
        <w:pStyle w:val="Acceptance"/>
      </w:pPr>
      <w:r>
        <w:rPr>
          <w:rFonts w:ascii="Arial" w:hAnsi="Arial"/>
        </w:rPr>
        <w:t>Acceptance: Concurrent-update tests preserve both versions, prevent silent loss and route unresolved conflicts to the named operational owner.</w:t>
      </w:r>
    </w:p>
    <w:p>
      <w:pPr>
        <w:pStyle w:val="Requirement"/>
      </w:pPr>
      <w:r>
        <w:rPr>
          <w:rFonts w:ascii="Arial" w:hAnsi="Arial"/>
        </w:rPr>
        <w:t>BR-INT-22  Legacy and document exchange  (Should, R1)</w:t>
      </w:r>
    </w:p>
    <w:p>
      <w:pPr/>
      <w:r>
        <w:rPr>
          <w:rFonts w:ascii="Arial" w:hAnsi="Arial"/>
        </w:rPr>
        <w:t>Where FHIR is unavailable, the platform may use authorised HL7 v2, CDA, REST, SOAP, file or document exchange. The connector shall label the resulting limitations, preserve the original artefact and avoid presenting batch preparation or document extraction as real-time structured acceptance.</w:t>
      </w:r>
    </w:p>
    <w:p>
      <w:pPr>
        <w:pStyle w:val="Acceptance"/>
      </w:pPr>
      <w:r>
        <w:rPr>
          <w:rFonts w:ascii="Arial" w:hAnsi="Arial"/>
        </w:rPr>
        <w:t>Acceptance: A batch or document connector identifies its delay, source document, extracted fields, reviewer and destination receipt; unsupported writeback remains unavailable.</w:t>
      </w:r>
    </w:p>
    <w:p>
      <w:pPr>
        <w:pStyle w:val="Requirement"/>
      </w:pPr>
      <w:r>
        <w:rPr>
          <w:rFonts w:ascii="Arial" w:hAnsi="Arial"/>
        </w:rPr>
        <w:t>BR-INT-23  Terminology and mapping governance  (Must, R1)</w:t>
      </w:r>
    </w:p>
    <w:p>
      <w:pPr/>
      <w:r>
        <w:rPr>
          <w:rFonts w:ascii="Arial" w:hAnsi="Arial"/>
        </w:rPr>
        <w:t>Clinical codes, local programme values, units and mapping tables shall be versioned, reviewed and tested for the specific source and destination. Unmapped, deprecated or ambiguous concepts shall not be silently replaced with the nearest available code.</w:t>
      </w:r>
    </w:p>
    <w:p>
      <w:pPr>
        <w:pStyle w:val="Acceptance"/>
      </w:pPr>
      <w:r>
        <w:rPr>
          <w:rFonts w:ascii="Arial" w:hAnsi="Arial"/>
        </w:rPr>
        <w:t>Acceptance: A terminology change produces an impact report and blocks affected submissions until the mapping is approved or the value is explicitly represented as unmapped.</w:t>
      </w:r>
    </w:p>
    <w:p>
      <w:pPr>
        <w:pStyle w:val="Requirement"/>
      </w:pPr>
      <w:r>
        <w:rPr>
          <w:rFonts w:ascii="Arial" w:hAnsi="Arial"/>
        </w:rPr>
        <w:t>BR-INT-24  Conformance and production claims  (Must, R1)</w:t>
      </w:r>
    </w:p>
    <w:p>
      <w:pPr/>
      <w:r>
        <w:rPr>
          <w:rFonts w:ascii="Arial" w:hAnsi="Arial"/>
        </w:rPr>
        <w:t>The platform shall distinguish syntactic validation, sandbox success, security review, partner certification, production onboarding and live operational acceptance. Marketing, administration and status screens shall not collapse these states into a single compliant label.</w:t>
      </w:r>
    </w:p>
    <w:p>
      <w:pPr>
        <w:pStyle w:val="Acceptance"/>
      </w:pPr>
      <w:r>
        <w:rPr>
          <w:rFonts w:ascii="Arial" w:hAnsi="Arial"/>
        </w:rPr>
        <w:t>Acceptance: A sandbox-passing connector cannot be labelled production-live until credentials, owner approval, end-to-end transaction evidence and support responsibility are recorded.</w:t>
      </w:r>
    </w:p>
    <w:p>
      <w:pPr>
        <w:pStyle w:val="Heading2"/>
      </w:pPr>
      <w:r>
        <w:rPr>
          <w:rFonts w:ascii="Arial" w:hAnsi="Arial"/>
        </w:rPr>
        <w:t>EHR and HMIS connector framework</w:t>
      </w:r>
    </w:p>
    <w:p>
      <w:pPr/>
      <w:r>
        <w:rPr>
          <w:rFonts w:ascii="Arial" w:hAnsi="Arial"/>
        </w:rPr>
        <w:t>The framework supports a consistent operating contract while allowing each EHR to expose different functions. A connector may be read-only, write-only for selected records, bidirectional or batch-based. The product shall never advertise an unavailable function simply because another connector supports 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val="true"/>
          <w:cantSplit/>
        </w:trPr>
        <w:tc>
          <w:tcPr>
            <w:tcW w:type="dxa" w:w="1944"/>
            <w:vAlign w:val="center"/>
            <w:tcMar>
              <w:top w:w="90" w:type="dxa"/>
              <w:start w:w="100" w:type="dxa"/>
              <w:bottom w:w="90" w:type="dxa"/>
              <w:end w:w="100" w:type="dxa"/>
            </w:tcMar>
            <w:shd w:fill="2C2F71"/>
          </w:tcPr>
          <w:p>
            <w:pPr>
              <w:spacing w:after="0" w:line="252" w:lineRule="auto"/>
              <w:jc w:val="left"/>
            </w:pPr>
            <w:r>
              <w:rPr>
                <w:b/>
                <w:color w:val="FFFFFF"/>
              </w:rPr>
            </w:r>
            <w:r>
              <w:rPr>
                <w:rFonts w:ascii="Arial" w:hAnsi="Arial"/>
                <w:b/>
                <w:color w:val="FFFFFF"/>
                <w:sz w:val="17"/>
              </w:rPr>
              <w:t>Interface family</w:t>
            </w:r>
          </w:p>
        </w:tc>
        <w:tc>
          <w:tcPr>
            <w:tcW w:type="dxa" w:w="3528"/>
            <w:vAlign w:val="center"/>
            <w:tcMar>
              <w:top w:w="90" w:type="dxa"/>
              <w:start w:w="100" w:type="dxa"/>
              <w:bottom w:w="90" w:type="dxa"/>
              <w:end w:w="100" w:type="dxa"/>
            </w:tcMar>
            <w:shd w:fill="2C2F71"/>
          </w:tcPr>
          <w:p>
            <w:pPr>
              <w:spacing w:after="0" w:line="252" w:lineRule="auto"/>
              <w:jc w:val="left"/>
            </w:pPr>
            <w:r>
              <w:rPr>
                <w:b/>
                <w:color w:val="FFFFFF"/>
              </w:rPr>
            </w:r>
            <w:r>
              <w:rPr>
                <w:rFonts w:ascii="Arial" w:hAnsi="Arial"/>
                <w:b/>
                <w:color w:val="FFFFFF"/>
                <w:sz w:val="17"/>
              </w:rPr>
              <w:t>Supported approach</w:t>
            </w:r>
          </w:p>
        </w:tc>
        <w:tc>
          <w:tcPr>
            <w:tcW w:type="dxa" w:w="3816"/>
            <w:vAlign w:val="center"/>
            <w:tcMar>
              <w:top w:w="90" w:type="dxa"/>
              <w:start w:w="100" w:type="dxa"/>
              <w:bottom w:w="90" w:type="dxa"/>
              <w:end w:w="100" w:type="dxa"/>
            </w:tcMar>
            <w:shd w:fill="2C2F71"/>
          </w:tcPr>
          <w:p>
            <w:pPr>
              <w:spacing w:after="0" w:line="252" w:lineRule="auto"/>
              <w:jc w:val="left"/>
            </w:pPr>
            <w:r>
              <w:rPr>
                <w:b/>
                <w:color w:val="FFFFFF"/>
              </w:rPr>
            </w:r>
            <w:r>
              <w:rPr>
                <w:rFonts w:ascii="Arial" w:hAnsi="Arial"/>
                <w:b/>
                <w:color w:val="FFFFFF"/>
                <w:sz w:val="17"/>
              </w:rPr>
              <w:t>Required boundary</w:t>
            </w:r>
          </w:p>
        </w:tc>
      </w:tr>
      <w:tr>
        <w:trPr>
          <w:cantSplit/>
        </w:trPr>
        <w:tc>
          <w:tcPr>
            <w:tcW w:type="dxa" w:w="1944"/>
            <w:vAlign w:val="center"/>
            <w:tcMar>
              <w:top w:w="90" w:type="dxa"/>
              <w:start w:w="100" w:type="dxa"/>
              <w:bottom w:w="90" w:type="dxa"/>
              <w:end w:w="100" w:type="dxa"/>
            </w:tcMar>
          </w:tcPr>
          <w:p>
            <w:pPr>
              <w:spacing w:after="0" w:line="252" w:lineRule="auto"/>
              <w:jc w:val="left"/>
            </w:pPr>
            <w:r/>
            <w:r>
              <w:rPr>
                <w:rFonts w:ascii="Arial" w:hAnsi="Arial"/>
                <w:b w:val="0"/>
                <w:color w:val="000000"/>
                <w:sz w:val="17"/>
              </w:rPr>
              <w:t>ABDM FHIR R4</w:t>
            </w:r>
          </w:p>
        </w:tc>
        <w:tc>
          <w:tcPr>
            <w:tcW w:type="dxa" w:w="3528"/>
            <w:vAlign w:val="center"/>
            <w:tcMar>
              <w:top w:w="90" w:type="dxa"/>
              <w:start w:w="100" w:type="dxa"/>
              <w:bottom w:w="90" w:type="dxa"/>
              <w:end w:w="100" w:type="dxa"/>
            </w:tcMar>
          </w:tcPr>
          <w:p>
            <w:pPr>
              <w:spacing w:after="0" w:line="252" w:lineRule="auto"/>
              <w:jc w:val="left"/>
            </w:pPr>
            <w:r/>
            <w:r>
              <w:rPr>
                <w:rFonts w:ascii="Arial" w:hAnsi="Arial"/>
                <w:b w:val="0"/>
                <w:color w:val="000000"/>
                <w:sz w:val="17"/>
              </w:rPr>
              <w:t>Use the pinned ABDM profiles, bundles, value sets and applicable gateway flows.</w:t>
            </w:r>
          </w:p>
        </w:tc>
        <w:tc>
          <w:tcPr>
            <w:tcW w:type="dxa" w:w="3816"/>
            <w:vAlign w:val="center"/>
            <w:tcMar>
              <w:top w:w="90" w:type="dxa"/>
              <w:start w:w="100" w:type="dxa"/>
              <w:bottom w:w="90" w:type="dxa"/>
              <w:end w:w="100" w:type="dxa"/>
            </w:tcMar>
          </w:tcPr>
          <w:p>
            <w:pPr>
              <w:spacing w:after="0" w:line="252" w:lineRule="auto"/>
              <w:jc w:val="left"/>
            </w:pPr>
            <w:r/>
            <w:r>
              <w:rPr>
                <w:rFonts w:ascii="Arial" w:hAnsi="Arial"/>
                <w:b w:val="0"/>
                <w:color w:val="000000"/>
                <w:sz w:val="17"/>
              </w:rPr>
              <w:t>ABDM onboarding and consent do not create access to a programme database.</w:t>
            </w:r>
          </w:p>
        </w:tc>
      </w:tr>
      <w:tr>
        <w:trPr>
          <w:cantSplit/>
        </w:trPr>
        <w:tc>
          <w:tcPr>
            <w:tcW w:type="dxa" w:w="1944"/>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Standard FHIR R4</w:t>
            </w:r>
          </w:p>
        </w:tc>
        <w:tc>
          <w:tcPr>
            <w:tcW w:type="dxa" w:w="3528"/>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Map supported FHIR resources and operations to the canonical representation.</w:t>
            </w:r>
          </w:p>
        </w:tc>
        <w:tc>
          <w:tcPr>
            <w:tcW w:type="dxa" w:w="381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Generic FHIR validity is insufficient when the receiving system requires a local profile.</w:t>
            </w:r>
          </w:p>
        </w:tc>
      </w:tr>
      <w:tr>
        <w:trPr>
          <w:cantSplit/>
        </w:trPr>
        <w:tc>
          <w:tcPr>
            <w:tcW w:type="dxa" w:w="1944"/>
            <w:vAlign w:val="center"/>
            <w:tcMar>
              <w:top w:w="90" w:type="dxa"/>
              <w:start w:w="100" w:type="dxa"/>
              <w:bottom w:w="90" w:type="dxa"/>
              <w:end w:w="100" w:type="dxa"/>
            </w:tcMar>
          </w:tcPr>
          <w:p>
            <w:pPr>
              <w:spacing w:after="0" w:line="252" w:lineRule="auto"/>
              <w:jc w:val="left"/>
            </w:pPr>
            <w:r/>
            <w:r>
              <w:rPr>
                <w:rFonts w:ascii="Arial" w:hAnsi="Arial"/>
                <w:b w:val="0"/>
                <w:color w:val="000000"/>
                <w:sz w:val="17"/>
              </w:rPr>
              <w:t>HL7 v2 or CDA</w:t>
            </w:r>
          </w:p>
        </w:tc>
        <w:tc>
          <w:tcPr>
            <w:tcW w:type="dxa" w:w="3528"/>
            <w:vAlign w:val="center"/>
            <w:tcMar>
              <w:top w:w="90" w:type="dxa"/>
              <w:start w:w="100" w:type="dxa"/>
              <w:bottom w:w="90" w:type="dxa"/>
              <w:end w:w="100" w:type="dxa"/>
            </w:tcMar>
          </w:tcPr>
          <w:p>
            <w:pPr>
              <w:spacing w:after="0" w:line="252" w:lineRule="auto"/>
              <w:jc w:val="left"/>
            </w:pPr>
            <w:r/>
            <w:r>
              <w:rPr>
                <w:rFonts w:ascii="Arial" w:hAnsi="Arial"/>
                <w:b w:val="0"/>
                <w:color w:val="000000"/>
                <w:sz w:val="17"/>
              </w:rPr>
              <w:t>Translate approved messages or clinical documents and retain the original artefact.</w:t>
            </w:r>
          </w:p>
        </w:tc>
        <w:tc>
          <w:tcPr>
            <w:tcW w:type="dxa" w:w="3816"/>
            <w:vAlign w:val="center"/>
            <w:tcMar>
              <w:top w:w="90" w:type="dxa"/>
              <w:start w:w="100" w:type="dxa"/>
              <w:bottom w:w="90" w:type="dxa"/>
              <w:end w:w="100" w:type="dxa"/>
            </w:tcMar>
          </w:tcPr>
          <w:p>
            <w:pPr>
              <w:spacing w:after="0" w:line="252" w:lineRule="auto"/>
              <w:jc w:val="left"/>
            </w:pPr>
            <w:r/>
            <w:r>
              <w:rPr>
                <w:rFonts w:ascii="Arial" w:hAnsi="Arial"/>
                <w:b w:val="0"/>
                <w:color w:val="000000"/>
                <w:sz w:val="17"/>
              </w:rPr>
              <w:t>Supported message types, acknowledgements and amendment behaviour must be declared.</w:t>
            </w:r>
          </w:p>
        </w:tc>
      </w:tr>
      <w:tr>
        <w:trPr>
          <w:cantSplit/>
        </w:trPr>
        <w:tc>
          <w:tcPr>
            <w:tcW w:type="dxa" w:w="1944"/>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REST or SOAP API</w:t>
            </w:r>
          </w:p>
        </w:tc>
        <w:tc>
          <w:tcPr>
            <w:tcW w:type="dxa" w:w="3528"/>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Use a versioned vendor adapter with explicit field and operation contracts.</w:t>
            </w:r>
          </w:p>
        </w:tc>
        <w:tc>
          <w:tcPr>
            <w:tcW w:type="dxa" w:w="381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No screen scraping or credential bypass may be presented as an API integration.</w:t>
            </w:r>
          </w:p>
        </w:tc>
      </w:tr>
      <w:tr>
        <w:trPr>
          <w:cantSplit/>
        </w:trPr>
        <w:tc>
          <w:tcPr>
            <w:tcW w:type="dxa" w:w="1944"/>
            <w:vAlign w:val="center"/>
            <w:tcMar>
              <w:top w:w="90" w:type="dxa"/>
              <w:start w:w="100" w:type="dxa"/>
              <w:bottom w:w="90" w:type="dxa"/>
              <w:end w:w="100" w:type="dxa"/>
            </w:tcMar>
          </w:tcPr>
          <w:p>
            <w:pPr>
              <w:spacing w:after="0" w:line="252" w:lineRule="auto"/>
              <w:jc w:val="left"/>
            </w:pPr>
            <w:r/>
            <w:r>
              <w:rPr>
                <w:rFonts w:ascii="Arial" w:hAnsi="Arial"/>
                <w:b w:val="0"/>
                <w:color w:val="000000"/>
                <w:sz w:val="17"/>
              </w:rPr>
              <w:t>CSV or secure batch</w:t>
            </w:r>
          </w:p>
        </w:tc>
        <w:tc>
          <w:tcPr>
            <w:tcW w:type="dxa" w:w="3528"/>
            <w:vAlign w:val="center"/>
            <w:tcMar>
              <w:top w:w="90" w:type="dxa"/>
              <w:start w:w="100" w:type="dxa"/>
              <w:bottom w:w="90" w:type="dxa"/>
              <w:end w:w="100" w:type="dxa"/>
            </w:tcMar>
          </w:tcPr>
          <w:p>
            <w:pPr>
              <w:spacing w:after="0" w:line="252" w:lineRule="auto"/>
              <w:jc w:val="left"/>
            </w:pPr>
            <w:r/>
            <w:r>
              <w:rPr>
                <w:rFonts w:ascii="Arial" w:hAnsi="Arial"/>
                <w:b w:val="0"/>
                <w:color w:val="000000"/>
                <w:sz w:val="17"/>
              </w:rPr>
              <w:t>Exchange owner-approved files with stable identifiers and reconciliation.</w:t>
            </w:r>
          </w:p>
        </w:tc>
        <w:tc>
          <w:tcPr>
            <w:tcW w:type="dxa" w:w="3816"/>
            <w:vAlign w:val="center"/>
            <w:tcMar>
              <w:top w:w="90" w:type="dxa"/>
              <w:start w:w="100" w:type="dxa"/>
              <w:bottom w:w="90" w:type="dxa"/>
              <w:end w:w="100" w:type="dxa"/>
            </w:tcMar>
          </w:tcPr>
          <w:p>
            <w:pPr>
              <w:spacing w:after="0" w:line="252" w:lineRule="auto"/>
              <w:jc w:val="left"/>
            </w:pPr>
            <w:r/>
            <w:r>
              <w:rPr>
                <w:rFonts w:ascii="Arial" w:hAnsi="Arial"/>
                <w:b w:val="0"/>
                <w:color w:val="000000"/>
                <w:sz w:val="17"/>
              </w:rPr>
              <w:t>Prepared, uploaded and accepted remain separate states.</w:t>
            </w:r>
          </w:p>
        </w:tc>
      </w:tr>
      <w:tr>
        <w:trPr>
          <w:cantSplit/>
        </w:trPr>
        <w:tc>
          <w:tcPr>
            <w:tcW w:type="dxa" w:w="1944"/>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Document-only exchange</w:t>
            </w:r>
          </w:p>
        </w:tc>
        <w:tc>
          <w:tcPr>
            <w:tcW w:type="dxa" w:w="3528"/>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Store the original document and extract fields as a verified draft where approved.</w:t>
            </w:r>
          </w:p>
        </w:tc>
        <w:tc>
          <w:tcPr>
            <w:tcW w:type="dxa" w:w="381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Extraction does not convert an unreviewed document into an authoritative structured record.</w:t>
            </w:r>
          </w:p>
        </w:tc>
      </w:tr>
      <w:tr>
        <w:trPr>
          <w:cantSplit/>
        </w:trPr>
        <w:tc>
          <w:tcPr>
            <w:tcW w:type="dxa" w:w="1944"/>
            <w:vAlign w:val="center"/>
            <w:tcMar>
              <w:top w:w="90" w:type="dxa"/>
              <w:start w:w="100" w:type="dxa"/>
              <w:bottom w:w="90" w:type="dxa"/>
              <w:end w:w="100" w:type="dxa"/>
            </w:tcMar>
          </w:tcPr>
          <w:p>
            <w:pPr>
              <w:spacing w:after="0" w:line="252" w:lineRule="auto"/>
              <w:jc w:val="left"/>
            </w:pPr>
            <w:r/>
            <w:r>
              <w:rPr>
                <w:rFonts w:ascii="Arial" w:hAnsi="Arial"/>
                <w:b w:val="0"/>
                <w:color w:val="000000"/>
                <w:sz w:val="17"/>
              </w:rPr>
              <w:t>No usable interface</w:t>
            </w:r>
          </w:p>
        </w:tc>
        <w:tc>
          <w:tcPr>
            <w:tcW w:type="dxa" w:w="3528"/>
            <w:vAlign w:val="center"/>
            <w:tcMar>
              <w:top w:w="90" w:type="dxa"/>
              <w:start w:w="100" w:type="dxa"/>
              <w:bottom w:w="90" w:type="dxa"/>
              <w:end w:w="100" w:type="dxa"/>
            </w:tcMar>
          </w:tcPr>
          <w:p>
            <w:pPr>
              <w:spacing w:after="0" w:line="252" w:lineRule="auto"/>
              <w:jc w:val="left"/>
            </w:pPr>
            <w:r/>
            <w:r>
              <w:rPr>
                <w:rFonts w:ascii="Arial" w:hAnsi="Arial"/>
                <w:b w:val="0"/>
                <w:color w:val="000000"/>
                <w:sz w:val="17"/>
              </w:rPr>
              <w:t>Provide a controlled hand-off or deep link and preserve the local task state.</w:t>
            </w:r>
          </w:p>
        </w:tc>
        <w:tc>
          <w:tcPr>
            <w:tcW w:type="dxa" w:w="3816"/>
            <w:vAlign w:val="center"/>
            <w:tcMar>
              <w:top w:w="90" w:type="dxa"/>
              <w:start w:w="100" w:type="dxa"/>
              <w:bottom w:w="90" w:type="dxa"/>
              <w:end w:w="100" w:type="dxa"/>
            </w:tcMar>
          </w:tcPr>
          <w:p>
            <w:pPr>
              <w:spacing w:after="0" w:line="252" w:lineRule="auto"/>
              <w:jc w:val="left"/>
            </w:pPr>
            <w:r/>
            <w:r>
              <w:rPr>
                <w:rFonts w:ascii="Arial" w:hAnsi="Arial"/>
                <w:b w:val="0"/>
                <w:color w:val="000000"/>
                <w:sz w:val="17"/>
              </w:rPr>
              <w:t>The product must state that no data integration or writeback occurred.</w:t>
            </w:r>
          </w:p>
        </w:tc>
      </w:tr>
    </w:tbl>
    <w:p>
      <w:bookmarkStart w:id="17" w:name="sec_16"/>
      <w:pPr>
        <w:pStyle w:val="Heading1"/>
      </w:pPr>
      <w:r>
        <w:t>16 Offline and synchronisation requirements</w:t>
      </w:r>
      <w:bookmarkEnd w:id="17"/>
    </w:p>
    <w:p>
      <w:pPr>
        <w:pStyle w:val="Small"/>
        <w:keepNext/>
      </w:pPr>
      <w:r>
        <w:t>Owner: Product and operations leads. Scope: BR-OFF requirements support BO1, BO3 and BO5.</w:t>
      </w:r>
    </w:p>
    <w:p>
      <w:pPr>
        <w:pStyle w:val="Requirement"/>
      </w:pPr>
      <w:r>
        <w:t>BR-OFF-01  Defined offline capability</w:t>
      </w:r>
      <w:r>
        <w:rPr>
          <w:b w:val="0"/>
          <w:sz w:val="19"/>
        </w:rPr>
        <w:t xml:space="preserve">  (Must, R1)</w:t>
      </w:r>
    </w:p>
    <w:p>
      <w:pPr>
        <w:keepNext/>
        <w:keepLines/>
        <w:spacing w:after="60"/>
      </w:pPr>
      <w:r>
        <w:t>Previously authorised users shall be able to access a limited encrypted caseload, capture encounters, review valid cached guidance and prepare tasks during outages. Functions needing remote information or models shall show their unavailable or pending state.</w:t>
      </w:r>
    </w:p>
    <w:p>
      <w:pPr>
        <w:pStyle w:val="Acceptance"/>
      </w:pPr>
      <w:r>
        <w:rPr>
          <w:b/>
        </w:rPr>
        <w:t>Acceptance:</w:t>
      </w:r>
      <w:r>
        <w:t xml:space="preserve"> The core offline visit test completes without network access; no cloud model is falsely shown as having run.</w:t>
      </w:r>
    </w:p>
    <w:p>
      <w:pPr>
        <w:pStyle w:val="Requirement"/>
      </w:pPr>
      <w:r>
        <w:t>BR-OFF-02  Durable local capture</w:t>
      </w:r>
      <w:r>
        <w:rPr>
          <w:b w:val="0"/>
          <w:sz w:val="19"/>
        </w:rPr>
        <w:t xml:space="preserve">  (Must, R1)</w:t>
      </w:r>
    </w:p>
    <w:p>
      <w:pPr>
        <w:keepNext/>
        <w:keepLines/>
        <w:spacing w:after="60"/>
      </w:pPr>
      <w:r>
        <w:t>The application shall acknowledge a save only after local persistence succeeds. Insufficient storage, database failure or encryption failure shall be shown before the worker believes a record has been saved.</w:t>
      </w:r>
    </w:p>
    <w:p>
      <w:pPr>
        <w:pStyle w:val="Acceptance"/>
      </w:pPr>
      <w:r>
        <w:rPr>
          <w:b/>
        </w:rPr>
        <w:t>Acceptance:</w:t>
      </w:r>
      <w:r>
        <w:t xml:space="preserve"> Forced restart and low-storage tests preserve acknowledged data or clearly report that saving did not complete.</w:t>
      </w:r>
    </w:p>
    <w:p>
      <w:pPr>
        <w:pStyle w:val="Requirement"/>
      </w:pPr>
      <w:r>
        <w:t>BR-OFF-03  Controlled offline authority</w:t>
      </w:r>
      <w:r>
        <w:rPr>
          <w:b w:val="0"/>
          <w:sz w:val="19"/>
        </w:rPr>
        <w:t xml:space="preserve">  (Must, R1)</w:t>
      </w:r>
    </w:p>
    <w:p>
      <w:pPr>
        <w:keepNext/>
        <w:keepLines/>
        <w:spacing w:after="60"/>
      </w:pPr>
      <w:r>
        <w:t>Offline access shall use a time-bounded grant with scoped data and actions. Default proposal: a 24-hour grant after online verification; extending it up to 72 hours requires deployment approval. New privileged grants and remote disclosures remain online-only.</w:t>
      </w:r>
    </w:p>
    <w:p>
      <w:pPr>
        <w:pStyle w:val="Acceptance"/>
      </w:pPr>
      <w:r>
        <w:rPr>
          <w:b/>
        </w:rPr>
        <w:t>Acceptance:</w:t>
      </w:r>
      <w:r>
        <w:t xml:space="preserve"> Expired grants lock cached patient records. Operators understand that revocation cannot reach a disconnected device before reconnection or local expiry.</w:t>
      </w:r>
    </w:p>
    <w:p>
      <w:pPr>
        <w:pStyle w:val="Requirement"/>
      </w:pPr>
      <w:r>
        <w:t>BR-OFF-04  Pending media and AI work</w:t>
      </w:r>
      <w:r>
        <w:rPr>
          <w:b w:val="0"/>
          <w:sz w:val="19"/>
        </w:rPr>
        <w:t xml:space="preserve">  (Must, R1)</w:t>
      </w:r>
    </w:p>
    <w:p>
      <w:pPr>
        <w:keepNext/>
        <w:keepLines/>
        <w:spacing w:after="60"/>
      </w:pPr>
      <w:r>
        <w:t>Recordings and images shall be queued with purpose, quality state and retention rules. On reconnection the platform shall recheck eligibility and authorisation before sending media to a provider.</w:t>
      </w:r>
    </w:p>
    <w:p>
      <w:pPr>
        <w:pStyle w:val="Acceptance"/>
      </w:pPr>
      <w:r>
        <w:rPr>
          <w:b/>
        </w:rPr>
        <w:t>Acceptance:</w:t>
      </w:r>
      <w:r>
        <w:t xml:space="preserve"> An offline request is cancelled or routed for review when its permission expires or its capability is suspended before upload.</w:t>
      </w:r>
    </w:p>
    <w:p>
      <w:pPr>
        <w:pStyle w:val="Requirement"/>
      </w:pPr>
      <w:r>
        <w:t>BR-OFF-05  Safe synchronisation ordering</w:t>
      </w:r>
      <w:r>
        <w:rPr>
          <w:b w:val="0"/>
          <w:sz w:val="19"/>
        </w:rPr>
        <w:t xml:space="preserve">  (Must, R1)</w:t>
      </w:r>
    </w:p>
    <w:p>
      <w:pPr>
        <w:keepNext/>
        <w:keepLines/>
        <w:spacing w:after="60"/>
      </w:pPr>
      <w:r>
        <w:t>Dependent records shall synchronise in a valid order, preserving identities and stable submission identifiers. The application shall recover from intermittent connectivity without replaying successful actions.</w:t>
      </w:r>
    </w:p>
    <w:p>
      <w:pPr>
        <w:pStyle w:val="Acceptance"/>
      </w:pPr>
      <w:r>
        <w:rPr>
          <w:b/>
        </w:rPr>
        <w:t>Acceptance:</w:t>
      </w:r>
      <w:r>
        <w:t xml:space="preserve"> A new local person, encounter and referral synchronise without orphan records across repeated connection loss and restoration.</w:t>
      </w:r>
    </w:p>
    <w:p>
      <w:pPr>
        <w:pStyle w:val="Requirement"/>
      </w:pPr>
      <w:r>
        <w:t>BR-OFF-06  Revalidation of delayed actions</w:t>
      </w:r>
      <w:r>
        <w:rPr>
          <w:b w:val="0"/>
          <w:sz w:val="19"/>
        </w:rPr>
        <w:t xml:space="preserve">  (Must, R1)</w:t>
      </w:r>
    </w:p>
    <w:p>
      <w:pPr>
        <w:keepNext/>
        <w:keepLines/>
        <w:spacing w:after="60"/>
      </w:pPr>
      <w:r>
        <w:t>Queued actions shall be revalidated against current assignment, permissions, patient linkage, protocol and input freshness before execution. A delayed clinical action shall not proceed solely because it was once drafted.</w:t>
      </w:r>
    </w:p>
    <w:p>
      <w:pPr>
        <w:pStyle w:val="Acceptance"/>
      </w:pPr>
      <w:r>
        <w:rPr>
          <w:b/>
        </w:rPr>
        <w:t>Acceptance:</w:t>
      </w:r>
      <w:r>
        <w:t xml:space="preserve"> A material rule or data change places the action into review with an explanation instead of silently executing the old plan.</w:t>
      </w:r>
    </w:p>
    <w:p>
      <w:pPr>
        <w:pStyle w:val="Requirement"/>
      </w:pPr>
      <w:r>
        <w:t>BR-OFF-07  Shared and lost devices</w:t>
      </w:r>
      <w:r>
        <w:rPr>
          <w:b w:val="0"/>
          <w:sz w:val="19"/>
        </w:rPr>
        <w:t xml:space="preserve">  (Must, R1)</w:t>
      </w:r>
    </w:p>
    <w:p>
      <w:pPr>
        <w:keepNext/>
        <w:keepLines/>
        <w:spacing w:after="60"/>
      </w:pPr>
      <w:r>
        <w:t>The application shall isolate local user data, hide sensitive notifications, support quick locking and allow remote revocation when connectivity returns. Local encryption and grant expiry shall protect offline data where remote wiping cannot be guaranteed.</w:t>
      </w:r>
    </w:p>
    <w:p>
      <w:pPr>
        <w:pStyle w:val="Acceptance"/>
      </w:pPr>
      <w:r>
        <w:rPr>
          <w:b/>
        </w:rPr>
        <w:t>Acceptance:</w:t>
      </w:r>
      <w:r>
        <w:t xml:space="preserve"> A second user cannot view the first user's cached records, and a reported lost device loses server access on its next contact.</w:t>
      </w:r>
    </w:p>
    <w:p>
      <w:pPr>
        <w:pStyle w:val="Requirement"/>
      </w:pPr>
      <w:r>
        <w:t>BR-OFF-08  Offline workflow capacity</w:t>
      </w:r>
      <w:r>
        <w:rPr>
          <w:b w:val="0"/>
          <w:sz w:val="19"/>
        </w:rPr>
        <w:t xml:space="preserve">  (Must, R1)</w:t>
      </w:r>
    </w:p>
    <w:p>
      <w:pPr>
        <w:keepNext/>
        <w:keepLines/>
        <w:spacing w:after="60"/>
      </w:pPr>
      <w:r>
        <w:t>The approved device profile shall support at least 200 structured encounters and the media allowance defined in Section 23 without silent eviction of unsynchronised work. Users shall see storage and pending upload status.</w:t>
      </w:r>
    </w:p>
    <w:p>
      <w:pPr>
        <w:pStyle w:val="Acceptance"/>
      </w:pPr>
      <w:r>
        <w:rPr>
          <w:b/>
        </w:rPr>
        <w:t>Acceptance:</w:t>
      </w:r>
      <w:r>
        <w:t xml:space="preserve"> A capacity test reaches the agreed limit, warns before exhaustion and preserves every acknowledged record.</w:t>
      </w:r>
    </w:p>
    <w:p>
      <w:bookmarkStart w:id="18" w:name="sec_17"/>
      <w:pPr>
        <w:pStyle w:val="Heading1"/>
      </w:pPr>
      <w:r>
        <w:t>17 Referrals follow up and communication requirements</w:t>
      </w:r>
      <w:bookmarkEnd w:id="18"/>
    </w:p>
    <w:p>
      <w:pPr>
        <w:pStyle w:val="Small"/>
        <w:keepNext/>
      </w:pPr>
      <w:r>
        <w:t>Owner: Programme operations and clinical safety leads. Scope: BR-CARE requirements support BO3 and BO5.</w:t>
      </w:r>
    </w:p>
    <w:p>
      <w:pPr>
        <w:pStyle w:val="Requirement"/>
      </w:pPr>
      <w:r>
        <w:t>BR-CARE-01  Action ownership</w:t>
      </w:r>
      <w:r>
        <w:rPr>
          <w:b w:val="0"/>
          <w:sz w:val="19"/>
        </w:rPr>
        <w:t xml:space="preserve">  (Must, R1)</w:t>
      </w:r>
    </w:p>
    <w:p>
      <w:pPr>
        <w:keepNext/>
        <w:keepLines/>
        <w:spacing w:after="60"/>
      </w:pPr>
      <w:r>
        <w:t>Every referral, follow-up and exception shall have an accountable person or team, a due time where appropriate, a reason and a current state. Unassigned work shall enter a monitored queue.</w:t>
      </w:r>
    </w:p>
    <w:p>
      <w:pPr>
        <w:pStyle w:val="Acceptance"/>
      </w:pPr>
      <w:r>
        <w:rPr>
          <w:b/>
        </w:rPr>
        <w:t>Acceptance:</w:t>
      </w:r>
      <w:r>
        <w:t xml:space="preserve"> No active urgent task can exist without a visible responsible queue or assignee.</w:t>
      </w:r>
    </w:p>
    <w:p>
      <w:pPr>
        <w:pStyle w:val="Requirement"/>
      </w:pPr>
      <w:r>
        <w:t>BR-CARE-02  Service directory</w:t>
      </w:r>
      <w:r>
        <w:rPr>
          <w:b w:val="0"/>
          <w:sz w:val="19"/>
        </w:rPr>
        <w:t xml:space="preserve">  (Must, R1)</w:t>
      </w:r>
    </w:p>
    <w:p>
      <w:pPr>
        <w:keepNext/>
        <w:keepLines/>
        <w:spacing w:after="60"/>
      </w:pPr>
      <w:r>
        <w:t>Referral destinations shall come from an approved directory containing service capability, location, contact route, operating constraints and verification date. The agent shall not invent a facility or claim unverified availability.</w:t>
      </w:r>
    </w:p>
    <w:p>
      <w:pPr>
        <w:pStyle w:val="Acceptance"/>
      </w:pPr>
      <w:r>
        <w:rPr>
          <w:b/>
        </w:rPr>
        <w:t>Acceptance:</w:t>
      </w:r>
      <w:r>
        <w:t xml:space="preserve"> A stale or unavailable service listing is labelled and routes the worker to an approved alternative or supervisor.</w:t>
      </w:r>
    </w:p>
    <w:p>
      <w:pPr>
        <w:pStyle w:val="Requirement"/>
      </w:pPr>
      <w:r>
        <w:t>BR-CARE-03  Referral lifecycle</w:t>
      </w:r>
      <w:r>
        <w:rPr>
          <w:b w:val="0"/>
          <w:sz w:val="19"/>
        </w:rPr>
        <w:t xml:space="preserve">  (Must, R1)</w:t>
      </w:r>
    </w:p>
    <w:p>
      <w:pPr>
        <w:keepNext/>
        <w:keepLines/>
        <w:spacing w:after="60"/>
      </w:pPr>
      <w:r>
        <w:t>The platform shall distinguish proposed, authorised, sent, received, scheduled, attended, completed, declined, cancelled and unknown outcomes where supported. A booked appointment or sent message shall not equal completed care.</w:t>
      </w:r>
    </w:p>
    <w:p>
      <w:pPr>
        <w:pStyle w:val="Acceptance"/>
      </w:pPr>
      <w:r>
        <w:rPr>
          <w:b/>
        </w:rPr>
        <w:t>Acceptance:</w:t>
      </w:r>
      <w:r>
        <w:t xml:space="preserve"> Completion requires a defined evidence source and actor; unsupported closure attempts are rejected.</w:t>
      </w:r>
    </w:p>
    <w:p>
      <w:pPr>
        <w:pStyle w:val="Requirement"/>
      </w:pPr>
      <w:r>
        <w:t>BR-CARE-04  Due work and escalation</w:t>
      </w:r>
      <w:r>
        <w:rPr>
          <w:b w:val="0"/>
          <w:sz w:val="19"/>
        </w:rPr>
        <w:t xml:space="preserve">  (Must, R1)</w:t>
      </w:r>
    </w:p>
    <w:p>
      <w:pPr>
        <w:keepNext/>
        <w:keepLines/>
        <w:spacing w:after="60"/>
      </w:pPr>
      <w:r>
        <w:t>Workers and supervisors shall receive prioritised task lists based on approved urgency and due dates. Missed tasks shall escalate under programme rules while retaining the reason for delay and service constraints.</w:t>
      </w:r>
    </w:p>
    <w:p>
      <w:pPr>
        <w:pStyle w:val="Acceptance"/>
      </w:pPr>
      <w:r>
        <w:rPr>
          <w:b/>
        </w:rPr>
        <w:t>Acceptance:</w:t>
      </w:r>
      <w:r>
        <w:t xml:space="preserve"> An overdue case enters the correct supervisor queue and remains visible until completion or a documented resolution.</w:t>
      </w:r>
    </w:p>
    <w:p>
      <w:pPr>
        <w:pStyle w:val="Requirement"/>
      </w:pPr>
      <w:r>
        <w:t>BR-CARE-05  Unified action plan</w:t>
      </w:r>
      <w:r>
        <w:rPr>
          <w:b w:val="0"/>
          <w:sz w:val="19"/>
        </w:rPr>
        <w:t xml:space="preserve">  (Must, R1)</w:t>
      </w:r>
    </w:p>
    <w:p>
      <w:pPr>
        <w:keepNext/>
        <w:keepLines/>
        <w:spacing w:after="60"/>
      </w:pPr>
      <w:r>
        <w:t>Actions arising from multiple programmes shall be consolidated where clinically and operationally appropriate, retaining individual reasons and dependencies. Duplicate reminders shall be suppressed without hiding genuinely different work.</w:t>
      </w:r>
    </w:p>
    <w:p>
      <w:pPr>
        <w:pStyle w:val="Acceptance"/>
      </w:pPr>
      <w:r>
        <w:rPr>
          <w:b/>
        </w:rPr>
        <w:t>Acceptance:</w:t>
      </w:r>
      <w:r>
        <w:t xml:space="preserve"> Two packs generating the same approved referral create one referral with both source links and appropriate programme completion states.</w:t>
      </w:r>
    </w:p>
    <w:p>
      <w:pPr>
        <w:pStyle w:val="Requirement"/>
      </w:pPr>
      <w:r>
        <w:t>BR-CARE-06  Safe communication preferences</w:t>
      </w:r>
      <w:r>
        <w:rPr>
          <w:b w:val="0"/>
          <w:sz w:val="19"/>
        </w:rPr>
        <w:t xml:space="preserve">  (Must, R1)</w:t>
      </w:r>
    </w:p>
    <w:p>
      <w:pPr>
        <w:keepNext/>
        <w:keepLines/>
        <w:spacing w:after="60"/>
      </w:pPr>
      <w:r>
        <w:t>Contact method, language, timing and disclosure preferences shall be recorded. Shared phone ownership shall be treated explicitly; sensitive content shall not be placed in notifications or message previews by default.</w:t>
      </w:r>
    </w:p>
    <w:p>
      <w:pPr>
        <w:pStyle w:val="Acceptance"/>
      </w:pPr>
      <w:r>
        <w:rPr>
          <w:b/>
        </w:rPr>
        <w:t>Acceptance:</w:t>
      </w:r>
      <w:r>
        <w:t xml:space="preserve"> A patient requesting private contact receives no revealing automated message through a household contact number.</w:t>
      </w:r>
    </w:p>
    <w:p>
      <w:pPr>
        <w:pStyle w:val="Requirement"/>
      </w:pPr>
      <w:r>
        <w:t>BR-CARE-07  External messaging and scheduling</w:t>
      </w:r>
      <w:r>
        <w:rPr>
          <w:b w:val="0"/>
          <w:sz w:val="19"/>
        </w:rPr>
        <w:t xml:space="preserve">  (Should, R2)</w:t>
      </w:r>
    </w:p>
    <w:p>
      <w:pPr>
        <w:keepNext/>
        <w:keepLines/>
        <w:spacing w:after="60"/>
      </w:pPr>
      <w:r>
        <w:t>Approved SMS, IVR, messaging or appointment services may be integrated with authorisation, delivery evidence, opt-out handling and escalation. Channels require separate readiness checks and shall not expose provider credentials to the agent.</w:t>
      </w:r>
    </w:p>
    <w:p>
      <w:pPr>
        <w:pStyle w:val="Acceptance"/>
      </w:pPr>
      <w:r>
        <w:rPr>
          <w:b/>
        </w:rPr>
        <w:t>Acceptance:</w:t>
      </w:r>
      <w:r>
        <w:t xml:space="preserve"> Delivery failure creates a retry or follow-up task and is not reported as patient acknowledgement.</w:t>
      </w:r>
    </w:p>
    <w:p>
      <w:pPr>
        <w:pStyle w:val="Requirement"/>
      </w:pPr>
      <w:r>
        <w:t>BR-CARE-08  Worker activity evidence</w:t>
      </w:r>
      <w:r>
        <w:rPr>
          <w:b w:val="0"/>
          <w:sz w:val="19"/>
        </w:rPr>
        <w:t xml:space="preserve">  (Must, R1)</w:t>
      </w:r>
    </w:p>
    <w:p>
      <w:pPr>
        <w:keepNext/>
        <w:keepLines/>
        <w:spacing w:after="60"/>
      </w:pPr>
      <w:r>
        <w:t>The system shall generate a reviewable record of verified worker activities for programme reporting or incentive support. It shall distinguish performed, claimed, verified and submitted activity and avoid promising payment.</w:t>
      </w:r>
    </w:p>
    <w:p>
      <w:pPr>
        <w:pStyle w:val="Acceptance"/>
      </w:pPr>
      <w:r>
        <w:rPr>
          <w:b/>
        </w:rPr>
        <w:t>Acceptance:</w:t>
      </w:r>
      <w:r>
        <w:t xml:space="preserve"> Correcting or cancelling an activity updates derived claims and leaves the original evidence and review history traceable.</w:t>
      </w:r>
    </w:p>
    <w:p>
      <w:bookmarkStart w:id="19" w:name="sec_18"/>
      <w:pPr>
        <w:pStyle w:val="Heading1"/>
      </w:pPr>
      <w:r>
        <w:t>18 Supervisor analytics and reporting requirements</w:t>
      </w:r>
      <w:bookmarkEnd w:id="19"/>
    </w:p>
    <w:p>
      <w:pPr>
        <w:pStyle w:val="Small"/>
        <w:keepNext/>
      </w:pPr>
      <w:r>
        <w:t>Owner: Programme monitoring lead. Scope: BR-REP requirements support BO3, BO4 and BO6.</w:t>
      </w:r>
    </w:p>
    <w:p>
      <w:pPr>
        <w:pStyle w:val="Requirement"/>
      </w:pPr>
      <w:r>
        <w:t>BR-REP-01  Operational exception queues</w:t>
      </w:r>
      <w:r>
        <w:rPr>
          <w:b w:val="0"/>
          <w:sz w:val="19"/>
        </w:rPr>
        <w:t xml:space="preserve">  (Must, R1)</w:t>
      </w:r>
    </w:p>
    <w:p>
      <w:pPr>
        <w:keepNext/>
        <w:keepLines/>
        <w:spacing w:after="60"/>
      </w:pPr>
      <w:r>
        <w:t>Supervisors shall see overdue work, identity conflicts, rejected submissions, unresolved clinical reviews and synchronisation problems within their scope. Queues shall identify owner, age and recovery action.</w:t>
      </w:r>
    </w:p>
    <w:p>
      <w:pPr>
        <w:pStyle w:val="Acceptance"/>
      </w:pPr>
      <w:r>
        <w:rPr>
          <w:b/>
        </w:rPr>
        <w:t>Acceptance:</w:t>
      </w:r>
      <w:r>
        <w:t xml:space="preserve"> Each seeded failure is discoverable and assignable without searching individual worker transcripts.</w:t>
      </w:r>
    </w:p>
    <w:p>
      <w:pPr>
        <w:pStyle w:val="Requirement"/>
      </w:pPr>
      <w:r>
        <w:t>BR-REP-02  Governed indicator definitions</w:t>
      </w:r>
      <w:r>
        <w:rPr>
          <w:b w:val="0"/>
          <w:sz w:val="19"/>
        </w:rPr>
        <w:t xml:space="preserve">  (Must, R1)</w:t>
      </w:r>
    </w:p>
    <w:p>
      <w:pPr>
        <w:keepNext/>
        <w:keepLines/>
        <w:spacing w:after="60"/>
      </w:pPr>
      <w:r>
        <w:t>Each indicator shall define numerator, denominator, exclusions, period, source, update cadence and owner. Changes shall be versioned; historical reports shall remain reproducible.</w:t>
      </w:r>
    </w:p>
    <w:p>
      <w:pPr>
        <w:pStyle w:val="Acceptance"/>
      </w:pPr>
      <w:r>
        <w:rPr>
          <w:b/>
        </w:rPr>
        <w:t>Acceptance:</w:t>
      </w:r>
      <w:r>
        <w:t xml:space="preserve"> A reviewer can recalculate sample indicators from authorised records and distinguish visits, unique people and accepted programme submissions.</w:t>
      </w:r>
    </w:p>
    <w:p>
      <w:pPr>
        <w:pStyle w:val="Requirement"/>
      </w:pPr>
      <w:r>
        <w:t>BR-REP-03  Data freshness and completeness</w:t>
      </w:r>
      <w:r>
        <w:rPr>
          <w:b w:val="0"/>
          <w:sz w:val="19"/>
        </w:rPr>
        <w:t xml:space="preserve">  (Must, R1)</w:t>
      </w:r>
    </w:p>
    <w:p>
      <w:pPr>
        <w:keepNext/>
        <w:keepLines/>
        <w:spacing w:after="60"/>
      </w:pPr>
      <w:r>
        <w:t>Reports shall disclose late arrivals, missing sources, external outages and refresh times. A partially synchronised period shall not look equivalent to a complete reporting period.</w:t>
      </w:r>
    </w:p>
    <w:p>
      <w:pPr>
        <w:pStyle w:val="Acceptance"/>
      </w:pPr>
      <w:r>
        <w:rPr>
          <w:b/>
        </w:rPr>
        <w:t>Acceptance:</w:t>
      </w:r>
      <w:r>
        <w:t xml:space="preserve"> Disconnecting one source produces a visible completeness warning and an explicit affected denominator.</w:t>
      </w:r>
    </w:p>
    <w:p>
      <w:pPr>
        <w:pStyle w:val="Requirement"/>
      </w:pPr>
      <w:r>
        <w:t>BR-REP-04  Privacy-preserving aggregation</w:t>
      </w:r>
      <w:r>
        <w:rPr>
          <w:b w:val="0"/>
          <w:sz w:val="19"/>
        </w:rPr>
        <w:t xml:space="preserve">  (Must, R1)</w:t>
      </w:r>
    </w:p>
    <w:p>
      <w:pPr>
        <w:keepNext/>
        <w:keepLines/>
        <w:spacing w:after="60"/>
      </w:pPr>
      <w:r>
        <w:t>Reports shall enforce audience-specific aggregation and small-cell controls. Patient-level drilldown and exports shall require an approved purpose and separate access.</w:t>
      </w:r>
    </w:p>
    <w:p>
      <w:pPr>
        <w:pStyle w:val="Acceptance"/>
      </w:pPr>
      <w:r>
        <w:rPr>
          <w:b/>
        </w:rPr>
        <w:t>Acceptance:</w:t>
      </w:r>
      <w:r>
        <w:t xml:space="preserve"> Combining filters cannot reveal a suppressed small group or bypass person-level access restrictions.</w:t>
      </w:r>
    </w:p>
    <w:p>
      <w:pPr>
        <w:pStyle w:val="Requirement"/>
      </w:pPr>
      <w:r>
        <w:t>BR-REP-05  Reconciled exports</w:t>
      </w:r>
      <w:r>
        <w:rPr>
          <w:b w:val="0"/>
          <w:sz w:val="19"/>
        </w:rPr>
        <w:t xml:space="preserve">  (Must, R1)</w:t>
      </w:r>
    </w:p>
    <w:p>
      <w:pPr>
        <w:keepNext/>
        <w:keepLines/>
        <w:spacing w:after="60"/>
      </w:pPr>
      <w:r>
        <w:t>Exports shall identify report definition, period, filters, generation time and user, with protected access and expiry where appropriate. Official reporting shall pass a review and submission state distinct from a draft export.</w:t>
      </w:r>
    </w:p>
    <w:p>
      <w:pPr>
        <w:pStyle w:val="Acceptance"/>
      </w:pPr>
      <w:r>
        <w:rPr>
          <w:b/>
        </w:rPr>
        <w:t>Acceptance:</w:t>
      </w:r>
      <w:r>
        <w:t xml:space="preserve"> An exported report reconciles to the displayed governed measure and cannot be downloaded by an unauthorised role.</w:t>
      </w:r>
    </w:p>
    <w:p>
      <w:pPr>
        <w:pStyle w:val="Requirement"/>
      </w:pPr>
      <w:r>
        <w:t>BR-REP-06  Population prioritisation</w:t>
      </w:r>
      <w:r>
        <w:rPr>
          <w:b w:val="0"/>
          <w:sz w:val="19"/>
        </w:rPr>
        <w:t xml:space="preserve">  (Should, R2)</w:t>
      </w:r>
    </w:p>
    <w:p>
      <w:pPr>
        <w:keepNext/>
        <w:keepLines/>
        <w:spacing w:after="60"/>
      </w:pPr>
      <w:r>
        <w:t>Approved risk or gap-analysis tools may identify populations needing review. Such results shall identify data limitations and support human planning rather than automatically denying service or ranking worker pay.</w:t>
      </w:r>
    </w:p>
    <w:p>
      <w:pPr>
        <w:pStyle w:val="Acceptance"/>
      </w:pPr>
      <w:r>
        <w:rPr>
          <w:b/>
        </w:rPr>
        <w:t>Acceptance:</w:t>
      </w:r>
      <w:r>
        <w:t xml:space="preserve"> Supervisors can inspect selection criteria and override an allocation with a reason; uncertainty remains visible.</w:t>
      </w:r>
    </w:p>
    <w:p>
      <w:pPr>
        <w:pStyle w:val="Requirement"/>
      </w:pPr>
      <w:r>
        <w:t>BR-REP-07  Product performance metrics</w:t>
      </w:r>
      <w:r>
        <w:rPr>
          <w:b w:val="0"/>
          <w:sz w:val="19"/>
        </w:rPr>
        <w:t xml:space="preserve">  (Must, R1)</w:t>
      </w:r>
    </w:p>
    <w:p>
      <w:pPr>
        <w:keepNext/>
        <w:keepLines/>
        <w:spacing w:after="60"/>
      </w:pPr>
      <w:r>
        <w:t>The platform shall measure reuse, task completion, corrections, provider usage, sync failures and support burden without storing raw sensitive content in general analytics.</w:t>
      </w:r>
    </w:p>
    <w:p>
      <w:pPr>
        <w:pStyle w:val="Acceptance"/>
      </w:pPr>
      <w:r>
        <w:rPr>
          <w:b/>
        </w:rPr>
        <w:t>Acceptance:</w:t>
      </w:r>
      <w:r>
        <w:t xml:space="preserve"> Product dashboards can support the Section 6 evaluation and contain no unnecessary patient identifiers or recording content.</w:t>
      </w:r>
    </w:p>
    <w:p>
      <w:bookmarkStart w:id="20" w:name="sec_19"/>
      <w:pPr>
        <w:pStyle w:val="Heading1"/>
      </w:pPr>
      <w:r>
        <w:t>19 Administration configuration and support requirements</w:t>
      </w:r>
      <w:bookmarkEnd w:id="20"/>
    </w:p>
    <w:p>
      <w:pPr>
        <w:pStyle w:val="Small"/>
        <w:keepNext/>
      </w:pPr>
      <w:r>
        <w:t>Owner: Deployment operations lead. Scope: BR-OPS requirements support BO5 and BO6.</w:t>
      </w:r>
    </w:p>
    <w:p>
      <w:pPr>
        <w:pStyle w:val="Requirement"/>
      </w:pPr>
      <w:r>
        <w:t>BR-OPS-01  Deployment configuration</w:t>
      </w:r>
      <w:r>
        <w:rPr>
          <w:b w:val="0"/>
          <w:sz w:val="19"/>
        </w:rPr>
        <w:t xml:space="preserve">  (Must, R1)</w:t>
      </w:r>
    </w:p>
    <w:p>
      <w:pPr>
        <w:keepNext/>
        <w:keepLines/>
        <w:spacing w:after="60"/>
      </w:pPr>
      <w:r>
        <w:t>Administrators shall configure organisation, geography, facilities, roles, programmes, languages, provider eligibility and operational limits. Changes shall be scoped to the deployment and validated before activation.</w:t>
      </w:r>
    </w:p>
    <w:p>
      <w:pPr>
        <w:pStyle w:val="Acceptance"/>
      </w:pPr>
      <w:r>
        <w:rPr>
          <w:b/>
        </w:rPr>
        <w:t>Acceptance:</w:t>
      </w:r>
      <w:r>
        <w:t xml:space="preserve"> Updating one tenant's configuration cannot change another tenant's behaviour or data visibility.</w:t>
      </w:r>
    </w:p>
    <w:p>
      <w:pPr>
        <w:pStyle w:val="Requirement"/>
      </w:pPr>
      <w:r>
        <w:t>BR-OPS-02  Separation of environments</w:t>
      </w:r>
      <w:r>
        <w:rPr>
          <w:b w:val="0"/>
          <w:sz w:val="19"/>
        </w:rPr>
        <w:t xml:space="preserve">  (Must, R1)</w:t>
      </w:r>
    </w:p>
    <w:p>
      <w:pPr>
        <w:keepNext/>
        <w:keepLines/>
        <w:spacing w:after="60"/>
      </w:pPr>
      <w:r>
        <w:t>Development, demonstration, training and production environments shall have separate identities, data and credentials. Synthetic data shall be clearly identifiable and blocked from production programme submissions.</w:t>
      </w:r>
    </w:p>
    <w:p>
      <w:pPr>
        <w:pStyle w:val="Acceptance"/>
      </w:pPr>
      <w:r>
        <w:rPr>
          <w:b/>
        </w:rPr>
        <w:t>Acceptance:</w:t>
      </w:r>
      <w:r>
        <w:t xml:space="preserve"> A demonstration record cannot reach a live MIS, and a training account cannot access real patient records.</w:t>
      </w:r>
    </w:p>
    <w:p>
      <w:pPr>
        <w:pStyle w:val="Requirement"/>
      </w:pPr>
      <w:r>
        <w:t>BR-OPS-03  Controlled publishing and rollback</w:t>
      </w:r>
      <w:r>
        <w:rPr>
          <w:b w:val="0"/>
          <w:sz w:val="19"/>
        </w:rPr>
        <w:t xml:space="preserve">  (Must, R1)</w:t>
      </w:r>
    </w:p>
    <w:p>
      <w:pPr>
        <w:keepNext/>
        <w:keepLines/>
        <w:spacing w:after="60"/>
      </w:pPr>
      <w:r>
        <w:t>Programme packs, language content, knowledge sources, model versions and mappings shall use review, approval, publication and rollback states. Sensitive changes require independent approval and an impact summary.</w:t>
      </w:r>
    </w:p>
    <w:p>
      <w:pPr>
        <w:pStyle w:val="Acceptance"/>
      </w:pPr>
      <w:r>
        <w:rPr>
          <w:b/>
        </w:rPr>
        <w:t>Acceptance:</w:t>
      </w:r>
      <w:r>
        <w:t xml:space="preserve"> A failed change is reversible to an approved version while preserving the history of work completed under the changed version.</w:t>
      </w:r>
    </w:p>
    <w:p>
      <w:pPr>
        <w:pStyle w:val="Requirement"/>
      </w:pPr>
      <w:r>
        <w:t>BR-OPS-04  Operational monitoring</w:t>
      </w:r>
      <w:r>
        <w:rPr>
          <w:b w:val="0"/>
          <w:sz w:val="19"/>
        </w:rPr>
        <w:t xml:space="preserve">  (Must, R1)</w:t>
      </w:r>
    </w:p>
    <w:p>
      <w:pPr>
        <w:keepNext/>
        <w:keepLines/>
        <w:spacing w:after="60"/>
      </w:pPr>
      <w:r>
        <w:t>Operators shall monitor platform health, connector failures, pending queues, model availability, permission anomalies and costs. Alerts shall identify severity, affected scope, accountable owner and required response.</w:t>
      </w:r>
    </w:p>
    <w:p>
      <w:pPr>
        <w:pStyle w:val="Acceptance"/>
      </w:pPr>
      <w:r>
        <w:rPr>
          <w:b/>
        </w:rPr>
        <w:t>Acceptance:</w:t>
      </w:r>
      <w:r>
        <w:t xml:space="preserve"> An induced provider outage and a stalled writeback queue reach the correct support owner within the agreed alert target.</w:t>
      </w:r>
    </w:p>
    <w:p>
      <w:pPr>
        <w:pStyle w:val="Requirement"/>
      </w:pPr>
      <w:r>
        <w:t>BR-OPS-05  Support without unnecessary disclosure</w:t>
      </w:r>
      <w:r>
        <w:rPr>
          <w:b w:val="0"/>
          <w:sz w:val="19"/>
        </w:rPr>
        <w:t xml:space="preserve">  (Must, R1)</w:t>
      </w:r>
    </w:p>
    <w:p>
      <w:pPr>
        <w:keepNext/>
        <w:keepLines/>
        <w:spacing w:after="60"/>
      </w:pPr>
      <w:r>
        <w:t>Users shall raise a support case from a failed task using redacted diagnostics. Access to additional patient content shall be limited to authorised support personnel, purpose and duration.</w:t>
      </w:r>
    </w:p>
    <w:p>
      <w:pPr>
        <w:pStyle w:val="Acceptance"/>
      </w:pPr>
      <w:r>
        <w:rPr>
          <w:b/>
        </w:rPr>
        <w:t>Acceptance:</w:t>
      </w:r>
      <w:r>
        <w:t xml:space="preserve"> A routine support agent can diagnose a sync failure without unrestricted patient access; exceptional access is logged and expires.</w:t>
      </w:r>
    </w:p>
    <w:p>
      <w:pPr>
        <w:pStyle w:val="Requirement"/>
      </w:pPr>
      <w:r>
        <w:t>BR-OPS-06  Training and competency</w:t>
      </w:r>
      <w:r>
        <w:rPr>
          <w:b w:val="0"/>
          <w:sz w:val="19"/>
        </w:rPr>
        <w:t xml:space="preserve">  (Must, R1)</w:t>
      </w:r>
    </w:p>
    <w:p>
      <w:pPr>
        <w:keepNext/>
        <w:keepLines/>
        <w:spacing w:after="60"/>
      </w:pPr>
      <w:r>
        <w:t>Training shall cover patient matching, correction, offline states, model limits, escalation and real submission status. Users shall practise in a safe environment and demonstrate core competencies before live activation.</w:t>
      </w:r>
    </w:p>
    <w:p>
      <w:pPr>
        <w:pStyle w:val="Acceptance"/>
      </w:pPr>
      <w:r>
        <w:rPr>
          <w:b/>
        </w:rPr>
        <w:t>Acceptance:</w:t>
      </w:r>
      <w:r>
        <w:t xml:space="preserve"> Activation records show training completion and role-specific competency evidence for the pilot cohort.</w:t>
      </w:r>
    </w:p>
    <w:p>
      <w:pPr>
        <w:pStyle w:val="Requirement"/>
      </w:pPr>
      <w:r>
        <w:t>BR-OPS-07  Data exit and continuity</w:t>
      </w:r>
      <w:r>
        <w:rPr>
          <w:b w:val="0"/>
          <w:sz w:val="19"/>
        </w:rPr>
        <w:t xml:space="preserve">  (Must, R1)</w:t>
      </w:r>
    </w:p>
    <w:p>
      <w:pPr>
        <w:keepNext/>
        <w:keepLines/>
        <w:spacing w:after="60"/>
      </w:pPr>
      <w:r>
        <w:t>The buyer shall be able to export its authorised operational records, configuration and audit evidence in documented formats under the agreement. Provider or platform termination shall include queue disposition and care-task handover.</w:t>
      </w:r>
    </w:p>
    <w:p>
      <w:pPr>
        <w:pStyle w:val="Acceptance"/>
      </w:pPr>
      <w:r>
        <w:rPr>
          <w:b/>
        </w:rPr>
        <w:t>Acceptance:</w:t>
      </w:r>
      <w:r>
        <w:t xml:space="preserve"> An exit rehearsal produces a usable export, a list of unresolved external actions and a named owner for open patient tasks.</w:t>
      </w:r>
    </w:p>
    <w:p>
      <w:pPr>
        <w:pStyle w:val="Requirement"/>
      </w:pPr>
      <w:r>
        <w:t>BR-OPS-08  Repeatable deployment packaging</w:t>
      </w:r>
      <w:r>
        <w:rPr>
          <w:b w:val="0"/>
          <w:sz w:val="19"/>
        </w:rPr>
        <w:t xml:space="preserve">  (Should, R2)</w:t>
      </w:r>
    </w:p>
    <w:p>
      <w:pPr>
        <w:keepNext/>
        <w:keepLines/>
        <w:spacing w:after="60"/>
      </w:pPr>
      <w:r>
        <w:t>A deployment pack shall record approved settings, dependencies, training, tests and operating responsibilities. Country-specific rules shall be configurable without duplicating the entire product.</w:t>
      </w:r>
    </w:p>
    <w:p>
      <w:pPr>
        <w:pStyle w:val="Acceptance"/>
      </w:pPr>
      <w:r>
        <w:rPr>
          <w:b/>
        </w:rPr>
        <w:t>Acceptance:</w:t>
      </w:r>
      <w:r>
        <w:t xml:space="preserve"> A second deployment can be assembled from the pack with explicit local differences and no copied production patient data.</w:t>
      </w:r>
    </w:p>
    <w:p>
      <w:bookmarkStart w:id="21" w:name="sec_20"/>
      <w:pPr>
        <w:pStyle w:val="Heading1"/>
      </w:pPr>
      <w:r>
        <w:t>20 Privacy security and audit requirements</w:t>
      </w:r>
      <w:bookmarkEnd w:id="21"/>
    </w:p>
    <w:p>
      <w:pPr>
        <w:pStyle w:val="Small"/>
        <w:keepNext/>
      </w:pPr>
      <w:r>
        <w:t>Owner: Privacy and security leads, with clinical and programme owners for domain-specific restrictions. Scope: BR-SEC requirements support BO5. The deployment must assess applicable law, contractual controls and effective dates, including India's DPDP framework where relevant [S5]. These requirements are product requirements; they are not a legal determination that a deployment is compliant.</w:t>
      </w:r>
    </w:p>
    <w:p>
      <w:pPr>
        <w:pStyle w:val="Requirement"/>
      </w:pPr>
      <w:r>
        <w:t>BR-SEC-01  Purpose and lawful authority</w:t>
      </w:r>
      <w:r>
        <w:rPr>
          <w:b w:val="0"/>
          <w:sz w:val="19"/>
        </w:rPr>
        <w:t xml:space="preserve">  (Must, R1)</w:t>
      </w:r>
    </w:p>
    <w:p>
      <w:pPr>
        <w:keepNext/>
        <w:keepLines/>
        <w:spacing w:after="60"/>
      </w:pPr>
      <w:r>
        <w:t>Every material data flow shall record its purpose, responsible organisation, applicable authority or processing basis, recipient and retention rule. Consent-based flows shall carry the required consent; other authorised flows shall record their distinct basis.</w:t>
      </w:r>
    </w:p>
    <w:p>
      <w:pPr>
        <w:pStyle w:val="Acceptance"/>
      </w:pPr>
      <w:r>
        <w:rPr>
          <w:b/>
        </w:rPr>
        <w:t>Acceptance:</w:t>
      </w:r>
      <w:r>
        <w:t xml:space="preserve"> A new provider or connector cannot activate without an approved data-flow record, and a user clicking confirm cannot override an absent processing basis.</w:t>
      </w:r>
    </w:p>
    <w:p>
      <w:pPr>
        <w:pStyle w:val="Requirement"/>
      </w:pPr>
      <w:r>
        <w:t>BR-SEC-02  Understandable notice and consent</w:t>
      </w:r>
      <w:r>
        <w:rPr>
          <w:b w:val="0"/>
          <w:sz w:val="19"/>
        </w:rPr>
        <w:t xml:space="preserve">  (Must, R1)</w:t>
      </w:r>
    </w:p>
    <w:p>
      <w:pPr>
        <w:keepNext/>
        <w:keepLines/>
        <w:spacing w:after="60"/>
      </w:pPr>
      <w:r>
        <w:t>Where consent is required, the workflow shall present a reviewed notice in an appropriate language and record scope, notice version, person or authorised representative, decision, time and expiry. Optional use shall be distinguishable from essential service steps.</w:t>
      </w:r>
    </w:p>
    <w:p>
      <w:pPr>
        <w:pStyle w:val="Acceptance"/>
      </w:pPr>
      <w:r>
        <w:rPr>
          <w:b/>
        </w:rPr>
        <w:t>Acceptance:</w:t>
      </w:r>
      <w:r>
        <w:t xml:space="preserve"> Declining an optional AI recording leaves the approved non-AI care workflow available and prevents that media from being sent.</w:t>
      </w:r>
    </w:p>
    <w:p>
      <w:pPr>
        <w:pStyle w:val="Requirement"/>
      </w:pPr>
      <w:r>
        <w:t>BR-SEC-03  Withdrawal and downstream effects</w:t>
      </w:r>
      <w:r>
        <w:rPr>
          <w:b w:val="0"/>
          <w:sz w:val="19"/>
        </w:rPr>
        <w:t xml:space="preserve">  (Must, R1)</w:t>
      </w:r>
    </w:p>
    <w:p>
      <w:pPr>
        <w:keepNext/>
        <w:keepLines/>
        <w:spacing w:after="60"/>
      </w:pPr>
      <w:r>
        <w:t>Withdrawal, expiry or change of authorisation shall stop future affected processing and identify queued, cached and externally held data requiring action. Retention obligations and completed lawful transactions shall be handled under the approved policy.</w:t>
      </w:r>
    </w:p>
    <w:p>
      <w:pPr>
        <w:pStyle w:val="Acceptance"/>
      </w:pPr>
      <w:r>
        <w:rPr>
          <w:b/>
        </w:rPr>
        <w:t>Acceptance:</w:t>
      </w:r>
      <w:r>
        <w:t xml:space="preserve"> Revocation blocks a queued provider upload and produces a traceable disposition record; the system does not claim to erase an external record without evidence.</w:t>
      </w:r>
    </w:p>
    <w:p>
      <w:pPr>
        <w:pStyle w:val="Requirement"/>
      </w:pPr>
      <w:r>
        <w:t>BR-SEC-04  Sensitive data and proxy handling</w:t>
      </w:r>
      <w:r>
        <w:rPr>
          <w:b w:val="0"/>
          <w:sz w:val="19"/>
        </w:rPr>
        <w:t xml:space="preserve">  (Must, R1)</w:t>
      </w:r>
    </w:p>
    <w:p>
      <w:pPr>
        <w:keepNext/>
        <w:keepLines/>
        <w:spacing w:after="60"/>
      </w:pPr>
      <w:r>
        <w:t>The system shall support additional restrictions for sensitive programme information, children, adolescents and proxy relationships as defined for the jurisdiction and care context. Relationship, authority and expiry shall be recorded separately.</w:t>
      </w:r>
    </w:p>
    <w:p>
      <w:pPr>
        <w:pStyle w:val="Acceptance"/>
      </w:pPr>
      <w:r>
        <w:rPr>
          <w:b/>
        </w:rPr>
        <w:t>Acceptance:</w:t>
      </w:r>
      <w:r>
        <w:t xml:space="preserve"> A household member cannot infer restricted information through summaries, notifications, shared schedules or access to another member's encounter.</w:t>
      </w:r>
    </w:p>
    <w:p>
      <w:pPr>
        <w:pStyle w:val="Requirement"/>
      </w:pPr>
      <w:r>
        <w:t>BR-SEC-05  Encryption and secrets</w:t>
      </w:r>
      <w:r>
        <w:rPr>
          <w:b w:val="0"/>
          <w:sz w:val="19"/>
        </w:rPr>
        <w:t xml:space="preserve">  (Must, R1)</w:t>
      </w:r>
    </w:p>
    <w:p>
      <w:pPr>
        <w:keepNext/>
        <w:keepLines/>
        <w:spacing w:after="60"/>
      </w:pPr>
      <w:r>
        <w:t>Sensitive data shall be protected in transit and at rest, including local caches, backups and media. Secrets shall be managed outside client code, prompts, logs and configuration exports, with ownership and rotation procedures.</w:t>
      </w:r>
    </w:p>
    <w:p>
      <w:pPr>
        <w:pStyle w:val="Acceptance"/>
      </w:pPr>
      <w:r>
        <w:rPr>
          <w:b/>
        </w:rPr>
        <w:t>Acceptance:</w:t>
      </w:r>
      <w:r>
        <w:t xml:space="preserve"> Security review finds no usable provider keys in the client bundle or agent context, and local data is unreadable outside the authorised application.</w:t>
      </w:r>
    </w:p>
    <w:p>
      <w:pPr>
        <w:pStyle w:val="Requirement"/>
      </w:pPr>
      <w:r>
        <w:t>BR-SEC-06  Tenant and record isolation</w:t>
      </w:r>
      <w:r>
        <w:rPr>
          <w:b w:val="0"/>
          <w:sz w:val="19"/>
        </w:rPr>
        <w:t xml:space="preserve">  (Must, R1)</w:t>
      </w:r>
    </w:p>
    <w:p>
      <w:pPr>
        <w:keepNext/>
        <w:keepLines/>
        <w:spacing w:after="60"/>
      </w:pPr>
      <w:r>
        <w:t>Isolation shall apply to transactional records, searches, indexes, retrieval stores, reports, file links, backups and asynchronous tasks. High-privilege operations shall require explicit scoped authority.</w:t>
      </w:r>
    </w:p>
    <w:p>
      <w:pPr>
        <w:pStyle w:val="Acceptance"/>
      </w:pPr>
      <w:r>
        <w:rPr>
          <w:b/>
        </w:rPr>
        <w:t>Acceptance:</w:t>
      </w:r>
      <w:r>
        <w:t xml:space="preserve"> Cross-tenant adversarial tests and wrong-record reference tests result in denial with no content disclosure.</w:t>
      </w:r>
    </w:p>
    <w:p>
      <w:pPr>
        <w:pStyle w:val="Requirement"/>
      </w:pPr>
      <w:r>
        <w:t>BR-SEC-07  Safe logs and analytics</w:t>
      </w:r>
      <w:r>
        <w:rPr>
          <w:b w:val="0"/>
          <w:sz w:val="19"/>
        </w:rPr>
        <w:t xml:space="preserve">  (Must, R1)</w:t>
      </w:r>
    </w:p>
    <w:p>
      <w:pPr>
        <w:keepNext/>
        <w:keepLines/>
        <w:spacing w:after="60"/>
      </w:pPr>
      <w:r>
        <w:t>Application logs, crash reports, support exports and usage analytics shall minimise or redact identifiers and clinical content. Necessary sensitive diagnostic records shall have separate access and retention.</w:t>
      </w:r>
    </w:p>
    <w:p>
      <w:pPr>
        <w:pStyle w:val="Acceptance"/>
      </w:pPr>
      <w:r>
        <w:rPr>
          <w:b/>
        </w:rPr>
        <w:t>Acceptance:</w:t>
      </w:r>
      <w:r>
        <w:t xml:space="preserve"> A representative end-to-end test leaves no raw recording, credential or complete patient narrative in general operational telemetry.</w:t>
      </w:r>
    </w:p>
    <w:p>
      <w:pPr>
        <w:pStyle w:val="Requirement"/>
      </w:pPr>
      <w:r>
        <w:t>BR-SEC-08  Audit evidence</w:t>
      </w:r>
      <w:r>
        <w:rPr>
          <w:b w:val="0"/>
          <w:sz w:val="19"/>
        </w:rPr>
        <w:t xml:space="preserve">  (Must, R1)</w:t>
      </w:r>
    </w:p>
    <w:p>
      <w:pPr>
        <w:keepNext/>
        <w:keepLines/>
        <w:spacing w:after="60"/>
      </w:pPr>
      <w:r>
        <w:t>The platform shall record material reads, writes, approvals, AI calls, exports, configuration changes and privileged access with actor, authority, affected object, time, outcome and version. Ordinary users shall not be able to alter audit history.</w:t>
      </w:r>
    </w:p>
    <w:p>
      <w:pPr>
        <w:pStyle w:val="Acceptance"/>
      </w:pPr>
      <w:r>
        <w:rPr>
          <w:b/>
        </w:rPr>
        <w:t>Acceptance:</w:t>
      </w:r>
      <w:r>
        <w:t xml:space="preserve"> An auditor reconstructs a selected encounter and submission from evidence without relying on the chat transcript or provider recollection.</w:t>
      </w:r>
    </w:p>
    <w:p>
      <w:pPr>
        <w:pStyle w:val="Requirement"/>
      </w:pPr>
      <w:r>
        <w:t>BR-SEC-09  Controlled retention and disposal</w:t>
      </w:r>
      <w:r>
        <w:rPr>
          <w:b w:val="0"/>
          <w:sz w:val="19"/>
        </w:rPr>
        <w:t xml:space="preserve">  (Must, R1)</w:t>
      </w:r>
    </w:p>
    <w:p>
      <w:pPr>
        <w:keepNext/>
        <w:keepLines/>
        <w:spacing w:after="60"/>
      </w:pPr>
      <w:r>
        <w:t>Retention shall be specified by record class, purpose, location and jurisdiction, including transcripts, raw audio, model outputs, local caches, audit and backups. Legal holds and clinical record duties shall override routine disposal only through recorded policy.</w:t>
      </w:r>
    </w:p>
    <w:p>
      <w:pPr>
        <w:pStyle w:val="Acceptance"/>
      </w:pPr>
      <w:r>
        <w:rPr>
          <w:b/>
        </w:rPr>
        <w:t>Acceptance:</w:t>
      </w:r>
      <w:r>
        <w:t xml:space="preserve"> Test data expires according to its configured schedule, while held records remain protected and identifiable; backup restoration does not silently revive deleted operational data.</w:t>
      </w:r>
    </w:p>
    <w:p>
      <w:pPr>
        <w:pStyle w:val="Requirement"/>
      </w:pPr>
      <w:r>
        <w:t>BR-SEC-10  Rights and correction workflow</w:t>
      </w:r>
      <w:r>
        <w:rPr>
          <w:b w:val="0"/>
          <w:sz w:val="19"/>
        </w:rPr>
        <w:t xml:space="preserve">  (Must, R1)</w:t>
      </w:r>
    </w:p>
    <w:p>
      <w:pPr>
        <w:keepNext/>
        <w:keepLines/>
        <w:spacing w:after="60"/>
      </w:pPr>
      <w:r>
        <w:t>The deployment shall provide a route for access, correction, grievances and applicable deletion or restriction requests. Identity verification shall be proportionate, and downstream dependencies shall be tracked.</w:t>
      </w:r>
    </w:p>
    <w:p>
      <w:pPr>
        <w:pStyle w:val="Acceptance"/>
      </w:pPr>
      <w:r>
        <w:rPr>
          <w:b/>
        </w:rPr>
        <w:t>Acceptance:</w:t>
      </w:r>
      <w:r>
        <w:t xml:space="preserve"> A test request reaches the responsible organisation, has a due date under its approved policy and closes only with an evidence-backed outcome.</w:t>
      </w:r>
    </w:p>
    <w:p>
      <w:pPr>
        <w:pStyle w:val="Requirement"/>
      </w:pPr>
      <w:r>
        <w:t>BR-SEC-11  Emergency and support access</w:t>
      </w:r>
      <w:r>
        <w:rPr>
          <w:b w:val="0"/>
          <w:sz w:val="19"/>
        </w:rPr>
        <w:t xml:space="preserve">  (Must, R1)</w:t>
      </w:r>
    </w:p>
    <w:p>
      <w:pPr>
        <w:keepNext/>
        <w:keepLines/>
        <w:spacing w:after="60"/>
      </w:pPr>
      <w:r>
        <w:t>Any exceptional access shall have a defined eligible role, reason, time limit, minimum scope and retrospective review. It shall not create permanent access or bypass clinical authority.</w:t>
      </w:r>
    </w:p>
    <w:p>
      <w:pPr>
        <w:pStyle w:val="Acceptance"/>
      </w:pPr>
      <w:r>
        <w:rPr>
          <w:b/>
        </w:rPr>
        <w:t>Acceptance:</w:t>
      </w:r>
      <w:r>
        <w:t xml:space="preserve"> A break-glass event is visible to the designated reviewer and automatically expires; an ordinary worker cannot invoke it unless specifically authorised.</w:t>
      </w:r>
    </w:p>
    <w:p>
      <w:pPr>
        <w:pStyle w:val="Requirement"/>
      </w:pPr>
      <w:r>
        <w:t>BR-SEC-12  Provider and supply-chain assurance</w:t>
      </w:r>
      <w:r>
        <w:rPr>
          <w:b w:val="0"/>
          <w:sz w:val="19"/>
        </w:rPr>
        <w:t xml:space="preserve">  (Must, R1)</w:t>
      </w:r>
    </w:p>
    <w:p>
      <w:pPr>
        <w:keepNext/>
        <w:keepLines/>
        <w:spacing w:after="60"/>
      </w:pPr>
      <w:r>
        <w:t>Providers and critical dependencies shall disclose security controls, subprocessors, incident contacts and material changes. The product shall maintain a dependency inventory and a process for vulnerable or unsupported components.</w:t>
      </w:r>
    </w:p>
    <w:p>
      <w:pPr>
        <w:pStyle w:val="Acceptance"/>
      </w:pPr>
      <w:r>
        <w:rPr>
          <w:b/>
        </w:rPr>
        <w:t>Acceptance:</w:t>
      </w:r>
      <w:r>
        <w:t xml:space="preserve"> An unresolved critical vulnerability affecting the deployment blocks release or disables the affected component until the approved remedy is implemented.</w:t>
      </w:r>
    </w:p>
    <w:p>
      <w:pPr>
        <w:pStyle w:val="Requirement"/>
      </w:pPr>
      <w:r>
        <w:t>BR-SEC-13  Incident response</w:t>
      </w:r>
      <w:r>
        <w:rPr>
          <w:b w:val="0"/>
          <w:sz w:val="19"/>
        </w:rPr>
        <w:t xml:space="preserve">  (Must, R1)</w:t>
      </w:r>
    </w:p>
    <w:p>
      <w:pPr>
        <w:keepNext/>
        <w:keepLines/>
        <w:spacing w:after="60"/>
      </w:pPr>
      <w:r>
        <w:t>Security and privacy incidents shall have triage, containment, evidence preservation, impact assessment and notification responsibilities. The relevant legal and contractual notification windows shall be maintained per deployment rather than hard-coded as a universal rule.</w:t>
      </w:r>
    </w:p>
    <w:p>
      <w:pPr>
        <w:pStyle w:val="Acceptance"/>
      </w:pPr>
      <w:r>
        <w:rPr>
          <w:b/>
        </w:rPr>
        <w:t>Acceptance:</w:t>
      </w:r>
      <w:r>
        <w:t xml:space="preserve"> A tabletop exercise demonstrates who acts, what access is revoked, how affected records are found and how notification decisions are documented.</w:t>
      </w:r>
    </w:p>
    <w:p>
      <w:pPr>
        <w:pStyle w:val="Requirement"/>
      </w:pPr>
      <w:r>
        <w:t>BR-SEC-14  Hosting and cross-border controls</w:t>
      </w:r>
      <w:r>
        <w:rPr>
          <w:b w:val="0"/>
          <w:sz w:val="19"/>
        </w:rPr>
        <w:t xml:space="preserve">  (Must, R1)</w:t>
      </w:r>
    </w:p>
    <w:p>
      <w:pPr>
        <w:keepNext/>
        <w:keepLines/>
        <w:spacing w:after="60"/>
      </w:pPr>
      <w:r>
        <w:t>Approved data locations and transfer restrictions shall apply to primary storage, AI providers, backups, analytics and support access. Region selection shall be enforced across the processing chain.</w:t>
      </w:r>
    </w:p>
    <w:p>
      <w:pPr>
        <w:pStyle w:val="Acceptance"/>
      </w:pPr>
      <w:r>
        <w:rPr>
          <w:b/>
        </w:rPr>
        <w:t>Acceptance:</w:t>
      </w:r>
      <w:r>
        <w:t xml:space="preserve"> A model endpoint or support route outside the deployment's permitted locations is rejected before personal data is transferred.</w:t>
      </w:r>
    </w:p>
    <w:p>
      <w:bookmarkStart w:id="22" w:name="sec_21"/>
      <w:pPr>
        <w:pStyle w:val="Heading1"/>
      </w:pPr>
      <w:r>
        <w:t>21 Action authority and critical business rules</w:t>
      </w:r>
      <w:bookmarkEnd w:id="22"/>
    </w:p>
    <w:p>
      <w:pPr>
        <w:pStyle w:val="Small"/>
        <w:keepNext/>
      </w:pPr>
      <w:r>
        <w:t>Owner: Product owner with programme, clinical and privacy approval. Scope: BR-RULE requirements support BO3, BO4 and BO5.</w:t>
      </w:r>
    </w:p>
    <w:p>
      <w:pPr>
        <w:pStyle w:val="Heading2"/>
      </w:pPr>
      <w:r>
        <w:t>Authority by action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Action class</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Default treatment</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Examples</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Read permitted context</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Automatic within an already authorised task and purpose</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Retrieve assigned patient history or a valid protocol</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Prepare or transform</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Automatic as a visible draft; validate output</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Transcribe, structure notes, map fields or prepare a referral</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Record routine activity</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Worker confirms an encounter bundle under approved policy</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Confirm observations and completed counselling</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Share with an external programme or provider</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Check purpose, recipient and required authorisation; show material disclosure</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Submit visit data or send a recording to an approved model</w:t>
            </w:r>
          </w:p>
        </w:tc>
      </w:tr>
      <w:tr>
        <w:trPr>
          <w:cantSplit/>
          <w:cantSplit/>
        </w:trPr>
        <w:tc>
          <w:tcPr>
            <w:tcW w:type="dxa" w:w="2376"/>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Consequential clinical action</w:t>
            </w:r>
          </w:p>
        </w:tc>
        <w:tc>
          <w:tcPr>
            <w:tcW w:type="dxa" w:w="3917"/>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Qualified authorised person reviews; apply local rules</w:t>
            </w:r>
          </w:p>
        </w:tc>
        <w:tc>
          <w:tcPr>
            <w:tcW w:type="dxa" w:w="3701"/>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Clinical order, treatment decision or action beyond worker scope</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Destructive or administrative change</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Explicit scoped permission and required independent review</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Merge identities, retire a connector or change access policy</w:t>
            </w:r>
          </w:p>
        </w:tc>
      </w:tr>
    </w:tbl>
    <w:p>
      <w:pPr>
        <w:spacing w:after="60" w:before="0" w:line="40" w:lineRule="exact"/>
      </w:pPr>
      <w:r>
        <w:rPr>
          <w:sz w:val="4"/>
        </w:rPr>
      </w:r>
    </w:p>
    <w:p>
      <w:r>
        <w:t>Confirmation should occur at meaningful action boundaries, not through a prompt for every field. An approved visit workflow can capture one explicit confirmation for a transparent bundle of routine actions. A new purpose, changed sensitive information or materially different recipient requires reassessment.</w:t>
      </w:r>
    </w:p>
    <w:p>
      <w:pPr>
        <w:pStyle w:val="Requirement"/>
      </w:pPr>
      <w:r>
        <w:t>BR-RULE-01  No invented facts</w:t>
      </w:r>
      <w:r>
        <w:rPr>
          <w:b w:val="0"/>
          <w:sz w:val="19"/>
        </w:rPr>
        <w:t xml:space="preserve">  (Must, R1)</w:t>
      </w:r>
    </w:p>
    <w:p>
      <w:pPr>
        <w:keepNext/>
        <w:keepLines/>
        <w:spacing w:after="60"/>
      </w:pPr>
      <w:r>
        <w:t>The platform shall never fill an unanswered clinical or programme field with an assumed answer. It may calculate a derived value only where the formula and required inputs are approved and the result is labelled as derived.</w:t>
      </w:r>
    </w:p>
    <w:p>
      <w:pPr>
        <w:pStyle w:val="Acceptance"/>
      </w:pPr>
      <w:r>
        <w:rPr>
          <w:b/>
        </w:rPr>
        <w:t>Acceptance:</w:t>
      </w:r>
      <w:r>
        <w:t xml:space="preserve"> Missing, refused and uncertain inputs remain distinguishable across local records, model calls and outgoing submissions.</w:t>
      </w:r>
    </w:p>
    <w:p>
      <w:pPr>
        <w:pStyle w:val="Requirement"/>
      </w:pPr>
      <w:r>
        <w:t>BR-RULE-02  Patient confirmation before commitment</w:t>
      </w:r>
      <w:r>
        <w:rPr>
          <w:b w:val="0"/>
          <w:sz w:val="19"/>
        </w:rPr>
        <w:t xml:space="preserve">  (Must, R1)</w:t>
      </w:r>
    </w:p>
    <w:p>
      <w:pPr>
        <w:keepNext/>
        <w:keepLines/>
        <w:spacing w:after="60"/>
      </w:pPr>
      <w:r>
        <w:t>The workflow shall require a positive person-context check before confirming an encounter or sending a patient-specific external action. Ambiguous identity shall restrict action to the allowed provisional workflow.</w:t>
      </w:r>
    </w:p>
    <w:p>
      <w:pPr>
        <w:pStyle w:val="Acceptance"/>
      </w:pPr>
      <w:r>
        <w:rPr>
          <w:b/>
        </w:rPr>
        <w:t>Acceptance:</w:t>
      </w:r>
      <w:r>
        <w:t xml:space="preserve"> A deliberately ambiguous match cannot create an authoritative programme update until the identity requirement is resolved.</w:t>
      </w:r>
    </w:p>
    <w:p>
      <w:pPr>
        <w:pStyle w:val="Requirement"/>
      </w:pPr>
      <w:r>
        <w:t>BR-RULE-03  Review depends on unchanged evidence</w:t>
      </w:r>
      <w:r>
        <w:rPr>
          <w:b w:val="0"/>
          <w:sz w:val="19"/>
        </w:rPr>
        <w:t xml:space="preserve">  (Must, R1)</w:t>
      </w:r>
    </w:p>
    <w:p>
      <w:pPr>
        <w:keepNext/>
        <w:keepLines/>
        <w:spacing w:after="60"/>
      </w:pPr>
      <w:r>
        <w:t>An approval shall be bound to the material facts, intended action, destination and relevant versions reviewed. Material changes shall invalidate it and require an appropriate new review.</w:t>
      </w:r>
    </w:p>
    <w:p>
      <w:pPr>
        <w:pStyle w:val="Acceptance"/>
      </w:pPr>
      <w:r>
        <w:rPr>
          <w:b/>
        </w:rPr>
        <w:t>Acceptance:</w:t>
      </w:r>
      <w:r>
        <w:t xml:space="preserve"> Editing a measurement after referral approval prevents silent use of the previous approval for a changed recommendation.</w:t>
      </w:r>
    </w:p>
    <w:p>
      <w:pPr>
        <w:pStyle w:val="Requirement"/>
      </w:pPr>
      <w:r>
        <w:t>BR-RULE-04  Honest completion and cancellation</w:t>
      </w:r>
      <w:r>
        <w:rPr>
          <w:b w:val="0"/>
          <w:sz w:val="19"/>
        </w:rPr>
        <w:t xml:space="preserve">  (Must, R1)</w:t>
      </w:r>
    </w:p>
    <w:p>
      <w:pPr>
        <w:keepNext/>
        <w:keepLines/>
        <w:spacing w:after="60"/>
      </w:pPr>
      <w:r>
        <w:t>Local completion, external acceptance and service completion shall be distinct. Cancelling a local task shall not falsely cancel an accepted external transaction; a separate authorised correction or cancellation request is required.</w:t>
      </w:r>
    </w:p>
    <w:p>
      <w:pPr>
        <w:pStyle w:val="Acceptance"/>
      </w:pPr>
      <w:r>
        <w:rPr>
          <w:b/>
        </w:rPr>
        <w:t>Acceptance:</w:t>
      </w:r>
      <w:r>
        <w:t xml:space="preserve"> Cancellation after submission reports the actual destination state and generates any remaining reversal task.</w:t>
      </w:r>
    </w:p>
    <w:p>
      <w:pPr>
        <w:pStyle w:val="Requirement"/>
      </w:pPr>
      <w:r>
        <w:t>BR-RULE-05  No false model equivalence</w:t>
      </w:r>
      <w:r>
        <w:rPr>
          <w:b w:val="0"/>
          <w:sz w:val="19"/>
        </w:rPr>
        <w:t xml:space="preserve">  (Must, R1)</w:t>
      </w:r>
    </w:p>
    <w:p>
      <w:pPr>
        <w:keepNext/>
        <w:keepLines/>
        <w:spacing w:after="60"/>
      </w:pPr>
      <w:r>
        <w:t>Provider outputs shall retain their meaning and intended use. Confidence scores from different models shall not be treated as directly comparable without an approved interpretation and evaluation.</w:t>
      </w:r>
    </w:p>
    <w:p>
      <w:pPr>
        <w:pStyle w:val="Acceptance"/>
      </w:pPr>
      <w:r>
        <w:rPr>
          <w:b/>
        </w:rPr>
        <w:t>Acceptance:</w:t>
      </w:r>
      <w:r>
        <w:t xml:space="preserve"> A multi-model result screen avoids a fabricated common score and presents the required review path for disagreement.</w:t>
      </w:r>
    </w:p>
    <w:p>
      <w:pPr>
        <w:pStyle w:val="Requirement"/>
      </w:pPr>
      <w:r>
        <w:t>BR-RULE-06  Rechecks at execution time</w:t>
      </w:r>
      <w:r>
        <w:rPr>
          <w:b w:val="0"/>
          <w:sz w:val="19"/>
        </w:rPr>
        <w:t xml:space="preserve">  (Must, R1)</w:t>
      </w:r>
    </w:p>
    <w:p>
      <w:pPr>
        <w:keepNext/>
        <w:keepLines/>
        <w:spacing w:after="60"/>
      </w:pPr>
      <w:r>
        <w:t>Permission, person linkage, capability status and relevant authorisation shall be checked immediately before an external action, even if planning occurred earlier.</w:t>
      </w:r>
    </w:p>
    <w:p>
      <w:pPr>
        <w:pStyle w:val="Acceptance"/>
      </w:pPr>
      <w:r>
        <w:rPr>
          <w:b/>
        </w:rPr>
        <w:t>Acceptance:</w:t>
      </w:r>
      <w:r>
        <w:t xml:space="preserve"> Revoking a worker's role between drafting and execution blocks the pending action and preserves it for authorised reassignment.</w:t>
      </w:r>
    </w:p>
    <w:p>
      <w:pPr>
        <w:pStyle w:val="Requirement"/>
      </w:pPr>
      <w:r>
        <w:t>BR-RULE-07  No experimental output in care</w:t>
      </w:r>
      <w:r>
        <w:rPr>
          <w:b w:val="0"/>
          <w:sz w:val="19"/>
        </w:rPr>
        <w:t xml:space="preserve">  (Must, R1)</w:t>
      </w:r>
    </w:p>
    <w:p>
      <w:pPr>
        <w:keepNext/>
        <w:keepLines/>
        <w:spacing w:after="60"/>
      </w:pPr>
      <w:r>
        <w:t>Training, synthetic, shadow or unapproved model results shall be segregated from the operational care record and shall not influence user-visible clinical action lists.</w:t>
      </w:r>
    </w:p>
    <w:p>
      <w:pPr>
        <w:pStyle w:val="Acceptance"/>
      </w:pPr>
      <w:r>
        <w:rPr>
          <w:b/>
        </w:rPr>
        <w:t>Acceptance:</w:t>
      </w:r>
      <w:r>
        <w:t xml:space="preserve"> An experimental high-risk result cannot trigger a live referral or patient notification outside an explicitly authorised evaluation protocol.</w:t>
      </w:r>
    </w:p>
    <w:p>
      <w:pPr>
        <w:pStyle w:val="Requirement"/>
      </w:pPr>
      <w:r>
        <w:t>BR-RULE-08  No silent adverse allocation</w:t>
      </w:r>
      <w:r>
        <w:rPr>
          <w:b w:val="0"/>
          <w:sz w:val="19"/>
        </w:rPr>
        <w:t xml:space="preserve">  (Must, R1)</w:t>
      </w:r>
    </w:p>
    <w:p>
      <w:pPr>
        <w:keepNext/>
        <w:keepLines/>
        <w:spacing w:after="60"/>
      </w:pPr>
      <w:r>
        <w:t>The agent shall not independently deny services, sanction benefits, determine worker incentives or impose employment consequences. Any later support for such decisions requires a separately approved scope and review process.</w:t>
      </w:r>
    </w:p>
    <w:p>
      <w:pPr>
        <w:pStyle w:val="Acceptance"/>
      </w:pPr>
      <w:r>
        <w:rPr>
          <w:b/>
        </w:rPr>
        <w:t>Acceptance:</w:t>
      </w:r>
      <w:r>
        <w:t xml:space="preserve"> Requests for an automatic denial or sanction produce no operational transaction and identify the required authority.</w:t>
      </w:r>
    </w:p>
    <w:p>
      <w:bookmarkStart w:id="23" w:name="sec_22"/>
      <w:pPr>
        <w:pStyle w:val="Heading1"/>
      </w:pPr>
      <w:r>
        <w:t>22 End to end business journeys</w:t>
      </w:r>
      <w:bookmarkEnd w:id="23"/>
    </w:p>
    <w:p>
      <w:r>
        <w:t>All named patients below are fictional examples. These journeys define expected product behaviour; clinical actions depend on the locally approved protocol. Each journey must be expanded into normal, negative, interruption and recovery test cases in the FSD and test catalogue.</w:t>
      </w:r>
    </w:p>
    <w:p>
      <w:pPr>
        <w:pStyle w:val="Heading2"/>
      </w:pPr>
      <w:r>
        <w:t>J01 Multi programme ASHA home visit</w:t>
      </w:r>
    </w:p>
    <w:p>
      <w:r/>
      <w:r>
        <w:rPr>
          <w:b/>
        </w:rPr>
        <w:t>Actors and preconditions.</w:t>
      </w:r>
      <w:r>
        <w:t xml:space="preserve"> An active ASHA has an assigned household, a valid access grant and enabled maternal, TB and hypertension packs. Prior records and external identifiers are available only where authorised. The person may lack a national identifier. The application displays whether programme sources are current, cached or unavailable.</w:t>
      </w:r>
    </w:p>
    <w:p>
      <w:r/>
      <w:r>
        <w:rPr>
          <w:b/>
        </w:rPr>
        <w:t>Trigger.</w:t>
      </w:r>
      <w:r>
        <w:t xml:space="preserve"> The ASHA opens the household, confirms Sita's identity and starts Sita's encounter. Sita reports symptoms and a missed scheduled visit. A second household member has a separate follow-up task; the system keeps the two records separate.</w:t>
      </w:r>
    </w:p>
    <w:p>
      <w:r/>
      <w:r>
        <w:rPr>
          <w:b/>
        </w:rPr>
        <w:t>Main flow.</w:t>
      </w:r>
      <w:r>
        <w:t xml:space="preserve"> The application retrieves reusable facts and assembles applicable questions. The ASHA speaks or enters the visit narrative. The platform creates draft structured fields, highlights uncertainty and asks the combined missing questions. The ASHA confirms facts and records any protocol-required new measurements. Approved rules identify the actions and whether a capability may help. The worker sees the relevant data use and obtains any required authorisation. Eligible tools run, with result quality and limitations visible. The workspace presents a coordinated action plan and an encounter summary. The worker confirms permitted activities; any clinical decision beyond their scope goes to the appropriate reviewer. Each external update is submitted separately and its receipt shown.</w:t>
      </w:r>
    </w:p>
    <w:p>
      <w:r/>
      <w:r>
        <w:rPr>
          <w:b/>
        </w:rPr>
        <w:t>Exceptions.</w:t>
      </w:r>
      <w:r>
        <w:t xml:space="preserve"> If patient identity is uncertain, the platform retains a provisional record and blocks unauthorised linkage. If the patient declines audio, the structured pathway continues. If a destination is offline, that update remains pending while other permitted work continues. If an urgent protocol condition is present, escalation takes precedence over completing forms or waiting for AI.</w:t>
      </w:r>
    </w:p>
    <w:p>
      <w:r/>
      <w:r>
        <w:rPr>
          <w:b/>
        </w:rPr>
        <w:t>Completion and evidence.</w:t>
      </w:r>
      <w:r>
        <w:t xml:space="preserve"> The local encounter has a confirmed version; each destination has an independent state; every open referral has an owner; uncompleted programme tasks remain visible. Acceptance links: BR-UX-01 to 09, BR-ID-05 to 08, BR-DATA-01 to 10, BR-PROG-02 to 06, BR-INT-03 to 05 and BR-CARE-01 to 05.</w:t>
      </w:r>
    </w:p>
    <w:p>
      <w:pPr>
        <w:pStyle w:val="Heading2"/>
      </w:pPr>
      <w:r>
        <w:t>J02 Using a cough analysis capability</w:t>
      </w:r>
    </w:p>
    <w:p>
      <w:r/>
      <w:r>
        <w:rPr>
          <w:b/>
        </w:rPr>
        <w:t>Actors and preconditions.</w:t>
      </w:r>
      <w:r>
        <w:t xml:space="preserve"> A permitted user is conducting an eligible symptom assessment. The provider, version, population, device, recording method and purpose are approved for this deployment. Required patient authorisation is present. Clinical evidence for the specific capability has been reviewed; an API being available is insufficient.</w:t>
      </w:r>
    </w:p>
    <w:p>
      <w:r/>
      <w:r>
        <w:rPr>
          <w:b/>
        </w:rPr>
        <w:t>Main flow.</w:t>
      </w:r>
      <w:r>
        <w:t xml:space="preserve"> The platform explains the capture task and uses the provider's approved recording instructions. The user confirms the active patient, captures audio and reviews quality feedback. The platform sends the minimum approved payload. It tracks the request until completion, quality failure, timeout or inability to assess. A valid output is displayed with provider, version, intended use and limitations. The approved clinical workflow interprets its role alongside symptoms and history. An authorised user records any resulting decision separately from the AI output.</w:t>
      </w:r>
    </w:p>
    <w:p>
      <w:r/>
      <w:r>
        <w:rPr>
          <w:b/>
        </w:rPr>
        <w:t>Exceptions.</w:t>
      </w:r>
      <w:r>
        <w:t xml:space="preserve"> A poor recording produces a specific retry instruction. No eligible model produces an explicit unavailable state and the approved non-AI pathway. An unsupported age, language, device or use blocks invocation. Provider failure is not reported as a negative screen. A low-risk model result does not override an independently required escalation. A later model suspension identifies related open cases for review.</w:t>
      </w:r>
    </w:p>
    <w:p>
      <w:r/>
      <w:r>
        <w:rPr>
          <w:b/>
        </w:rPr>
        <w:t>Completion and evidence.</w:t>
      </w:r>
      <w:r>
        <w:t xml:space="preserve"> The encounter retains the capture context, eligibility decision, invocation and result or failure state. Each action cites its accountable source. Acceptance links: BR-AG-03, 08 and 09; BR-AI-02 to 10; BR-CLIN-02 to 08; BR-SEC-01 to 03.</w:t>
      </w:r>
    </w:p>
    <w:p>
      <w:pPr>
        <w:pStyle w:val="Heading2"/>
      </w:pPr>
      <w:r>
        <w:t>J03 Offline visit followed by partial synchronisation</w:t>
      </w:r>
    </w:p>
    <w:p>
      <w:r/>
      <w:r>
        <w:rPr>
          <w:b/>
        </w:rPr>
        <w:t>Actors and preconditions.</w:t>
      </w:r>
      <w:r>
        <w:t xml:space="preserve"> The worker has a valid offline grant and a scoped cached caseload. Device storage is sufficient. A protocol and its expiry are available locally; cloud AI is unavailable.</w:t>
      </w:r>
    </w:p>
    <w:p>
      <w:r/>
      <w:r>
        <w:rPr>
          <w:b/>
        </w:rPr>
        <w:t>Main flow.</w:t>
      </w:r>
      <w:r>
        <w:t xml:space="preserve"> The worker confirms the patient, records observations and completes the allowed offline workflow. The application clearly marks any model request as pending and uses only valid local guidance. Confirmed records are saved durably and assigned stable local identifiers. On reconnection, access, patient links, authorisation and tool status are rechecked. The server accepts the encounter. Programme A accepts its update; programme B times out. The application shows one accepted update and one uncertain outcome. Reconciliation checks B's status before any retry. Any clinical action affected by stale data or protocol changes returns for review.</w:t>
      </w:r>
    </w:p>
    <w:p>
      <w:r/>
      <w:r>
        <w:rPr>
          <w:b/>
        </w:rPr>
        <w:t>Exceptions.</w:t>
      </w:r>
      <w:r>
        <w:t xml:space="preserve"> Expiry of the offline grant locks cached records; emergency guidance and the existing local downtime process remain separately available as configured. Low storage blocks further recording with a clear warning rather than discarding earlier work. A revoked media-sharing permission cancels the upload. An identity conflict prevents external updates until resolution.</w:t>
      </w:r>
    </w:p>
    <w:p>
      <w:r/>
      <w:r>
        <w:rPr>
          <w:b/>
        </w:rPr>
        <w:t>Completion and evidence.</w:t>
      </w:r>
      <w:r>
        <w:t xml:space="preserve"> No duplicate external event is created; unresolved work is assigned; acknowledged records survive restart; revalidation results are logged. Acceptance links: BR-OFF-01 to 08, BR-INT-04 to 06, BR-RULE-03 and 06, NFR-04, 05 and 11.</w:t>
      </w:r>
    </w:p>
    <w:p>
      <w:pPr>
        <w:pStyle w:val="Heading2"/>
      </w:pPr>
      <w:r>
        <w:t>J04 Supervisor resolves a wrong patient link</w:t>
      </w:r>
    </w:p>
    <w:p>
      <w:r/>
      <w:r>
        <w:rPr>
          <w:b/>
        </w:rPr>
        <w:t>Actors and preconditions.</w:t>
      </w:r>
      <w:r>
        <w:t xml:space="preserve"> A worker flags an apparent mismatch. An authorised supervisor or identity steward can review the necessary identifiers and evidence. At least one previous update may have reached an external programme.</w:t>
      </w:r>
    </w:p>
    <w:p>
      <w:r/>
      <w:r>
        <w:rPr>
          <w:b/>
        </w:rPr>
        <w:t>Main flow.</w:t>
      </w:r>
      <w:r>
        <w:t xml:space="preserve"> The platform places affected future actions on hold. The reviewer compares original sources and confirms the correct linkage or preserves separate people if identity remains uncertain. The correction creates a new link version, marks affected AI outputs and submissions, and generates destination-specific repair tasks. Programme owners process corrections through their authorised interface. The supervisor confirms local reassignment and records unresolved external state.</w:t>
      </w:r>
    </w:p>
    <w:p>
      <w:r/>
      <w:r>
        <w:rPr>
          <w:b/>
        </w:rPr>
        <w:t>Exceptions.</w:t>
      </w:r>
      <w:r>
        <w:t xml:space="preserve"> The reviewer lacks authority to change an external identifier; the system escalates to the owner. The destination has no automated amendment interface; an assisted correction is tracked with evidence. Existing clinical records are not silently deleted or reassigned.</w:t>
      </w:r>
    </w:p>
    <w:p>
      <w:r/>
      <w:r>
        <w:rPr>
          <w:b/>
        </w:rPr>
        <w:t>Completion and evidence.</w:t>
      </w:r>
      <w:r>
        <w:t xml:space="preserve"> The original link, corrected link, reason, reviewers, affected records and external repair receipts are traceable. Acceptance links: BR-ID-05 and 08, BR-DATA-06 and 07, BR-INT-05 and 06, BR-SEC-08 and 10.</w:t>
      </w:r>
    </w:p>
    <w:p>
      <w:pPr>
        <w:pStyle w:val="Heading2"/>
      </w:pPr>
      <w:r>
        <w:t>J05 Add and later suspend an AI provider</w:t>
      </w:r>
    </w:p>
    <w:p>
      <w:r/>
      <w:r>
        <w:rPr>
          <w:b/>
        </w:rPr>
        <w:t>Actors and preconditions.</w:t>
      </w:r>
      <w:r>
        <w:t xml:space="preserve"> A provider owner, integration owner and AI governance owner participate. Clinical and privacy reviewers are involved where the intended use requires them. The provider supplies a complete manifest and testing credentials.</w:t>
      </w:r>
    </w:p>
    <w:p>
      <w:r/>
      <w:r>
        <w:rPr>
          <w:b/>
        </w:rPr>
        <w:t>Main flow.</w:t>
      </w:r>
      <w:r>
        <w:t xml:space="preserve"> Technical testing checks contracts, quality states, asynchronous responses, duplicate handling and failures. Privacy review checks required inputs, retention, training use and data location. Clinical review evaluates the model and the proposed combined workflow. The deployment owner activates a specific version for a limited scope. Initial monitoring checks errors, usability and safety reports. A material incident then triggers a scoped suspension, stopping new calls and assessing in-progress work. The affected case list reaches assigned clinical or programme reviewers. A corrected version follows review and staged activation.</w:t>
      </w:r>
    </w:p>
    <w:p>
      <w:r/>
      <w:r>
        <w:rPr>
          <w:b/>
        </w:rPr>
        <w:t>Exceptions.</w:t>
      </w:r>
      <w:r>
        <w:t xml:space="preserve"> Incomplete evidence keeps the provider in review. Undisclosed version changes trigger a hold. Another provider may take over only if approved for the same intended workflow; the agent cannot select an arbitrary replacement for continuity.</w:t>
      </w:r>
    </w:p>
    <w:p>
      <w:r/>
      <w:r>
        <w:rPr>
          <w:b/>
        </w:rPr>
        <w:t>Completion and evidence.</w:t>
      </w:r>
      <w:r>
        <w:t xml:space="preserve"> Technical verification, data-use approval and deployment authorisation remain separately visible. Historical encounters retain the original provider version. Acceptance links: BR-AI-01 to 12, BR-CLIN-06 to 08, BR-OPS-03 and 04.</w:t>
      </w:r>
    </w:p>
    <w:p>
      <w:pPr>
        <w:pStyle w:val="Heading2"/>
      </w:pPr>
      <w:r>
        <w:t>J06 Programme manager examines service gaps</w:t>
      </w:r>
    </w:p>
    <w:p>
      <w:r/>
      <w:r>
        <w:rPr>
          <w:b/>
        </w:rPr>
        <w:t>Actors and preconditions.</w:t>
      </w:r>
      <w:r>
        <w:t xml:space="preserve"> A scoped manager has access to a governed report. Natural-language analysis is R2; standard operational reports support R1. The relevant reporting period and source completeness are available.</w:t>
      </w:r>
    </w:p>
    <w:p>
      <w:r/>
      <w:r>
        <w:rPr>
          <w:b/>
        </w:rPr>
        <w:t>Main flow.</w:t>
      </w:r>
      <w:r>
        <w:t xml:space="preserve"> The manager selects the period and programme or asks an authorised question. The platform uses approved measure definitions, distinguishes unique people from encounters and reveals delayed sources. Aggregates respect small-cell rules. Any patient-level follow-up list requires specific permission. The manager assigns permitted operational review tasks and records the reason; the system does not automatically deny services or penalise workers.</w:t>
      </w:r>
    </w:p>
    <w:p>
      <w:r/>
      <w:r>
        <w:rPr>
          <w:b/>
        </w:rPr>
        <w:t>Exceptions.</w:t>
      </w:r>
      <w:r>
        <w:t xml:space="preserve"> Missing data produces a qualified result. A question requiring unavailable ground truth is answered as unsupported. Small cohorts remain protected across repeated queries. A proposed outreach channel checks patient privacy preferences before sending.</w:t>
      </w:r>
    </w:p>
    <w:p>
      <w:r/>
      <w:r>
        <w:rPr>
          <w:b/>
        </w:rPr>
        <w:t>Completion and evidence.</w:t>
      </w:r>
      <w:r>
        <w:t xml:space="preserve"> The report, cohort, filters, definition version and actions are reproducible. Acceptance links: BR-REP-01 to 07, BR-AG-11, BR-SEC-06 to 08 and BR-RULE-08.</w:t>
      </w:r>
    </w:p>
    <w:p>
      <w:pPr>
        <w:pStyle w:val="Heading2"/>
      </w:pPr>
      <w:r>
        <w:t>J07 Withdrawal before a pending provider upload</w:t>
      </w:r>
    </w:p>
    <w:p>
      <w:r/>
      <w:r>
        <w:rPr>
          <w:b/>
        </w:rPr>
        <w:t>Actors and preconditions.</w:t>
      </w:r>
      <w:r>
        <w:t xml:space="preserve"> A recording was captured offline for a specific optional capability and has not yet been sent. The patient withdraws that permission through an approved local route. The worker remains authorised to provide the underlying non-AI service.</w:t>
      </w:r>
    </w:p>
    <w:p>
      <w:r/>
      <w:r>
        <w:rPr>
          <w:b/>
        </w:rPr>
        <w:t>Main flow.</w:t>
      </w:r>
      <w:r>
        <w:t xml:space="preserve"> The withdrawal is recorded against the original purpose and notice. Local queued media is blocked immediately where the device knows of the withdrawal. On reconnection, the server rejects any affected upload and propagates the changed status to other relevant online devices. The recording is disposed of under the approved rule or held only for a separate documented obligation. The care task continues through the approved alternative workflow.</w:t>
      </w:r>
    </w:p>
    <w:p>
      <w:r/>
      <w:r>
        <w:rPr>
          <w:b/>
        </w:rPr>
        <w:t>Exceptions.</w:t>
      </w:r>
      <w:r>
        <w:t xml:space="preserve"> If a provider already received the recording, the system initiates the applicable downstream restriction or deletion process and tracks confirmation. It does not claim retroactive prevention or instantaneous deletion from disconnected devices and backups.</w:t>
      </w:r>
    </w:p>
    <w:p>
      <w:r/>
      <w:r>
        <w:rPr>
          <w:b/>
        </w:rPr>
        <w:t>Completion and evidence.</w:t>
      </w:r>
      <w:r>
        <w:t xml:space="preserve"> The withdrawal, affected items, prevented calls and any unresolved external disposal are visible to the responsible privacy team. Acceptance links: BR-SEC-01 to 04 and 09, BR-OFF-03, 04 and 06, BR-RULE-06.</w:t>
      </w:r>
    </w:p>
    <w:p>
      <w:pPr>
        <w:pStyle w:val="Heading2"/>
      </w:pPr>
      <w:r>
        <w:rPr>
          <w:rFonts w:ascii="Arial" w:hAnsi="Arial"/>
        </w:rPr>
        <w:t>J08 Multi AI clinical consultation with EHR writeback</w:t>
      </w:r>
    </w:p>
    <w:p>
      <w:pPr/>
      <w:r>
        <w:rPr>
          <w:rFonts w:ascii="Arial" w:hAnsi="Arial"/>
        </w:rPr>
        <w:t>Actors and preconditions. A clinician and nurse use an authorised facility EHR connector. Retinal imaging and ECG capabilities from separate approved providers are active for their respective intended uses. The patient identity, device associations and processing authority are confirmed.</w:t>
      </w:r>
    </w:p>
    <w:p>
      <w:pPr/>
      <w:r>
        <w:rPr>
          <w:rFonts w:ascii="Arial" w:hAnsi="Arial"/>
        </w:rPr>
        <w:t>Main flow. The nurse opens the existing EHR patient through the shared workspace and records history and measurements once. The platform retrieves permitted context, sends each eligible input to the correct provider and keeps the outputs distinct. The clinician reviews the source images or traces, model limitations and clinical context, records the interpretation and authorises the care plan. The platform writes the reviewed consultation, results and orders to the EHR and prepares applicable ABDM clinical artefacts.</w:t>
      </w:r>
    </w:p>
    <w:p>
      <w:pPr/>
      <w:r>
        <w:rPr>
          <w:rFonts w:ascii="Arial" w:hAnsi="Arial"/>
        </w:rPr>
        <w:t>Exceptions. Unusable media triggers task-specific recapture. A provider timeout does not become a negative result. An unsupported device or population blocks that invocation. If the EHR rejects one record, other accepted records remain valid and the rejected item enters reconciliation.</w:t>
      </w:r>
    </w:p>
    <w:p>
      <w:pPr/>
      <w:r>
        <w:rPr>
          <w:rFonts w:ascii="Arial" w:hAnsi="Arial"/>
        </w:rPr>
        <w:t>Completion and evidence. The EHR acknowledgement, model versions, clinician decision and any ABDM publication state are separately traceable. Acceptance links: BR-AI-01 to 12, BR-CLIN-01 to 08, BR-INT-11, 12, 17, 20 and 21.</w:t>
      </w:r>
    </w:p>
    <w:p>
      <w:pPr>
        <w:pStyle w:val="Heading2"/>
      </w:pPr>
      <w:r>
        <w:rPr>
          <w:rFonts w:ascii="Arial" w:hAnsi="Arial"/>
        </w:rPr>
        <w:t>J09 Consented ABDM record retrieval and publication</w:t>
      </w:r>
    </w:p>
    <w:p>
      <w:pPr/>
      <w:r>
        <w:rPr>
          <w:rFonts w:ascii="Arial" w:hAnsi="Arial"/>
        </w:rPr>
        <w:t>Actors and preconditions. A registered facility is authorised for the configured ABDM roles. The patient has an appropriate ABHA address and the requested exchange requires a valid consent artefact. The relevant HIP and HIU paths have passed the agreed environment tests.</w:t>
      </w:r>
    </w:p>
    <w:p>
      <w:pPr/>
      <w:r>
        <w:rPr>
          <w:rFonts w:ascii="Arial" w:hAnsi="Arial"/>
        </w:rPr>
        <w:t>Main flow. The clinician requests only the record types and period needed for the stated care purpose. The platform tracks the consent request, validates the approved artefact and receives encrypted health information through the authorised flow. The records are validated, displayed with source and date, and incorporated into the encounter without overwriting local content. After care, the platform creates the approved clinical artefact and makes it available through the configured HIP path.</w:t>
      </w:r>
    </w:p>
    <w:p>
      <w:pPr/>
      <w:r>
        <w:rPr>
          <w:rFonts w:ascii="Arial" w:hAnsi="Arial"/>
        </w:rPr>
        <w:t>Exceptions. Declined, expired or revoked consent stops retrieval. A mismatched ABHA or invalid bundle enters review. No record is fabricated when another HIP does not respond. Care continues using the authorised local pathway where possible.</w:t>
      </w:r>
    </w:p>
    <w:p>
      <w:pPr/>
      <w:r>
        <w:rPr>
          <w:rFonts w:ascii="Arial" w:hAnsi="Arial"/>
        </w:rPr>
        <w:t>Completion and evidence. Consent, request, data-flow, validation, clinical use, publication and acknowledgements are independently auditable. Acceptance links: BR-INT-13 to 19, BR-SEC-01 to 10 and NFR-20, 25 and 26.</w:t>
      </w:r>
    </w:p>
    <w:p>
      <w:pPr>
        <w:pStyle w:val="Heading2"/>
      </w:pPr>
      <w:r>
        <w:rPr>
          <w:rFonts w:ascii="Arial" w:hAnsi="Arial"/>
        </w:rPr>
        <w:t>J10 Cross facility referral and diagnostic return</w:t>
      </w:r>
    </w:p>
    <w:p>
      <w:pPr/>
      <w:r>
        <w:rPr>
          <w:rFonts w:ascii="Arial" w:hAnsi="Arial"/>
        </w:rPr>
        <w:t>Actors and preconditions. A referring worker or clinician can create a referral. The receiving facility has an authorised direct EHR connector, ABDM exchange route or controlled document pathway. Service and responsibility directories are current.</w:t>
      </w:r>
    </w:p>
    <w:p>
      <w:pPr/>
      <w:r>
        <w:rPr>
          <w:rFonts w:ascii="Arial" w:hAnsi="Arial"/>
        </w:rPr>
        <w:t>Main flow. The platform creates a service request with the verified identity, referral reason and minimum relevant observations. The receiving facility acknowledges receipt and adds its assessment and diagnostic result in its own EHR. The result returns through the available authorised route, is reconciled to the original referral and creates the next task for the responsible person.</w:t>
      </w:r>
    </w:p>
    <w:p>
      <w:pPr/>
      <w:r>
        <w:rPr>
          <w:rFonts w:ascii="Arial" w:hAnsi="Arial"/>
        </w:rPr>
        <w:t>Exceptions. If the destination cannot accept structured referrals, the platform produces a labelled document or assisted hand-off. Identity uncertainty blocks disclosure. Missing attendance or result evidence leaves the referral open. A returned result for the wrong person is quarantined and investigated.</w:t>
      </w:r>
    </w:p>
    <w:p>
      <w:pPr/>
      <w:r>
        <w:rPr>
          <w:rFonts w:ascii="Arial" w:hAnsi="Arial"/>
        </w:rPr>
        <w:t>Completion and evidence. Sent, received, scheduled, attended, resulted and closed remain separate states with their evidence source. Acceptance links: BR-CARE-01 to 08, BR-INT-03 to 06, BR-INT-11, 12, 20 to 23 and BR-ID-05 to 08.</w:t>
      </w:r>
    </w:p>
    <w:p>
      <w:pPr>
        <w:pStyle w:val="Heading2"/>
      </w:pPr>
      <w:r>
        <w:rPr>
          <w:rFonts w:ascii="Arial" w:hAnsi="Arial"/>
        </w:rPr>
        <w:t>J11 Coordinated chronic care follow up</w:t>
      </w:r>
    </w:p>
    <w:p>
      <w:pPr/>
      <w:r>
        <w:rPr>
          <w:rFonts w:ascii="Arial" w:hAnsi="Arial"/>
        </w:rPr>
        <w:t>Actors and preconditions. A patient is enrolled in hypertension and diabetes care. The platform can read the authorised task context and selected clinical history from the programme systems or EHR. The chosen patient communication or worker-contact route is approved.</w:t>
      </w:r>
    </w:p>
    <w:p>
      <w:pPr/>
      <w:r>
        <w:rPr>
          <w:rFonts w:ascii="Arial" w:hAnsi="Arial"/>
        </w:rPr>
        <w:t>Main flow. The agent combines due work into one contact plan, asks the approved questions and structures the responses. It reuses a verified response only where programme meaning and timing match. The platform prepares an appointment, medication-access task or clinical review request and records new verified observations in the authorised destination. The patient or worker confirms consequential actions.</w:t>
      </w:r>
    </w:p>
    <w:p>
      <w:pPr/>
      <w:r>
        <w:rPr>
          <w:rFonts w:ascii="Arial" w:hAnsi="Arial"/>
        </w:rPr>
        <w:t>Exceptions. Shared-phone privacy rules limit disclosed content. An unclear or concerning answer routes to a qualified person. A failed message remains unresolved. A new measurement is never replaced by an older EHR value merely to complete a form.</w:t>
      </w:r>
    </w:p>
    <w:p>
      <w:pPr/>
      <w:r>
        <w:rPr>
          <w:rFonts w:ascii="Arial" w:hAnsi="Arial"/>
        </w:rPr>
        <w:t>Completion and evidence. Each programme update, EHR write, appointment and follow-up task has an independent status and owner. Acceptance links: BR-DATA-01 to 12, BR-CARE-01 to 08, BR-INT-11, 20 and 21, and BR-SEC-01 to 07.</w:t>
      </w:r>
    </w:p>
    <w:p>
      <w:pPr>
        <w:pStyle w:val="Heading2"/>
      </w:pPr>
      <w:r>
        <w:rPr>
          <w:rFonts w:ascii="Arial" w:hAnsi="Arial"/>
        </w:rPr>
        <w:t>J12 Supervisor outreach planning across systems</w:t>
      </w:r>
    </w:p>
    <w:p>
      <w:pPr/>
      <w:r>
        <w:rPr>
          <w:rFonts w:ascii="Arial" w:hAnsi="Arial"/>
        </w:rPr>
        <w:t>Actors and preconditions. A block supervisor has access to approved operational measures and worker assignment data. Programme feeds and EHR-derived operational events are governed for this purpose. ABDM HIU access is not treated as a general analytics entitlement.</w:t>
      </w:r>
    </w:p>
    <w:p>
      <w:pPr/>
      <w:r>
        <w:rPr>
          <w:rFonts w:ascii="Arial" w:hAnsi="Arial"/>
        </w:rPr>
        <w:t>Main flow. The supervisor asks for villages with overdue visits, unresolved referrals and available staff. The platform applies versioned measure definitions, identifies overlap without double-counting people, reveals source freshness and proposes assignments. The supervisor reviews and authorises the outreach plan; workers receive tasks in the same workspace.</w:t>
      </w:r>
    </w:p>
    <w:p>
      <w:pPr/>
      <w:r>
        <w:rPr>
          <w:rFonts w:ascii="Arial" w:hAnsi="Arial"/>
        </w:rPr>
        <w:t>Exceptions. Stale or missing data qualifies the result. Small cohorts remain protected. Patient-level lists require specific permission. The agent cannot penalise workers, deny services or infer that a poorly reporting area has no unmet need.</w:t>
      </w:r>
    </w:p>
    <w:p>
      <w:pPr/>
      <w:r>
        <w:rPr>
          <w:rFonts w:ascii="Arial" w:hAnsi="Arial"/>
        </w:rPr>
        <w:t>Completion and evidence. The report is reproducible from its period, filters, measure versions and sources; every assignment has an owner and later outcome. Acceptance links: BR-REP-01 to 07, BR-INT-09, 12 and 24, BR-RULE-08 and BR-SEC-06 to 08.</w:t>
      </w:r>
    </w:p>
    <w:p>
      <w:pPr>
        <w:pStyle w:val="Heading2"/>
      </w:pPr>
      <w:r>
        <w:t>Business state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Object</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Principal states</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Completion condition</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Encounter</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Draft, awaiting confirmation, confirmed, amended, voided with reason</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Required capture reviewed; voiding preserves audit and downstream implications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AI request</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Prepared, authorised, queued, running, valid result, unable to assess, failed, cancelled</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Valid result or explicit terminal failure; receipt alone is insufficient</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Submission</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Prepared, awaiting approval, queued, sent, accepted, rejected, uncertain, reconciled</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Destination evidence establishes actual result</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Referral</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Proposed, authorised, sent, received, scheduled, attended, completed, unresolved, cancelled</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Defined service evidence or an accountable unresolved outcome</w:t>
            </w:r>
          </w:p>
        </w:tc>
      </w:tr>
      <w:tr>
        <w:trPr>
          <w:cantSplit/>
          <w:cantSplit/>
        </w:trPr>
        <w:tc>
          <w:tcPr>
            <w:tcW w:type="dxa" w:w="2376"/>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Capability</w:t>
            </w:r>
          </w:p>
        </w:tc>
        <w:tc>
          <w:tcPr>
            <w:tcW w:type="dxa" w:w="3917"/>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Registered, verified, reviewed, approved for scope, active, suspended, retired</w:t>
            </w:r>
          </w:p>
        </w:tc>
        <w:tc>
          <w:tcPr>
            <w:tcW w:type="dxa" w:w="3701"/>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Only active, eligible versions can serve operational users</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Consent or authority</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Proposed, valid, expired, withdrawn, superseded, disputed</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The current decision governs future processing within its scope</w:t>
            </w:r>
          </w:p>
        </w:tc>
      </w:tr>
    </w:tbl>
    <w:p>
      <w:pPr>
        <w:spacing w:after="60" w:before="0" w:line="40" w:lineRule="exact"/>
      </w:pPr>
      <w:r>
        <w:rPr>
          <w:sz w:val="4"/>
        </w:rPr>
      </w:r>
    </w:p>
    <w:p>
      <w:bookmarkStart w:id="24" w:name="sec_23"/>
      <w:pPr>
        <w:pStyle w:val="Heading1"/>
      </w:pPr>
      <w:r>
        <w:t>23 Nonfunctional requirements</w:t>
      </w:r>
      <w:bookmarkEnd w:id="24"/>
    </w:p>
    <w:p>
      <w:pPr>
        <w:pStyle w:val="Small"/>
        <w:keepNext/>
      </w:pPr>
      <w:r>
        <w:t>Owner: Engineering lead, with security, clinical and operations review. All targets below are proposed acceptance baselines. The FSD and architecture must specify measurement tools, device models, infrastructure and representative workloads. R1 targets apply under the stated test conditions; external service failures remain visible in end-to-end measures even when excluded from an internal platform SLO.</w:t>
      </w:r>
    </w:p>
    <w:p>
      <w:pPr>
        <w:pStyle w:val="Heading2"/>
      </w:pPr>
      <w:r>
        <w:t>Reference workload and field conditions</w:t>
      </w:r>
    </w:p>
    <w:p>
      <w:r>
        <w:t>R1 planning envelope: 200 registered workers, 100 concurrent authenticated users, 100000 person records, 2000 encounters per day and a sustained core API load of 50 requests per second during a 30-minute load test. Mixed requests must include permission checks, record retrieval, updates and queue operations. Media transfer and external model latency are measured separately.</w:t>
      </w:r>
    </w:p>
    <w:p>
      <w:r>
        <w:t>Reference field device: a supported Android device with 3 GB RAM, four processor cores and at least 1 GB available application storage, with the exact model and supported OS range selected after field inventory. Connected tests use at least 1 Mbps usable bandwidth and 300 ms round-trip latency. Degraded tests use 256 kbps, 800 ms latency and intermittent loss. Offline tests use no network. Desktop supervisor workflows are tested separately.</w:t>
      </w:r>
    </w:p>
    <w:p>
      <w:pPr>
        <w:pStyle w:val="Heading2"/>
      </w:pPr>
      <w:r>
        <w:t>Service and experience targets</w:t>
      </w:r>
    </w:p>
    <w:p>
      <w:pPr>
        <w:pStyle w:val="Requirement"/>
      </w:pPr>
      <w:r>
        <w:t>NFR-01  Core availability</w:t>
      </w:r>
      <w:r>
        <w:rPr>
          <w:b w:val="0"/>
          <w:sz w:val="19"/>
        </w:rPr>
        <w:t xml:space="preserve">  (Must, R1)</w:t>
      </w:r>
    </w:p>
    <w:p>
      <w:pPr>
        <w:keepNext/>
        <w:keepLines/>
        <w:spacing w:after="60"/>
      </w:pPr>
      <w:r>
        <w:t>The central platform shall target 99.5 percent monthly availability for core authenticated record and workflow services. Report planned maintenance and upstream outages separately; publish a second end-to-end measure including dependencies.</w:t>
      </w:r>
    </w:p>
    <w:p>
      <w:pPr>
        <w:pStyle w:val="Acceptance"/>
      </w:pPr>
      <w:r>
        <w:rPr>
          <w:b/>
        </w:rPr>
        <w:t>Verification:</w:t>
      </w:r>
      <w:r>
        <w:t xml:space="preserve"> Synthetic probes, error logs and incident records reconcile to a monthly report with transparent exclusions.</w:t>
      </w:r>
    </w:p>
    <w:p>
      <w:pPr>
        <w:pStyle w:val="Requirement"/>
      </w:pPr>
      <w:r>
        <w:t>NFR-02  Responsive field interface</w:t>
      </w:r>
      <w:r>
        <w:rPr>
          <w:b w:val="0"/>
          <w:sz w:val="19"/>
        </w:rPr>
        <w:t xml:space="preserve">  (Must, R1)</w:t>
      </w:r>
    </w:p>
    <w:p>
      <w:pPr>
        <w:keepNext/>
        <w:keepLines/>
        <w:spacing w:after="60"/>
      </w:pPr>
      <w:r>
        <w:t>On the reference device, local field saves shall complete within 500 ms at the 95th percentile and cached patient or task screens within 2 seconds. Connected core screens shall target 3 seconds at the 95th percentile under the reference network.</w:t>
      </w:r>
    </w:p>
    <w:p>
      <w:pPr>
        <w:pStyle w:val="Acceptance"/>
      </w:pPr>
      <w:r>
        <w:rPr>
          <w:b/>
        </w:rPr>
        <w:t>Verification:</w:t>
      </w:r>
      <w:r>
        <w:t xml:space="preserve"> Instrument representative tasks under R1 load and report failed requests and slow outliers, not just averages.</w:t>
      </w:r>
    </w:p>
    <w:p>
      <w:pPr>
        <w:pStyle w:val="Requirement"/>
      </w:pPr>
      <w:r>
        <w:t>NFR-03  Visible AI progress</w:t>
      </w:r>
      <w:r>
        <w:rPr>
          <w:b w:val="0"/>
          <w:sz w:val="19"/>
        </w:rPr>
        <w:t xml:space="preserve">  (Must, R1)</w:t>
      </w:r>
    </w:p>
    <w:p>
      <w:pPr>
        <w:keepNext/>
        <w:keepLines/>
        <w:spacing w:after="60"/>
      </w:pPr>
      <w:r>
        <w:t>An online AI task shall acknowledge its state within 2 seconds and display progress or an honest pending state. Each capability shall have an approved completion deadline; a default interactive deadline of 30 seconds is proposed, with longer asynchronous tasks clearly identified.</w:t>
      </w:r>
    </w:p>
    <w:p>
      <w:pPr>
        <w:pStyle w:val="Acceptance"/>
      </w:pPr>
      <w:r>
        <w:rPr>
          <w:b/>
        </w:rPr>
        <w:t>Verification:</w:t>
      </w:r>
      <w:r>
        <w:t xml:space="preserve"> Timeout and delayed-provider tests show usable status and preserve the underlying encounter workflow.</w:t>
      </w:r>
    </w:p>
    <w:p>
      <w:pPr>
        <w:pStyle w:val="Requirement"/>
      </w:pPr>
      <w:r>
        <w:t>NFR-04  No loss of acknowledged local work</w:t>
      </w:r>
      <w:r>
        <w:rPr>
          <w:b w:val="0"/>
          <w:sz w:val="19"/>
        </w:rPr>
        <w:t xml:space="preserve">  (Must, R1)</w:t>
      </w:r>
    </w:p>
    <w:p>
      <w:pPr>
        <w:keepNext/>
        <w:keepLines/>
        <w:spacing w:after="60"/>
      </w:pPr>
      <w:r>
        <w:t>Acknowledged local saves shall survive application crash, routine restart and temporary power loss on supported devices. No record may be marked saved before durable persistence. Device destruction remains outside this guarantee until synchronisation.</w:t>
      </w:r>
    </w:p>
    <w:p>
      <w:pPr>
        <w:pStyle w:val="Acceptance"/>
      </w:pPr>
      <w:r>
        <w:rPr>
          <w:b/>
        </w:rPr>
        <w:t>Verification:</w:t>
      </w:r>
      <w:r>
        <w:t xml:space="preserve"> Fault injection recovers all acknowledged records and identifies any unacknowledged inputs as unsaved.</w:t>
      </w:r>
    </w:p>
    <w:p>
      <w:pPr>
        <w:pStyle w:val="Requirement"/>
      </w:pPr>
      <w:r>
        <w:t>NFR-05  Duplicate-safe execution</w:t>
      </w:r>
      <w:r>
        <w:rPr>
          <w:b w:val="0"/>
          <w:sz w:val="19"/>
        </w:rPr>
        <w:t xml:space="preserve">  (Must, R1)</w:t>
      </w:r>
    </w:p>
    <w:p>
      <w:pPr>
        <w:keepNext/>
        <w:keepLines/>
        <w:spacing w:after="60"/>
      </w:pPr>
      <w:r>
        <w:t>Repeated delivery, retries and replay of the same logical action shall not create duplicate business events where the connector contract supports idempotency or reconciliation. Unsupported cases shall remain unresolved instead of being blindly retried.</w:t>
      </w:r>
    </w:p>
    <w:p>
      <w:pPr>
        <w:pStyle w:val="Acceptance"/>
      </w:pPr>
      <w:r>
        <w:rPr>
          <w:b/>
        </w:rPr>
        <w:t>Verification:</w:t>
      </w:r>
      <w:r>
        <w:t xml:space="preserve"> At least 10000 replay and timeout test events produce no duplicate accepted activity in the supported connector fixtures.</w:t>
      </w:r>
    </w:p>
    <w:p>
      <w:pPr>
        <w:pStyle w:val="Requirement"/>
      </w:pPr>
      <w:r>
        <w:t>NFR-06  Server recovery</w:t>
      </w:r>
      <w:r>
        <w:rPr>
          <w:b w:val="0"/>
          <w:sz w:val="19"/>
        </w:rPr>
        <w:t xml:space="preserve">  (Must, R1)</w:t>
      </w:r>
    </w:p>
    <w:p>
      <w:pPr>
        <w:keepNext/>
        <w:keepLines/>
        <w:spacing w:after="60"/>
      </w:pPr>
      <w:r>
        <w:t>The proposed server recovery point objective is at most 15 minutes and recovery time objective at most 4 hours. The accepted architecture may improve these limits. Locally queued work shall reconcile after recovery rather than being discarded.</w:t>
      </w:r>
    </w:p>
    <w:p>
      <w:pPr>
        <w:pStyle w:val="Acceptance"/>
      </w:pPr>
      <w:r>
        <w:rPr>
          <w:b/>
        </w:rPr>
        <w:t>Verification:</w:t>
      </w:r>
      <w:r>
        <w:t xml:space="preserve"> A documented restore exercise measures actual recovery, integrity and replay of affected outstanding work.</w:t>
      </w:r>
    </w:p>
    <w:p>
      <w:pPr>
        <w:pStyle w:val="Requirement"/>
      </w:pPr>
      <w:r>
        <w:t>NFR-07  Data integrity</w:t>
      </w:r>
      <w:r>
        <w:rPr>
          <w:b w:val="0"/>
          <w:sz w:val="19"/>
        </w:rPr>
        <w:t xml:space="preserve">  (Must, R1)</w:t>
      </w:r>
    </w:p>
    <w:p>
      <w:pPr>
        <w:keepNext/>
        <w:keepLines/>
        <w:spacing w:after="60"/>
      </w:pPr>
      <w:r>
        <w:t>Confirmed records shall retain referential integrity, valid units and complete version history through capture, sync, amendment and export. Checks shall detect orphan identities, missing receipts and invalid state transitions.</w:t>
      </w:r>
    </w:p>
    <w:p>
      <w:pPr>
        <w:pStyle w:val="Acceptance"/>
      </w:pPr>
      <w:r>
        <w:rPr>
          <w:b/>
        </w:rPr>
        <w:t>Verification:</w:t>
      </w:r>
      <w:r>
        <w:t xml:space="preserve"> Release reconciliation covers every generated record in the migration and failure test corpus, with zero unexplained loss.</w:t>
      </w:r>
    </w:p>
    <w:p>
      <w:pPr>
        <w:pStyle w:val="Requirement"/>
      </w:pPr>
      <w:r>
        <w:t>NFR-08  Security release posture</w:t>
      </w:r>
      <w:r>
        <w:rPr>
          <w:b w:val="0"/>
          <w:sz w:val="19"/>
        </w:rPr>
        <w:t xml:space="preserve">  (Must, R1)</w:t>
      </w:r>
    </w:p>
    <w:p>
      <w:pPr>
        <w:keepNext/>
        <w:keepLines/>
        <w:spacing w:after="60"/>
      </w:pPr>
      <w:r>
        <w:t>Production shall have no unresolved critical or high-severity exploitable findings within the agreed security assessment scope. Findings must be remediated or the affected capability removed before launch.</w:t>
      </w:r>
    </w:p>
    <w:p>
      <w:pPr>
        <w:pStyle w:val="Acceptance"/>
      </w:pPr>
      <w:r>
        <w:rPr>
          <w:b/>
        </w:rPr>
        <w:t>Verification:</w:t>
      </w:r>
      <w:r>
        <w:t xml:space="preserve"> Independent review covers access control, mobile storage, APIs, secrets, file access, agent tool abuse and tenant isolation.</w:t>
      </w:r>
    </w:p>
    <w:p>
      <w:pPr>
        <w:pStyle w:val="Requirement"/>
      </w:pPr>
      <w:r>
        <w:t>NFR-09  Online revocation</w:t>
      </w:r>
      <w:r>
        <w:rPr>
          <w:b w:val="0"/>
          <w:sz w:val="19"/>
        </w:rPr>
        <w:t xml:space="preserve">  (Must, R1)</w:t>
      </w:r>
    </w:p>
    <w:p>
      <w:pPr>
        <w:keepNext/>
        <w:keepLines/>
        <w:spacing w:after="60"/>
      </w:pPr>
      <w:r>
        <w:t>Role removal or account suspension shall stop new online access and actions within 5 minutes. A disconnected device is constrained by its offline grant and local lock policy; it cannot be promised immediate remote revocation.</w:t>
      </w:r>
    </w:p>
    <w:p>
      <w:pPr>
        <w:pStyle w:val="Acceptance"/>
      </w:pPr>
      <w:r>
        <w:rPr>
          <w:b/>
        </w:rPr>
        <w:t>Verification:</w:t>
      </w:r>
      <w:r>
        <w:t xml:space="preserve"> Session, background job and reconnect tests enforce the limit and record the residual offline window.</w:t>
      </w:r>
    </w:p>
    <w:p>
      <w:pPr>
        <w:pStyle w:val="Requirement"/>
      </w:pPr>
      <w:r>
        <w:t>NFR-10  Audit completeness and timing</w:t>
      </w:r>
      <w:r>
        <w:rPr>
          <w:b w:val="0"/>
          <w:sz w:val="19"/>
        </w:rPr>
        <w:t xml:space="preserve">  (Must, R1)</w:t>
      </w:r>
    </w:p>
    <w:p>
      <w:pPr>
        <w:keepNext/>
        <w:keepLines/>
        <w:spacing w:after="60"/>
      </w:pPr>
      <w:r>
        <w:t>All mandatory audit events shall be durable before or atomically with the consequential action where feasible. If durable audit cannot be established, external writes and privileged changes shall stop. Local capture may continue with its local audit queue.</w:t>
      </w:r>
    </w:p>
    <w:p>
      <w:pPr>
        <w:pStyle w:val="Acceptance"/>
      </w:pPr>
      <w:r>
        <w:rPr>
          <w:b/>
        </w:rPr>
        <w:t>Verification:</w:t>
      </w:r>
      <w:r>
        <w:t xml:space="preserve"> Audit-store failure blocks the designated actions, while recovery preserves event order and detects clock skew.</w:t>
      </w:r>
    </w:p>
    <w:p>
      <w:pPr>
        <w:pStyle w:val="Requirement"/>
      </w:pPr>
      <w:r>
        <w:t>NFR-11  Offline capacity and controlled storage</w:t>
      </w:r>
      <w:r>
        <w:rPr>
          <w:b w:val="0"/>
          <w:sz w:val="19"/>
        </w:rPr>
        <w:t xml:space="preserve">  (Must, R1)</w:t>
      </w:r>
    </w:p>
    <w:p>
      <w:pPr>
        <w:keepNext/>
        <w:keepLines/>
        <w:spacing w:after="60"/>
      </w:pPr>
      <w:r>
        <w:t>The reference device shall retain 200 structured unsynchronised encounters plus 100 media items of up to 4 MB each within a proposed 500 MB data allowance. Capability-approved media formats take precedence; larger media require a separately accepted profile.</w:t>
      </w:r>
    </w:p>
    <w:p>
      <w:pPr>
        <w:pStyle w:val="Acceptance"/>
      </w:pPr>
      <w:r>
        <w:rPr>
          <w:b/>
        </w:rPr>
        <w:t>Verification:</w:t>
      </w:r>
      <w:r>
        <w:t xml:space="preserve"> Capacity, low-storage and restart tests show warnings and no silent deletion of unsynchronised data.</w:t>
      </w:r>
    </w:p>
    <w:p>
      <w:pPr>
        <w:pStyle w:val="Requirement"/>
      </w:pPr>
      <w:r>
        <w:t>NFR-12  Synchronisation recovery</w:t>
      </w:r>
      <w:r>
        <w:rPr>
          <w:b w:val="0"/>
          <w:sz w:val="19"/>
        </w:rPr>
        <w:t xml:space="preserve">  (Must, R1)</w:t>
      </w:r>
    </w:p>
    <w:p>
      <w:pPr>
        <w:keepNext/>
        <w:keepLines/>
        <w:spacing w:after="60"/>
      </w:pPr>
      <w:r>
        <w:t>On stable reconnection, 95 percent of eligible structured records in a 200-record queue shall reach the platform within 5 minutes under reference network conditions. Media and external destination acceptance have separate measures.</w:t>
      </w:r>
    </w:p>
    <w:p>
      <w:pPr>
        <w:pStyle w:val="Acceptance"/>
      </w:pPr>
      <w:r>
        <w:rPr>
          <w:b/>
        </w:rPr>
        <w:t>Verification:</w:t>
      </w:r>
      <w:r>
        <w:t xml:space="preserve"> Queue tests measure completion, rejected records, permission rechecks and remaining unresolved items.</w:t>
      </w:r>
    </w:p>
    <w:p>
      <w:pPr>
        <w:pStyle w:val="Requirement"/>
      </w:pPr>
      <w:r>
        <w:t>NFR-13  Accessibility</w:t>
      </w:r>
      <w:r>
        <w:rPr>
          <w:b w:val="0"/>
          <w:sz w:val="19"/>
        </w:rPr>
        <w:t xml:space="preserve">  (Must, R1)</w:t>
      </w:r>
    </w:p>
    <w:p>
      <w:pPr>
        <w:keepNext/>
        <w:keepLines/>
        <w:spacing w:after="60"/>
      </w:pPr>
      <w:r>
        <w:t>Web workflows shall target WCAG 2.2 AA; mobile workflows shall implement corresponding applicable principles and native accessibility support [S6]. Essential tasks shall support readable scaling, labelled controls, focus navigation and non-colour status cues.</w:t>
      </w:r>
    </w:p>
    <w:p>
      <w:pPr>
        <w:pStyle w:val="Acceptance"/>
      </w:pPr>
      <w:r>
        <w:rPr>
          <w:b/>
        </w:rPr>
        <w:t>Verification:</w:t>
      </w:r>
      <w:r>
        <w:t xml:space="preserve"> Automated assessment plus manual assistive-technology and representative-user testing covers all core journeys.</w:t>
      </w:r>
    </w:p>
    <w:p>
      <w:pPr>
        <w:pStyle w:val="Requirement"/>
      </w:pPr>
      <w:r>
        <w:t>NFR-14  Usability and training burden</w:t>
      </w:r>
      <w:r>
        <w:rPr>
          <w:b w:val="0"/>
          <w:sz w:val="19"/>
        </w:rPr>
        <w:t xml:space="preserve">  (Must, R1)</w:t>
      </w:r>
    </w:p>
    <w:p>
      <w:pPr>
        <w:keepNext/>
        <w:keepLines/>
        <w:spacing w:after="60"/>
      </w:pPr>
      <w:r>
        <w:t>At least 90 percent of representative participants shall complete core tasks without facilitator intervention after standard training. Record errors, recovery time and programme understanding, not only task speed.</w:t>
      </w:r>
    </w:p>
    <w:p>
      <w:pPr>
        <w:pStyle w:val="Acceptance"/>
      </w:pPr>
      <w:r>
        <w:rPr>
          <w:b/>
        </w:rPr>
        <w:t>Verification:</w:t>
      </w:r>
      <w:r>
        <w:t xml:space="preserve"> Proposed evaluation includes at least 20 representative frontline users and 5 supervisors, with results disaggregated by language and device familiarity.</w:t>
      </w:r>
    </w:p>
    <w:p>
      <w:pPr>
        <w:pStyle w:val="Requirement"/>
      </w:pPr>
      <w:r>
        <w:t>NFR-15  Language quality</w:t>
      </w:r>
      <w:r>
        <w:rPr>
          <w:b w:val="0"/>
          <w:sz w:val="19"/>
        </w:rPr>
        <w:t xml:space="preserve">  (Must, R1)</w:t>
      </w:r>
    </w:p>
    <w:p>
      <w:pPr>
        <w:keepNext/>
        <w:keepLines/>
        <w:spacing w:after="60"/>
      </w:pPr>
      <w:r>
        <w:t>Critical UI, counselling and escalation content shall receive qualified human review in each supported language. Numeric extraction, negation and clinical terms require task-specific evaluation; aggregate speech word error rate alone is insufficient.</w:t>
      </w:r>
    </w:p>
    <w:p>
      <w:pPr>
        <w:pStyle w:val="Acceptance"/>
      </w:pPr>
      <w:r>
        <w:rPr>
          <w:b/>
        </w:rPr>
        <w:t>Verification:</w:t>
      </w:r>
      <w:r>
        <w:t xml:space="preserve"> Reviewers accept the language corpus, and all safety-critical benchmark cases meet the approved pass criteria.</w:t>
      </w:r>
    </w:p>
    <w:p>
      <w:pPr>
        <w:pStyle w:val="Requirement"/>
      </w:pPr>
      <w:r>
        <w:t>NFR-16  AI extraction quality</w:t>
      </w:r>
      <w:r>
        <w:rPr>
          <w:b w:val="0"/>
          <w:sz w:val="19"/>
        </w:rPr>
        <w:t xml:space="preserve">  (Must, R1)</w:t>
      </w:r>
    </w:p>
    <w:p>
      <w:pPr>
        <w:keepNext/>
        <w:keepLines/>
        <w:spacing w:after="60"/>
      </w:pPr>
      <w:r>
        <w:t>The proposed administrative extraction target is at least 95 percent precision and recall for required nonclinical fields on a representative annotated corpus. Critical clinical fields require confirmation regardless of extraction score; clinical model targets remain capability-specific.</w:t>
      </w:r>
    </w:p>
    <w:p>
      <w:pPr>
        <w:pStyle w:val="Acceptance"/>
      </w:pPr>
      <w:r>
        <w:rPr>
          <w:b/>
        </w:rPr>
        <w:t>Verification:</w:t>
      </w:r>
      <w:r>
        <w:t xml:space="preserve"> Report field-level errors, language and noise subgroups, missingness and correction burden against a versioned test set.</w:t>
      </w:r>
    </w:p>
    <w:p>
      <w:pPr>
        <w:pStyle w:val="Requirement"/>
      </w:pPr>
      <w:r>
        <w:t>NFR-17  Clinical and agent safety evaluation</w:t>
      </w:r>
      <w:r>
        <w:rPr>
          <w:b w:val="0"/>
          <w:sz w:val="19"/>
        </w:rPr>
        <w:t xml:space="preserve">  (Must, R1)</w:t>
      </w:r>
    </w:p>
    <w:p>
      <w:pPr>
        <w:keepNext/>
        <w:keepLines/>
        <w:spacing w:after="60"/>
      </w:pPr>
      <w:r>
        <w:t>The release suite shall include all approved critical scenarios for escalation, role boundaries, wrong-patient context, unsupported use and adversarial instructions. All release-blocking cases must pass; passing the suite is not proof of zero clinical risk.</w:t>
      </w:r>
    </w:p>
    <w:p>
      <w:pPr>
        <w:pStyle w:val="Acceptance"/>
      </w:pPr>
      <w:r>
        <w:rPr>
          <w:b/>
        </w:rPr>
        <w:t>Verification:</w:t>
      </w:r>
      <w:r>
        <w:t xml:space="preserve"> Named reviewers sign the results and link every unresolved lower-severity issue to an owner and disposition.</w:t>
      </w:r>
    </w:p>
    <w:p>
      <w:pPr>
        <w:pStyle w:val="Requirement"/>
      </w:pPr>
      <w:r>
        <w:t>NFR-18  Operational observability</w:t>
      </w:r>
      <w:r>
        <w:rPr>
          <w:b w:val="0"/>
          <w:sz w:val="19"/>
        </w:rPr>
        <w:t xml:space="preserve">  (Must, R1)</w:t>
      </w:r>
    </w:p>
    <w:p>
      <w:pPr>
        <w:keepNext/>
        <w:keepLines/>
        <w:spacing w:after="60"/>
      </w:pPr>
      <w:r>
        <w:t>Major platform, queue or connector failures shall generate an actionable alert within 5 minutes of detection criteria being met. Traces shall link a user task to provider calls and destination receipts without exposing unnecessary clinical content.</w:t>
      </w:r>
    </w:p>
    <w:p>
      <w:pPr>
        <w:pStyle w:val="Acceptance"/>
      </w:pPr>
      <w:r>
        <w:rPr>
          <w:b/>
        </w:rPr>
        <w:t>Verification:</w:t>
      </w:r>
      <w:r>
        <w:t xml:space="preserve"> Induced failures reach the correct queue and permit reconstruction using redacted diagnostic data.</w:t>
      </w:r>
    </w:p>
    <w:p>
      <w:pPr>
        <w:pStyle w:val="Requirement"/>
      </w:pPr>
      <w:r>
        <w:t>NFR-19  Maintainable configuration</w:t>
      </w:r>
      <w:r>
        <w:rPr>
          <w:b w:val="0"/>
          <w:sz w:val="19"/>
        </w:rPr>
        <w:t xml:space="preserve">  (Must, R1)</w:t>
      </w:r>
    </w:p>
    <w:p>
      <w:pPr>
        <w:keepNext/>
        <w:keepLines/>
        <w:spacing w:after="60"/>
      </w:pPr>
      <w:r>
        <w:t>Common content, language, indicator and workflow changes shall follow versioned configuration paths where possible. They shall not require ad hoc database edits or undocumented production scripts.</w:t>
      </w:r>
    </w:p>
    <w:p>
      <w:pPr>
        <w:pStyle w:val="Acceptance"/>
      </w:pPr>
      <w:r>
        <w:rPr>
          <w:b/>
        </w:rPr>
        <w:t>Verification:</w:t>
      </w:r>
      <w:r>
        <w:t xml:space="preserve"> A programme change is reviewed, tested, deployed and rolled back through the documented operating process.</w:t>
      </w:r>
    </w:p>
    <w:p>
      <w:pPr>
        <w:pStyle w:val="Requirement"/>
      </w:pPr>
      <w:r>
        <w:t>NFR-20  Integration conformance</w:t>
      </w:r>
      <w:r>
        <w:rPr>
          <w:b w:val="0"/>
          <w:sz w:val="19"/>
        </w:rPr>
        <w:t xml:space="preserve">  (Must, R1)</w:t>
      </w:r>
    </w:p>
    <w:p>
      <w:pPr>
        <w:keepNext/>
        <w:keepLines/>
        <w:spacing w:after="60"/>
      </w:pPr>
      <w:r>
        <w:t>Every live connector and provider adapter shall pass the agreed contract suite, including invalid data, permissions, timeout, duplicate requests and incompatible versions. External conformance requirements shall be version-pinned where applicable.</w:t>
      </w:r>
    </w:p>
    <w:p>
      <w:pPr>
        <w:pStyle w:val="Acceptance"/>
      </w:pPr>
      <w:r>
        <w:rPr>
          <w:b/>
        </w:rPr>
        <w:t>Verification:</w:t>
      </w:r>
      <w:r>
        <w:t xml:space="preserve"> Test results are linked to the exact deployed connector, mapping and provider versions.</w:t>
      </w:r>
    </w:p>
    <w:p>
      <w:pPr>
        <w:pStyle w:val="Requirement"/>
      </w:pPr>
      <w:r>
        <w:t>NFR-21  Cost transparency</w:t>
      </w:r>
      <w:r>
        <w:rPr>
          <w:b w:val="0"/>
          <w:sz w:val="19"/>
        </w:rPr>
        <w:t xml:space="preserve">  (Must, R1)</w:t>
      </w:r>
    </w:p>
    <w:p>
      <w:pPr>
        <w:keepNext/>
        <w:keepLines/>
        <w:spacing w:after="60"/>
      </w:pPr>
      <w:r>
        <w:t>At least 99 percent of billable AI and communication events shall be attributable to a tenant, capability and task or explicit system activity. Budget alerts and hard limits shall use the defined safety-aware fallback.</w:t>
      </w:r>
    </w:p>
    <w:p>
      <w:pPr>
        <w:pStyle w:val="Acceptance"/>
      </w:pPr>
      <w:r>
        <w:rPr>
          <w:b/>
        </w:rPr>
        <w:t>Verification:</w:t>
      </w:r>
      <w:r>
        <w:t xml:space="preserve"> Usage records reconcile with provider invoices or test billing evidence; unexplained variance is investigated.</w:t>
      </w:r>
    </w:p>
    <w:p>
      <w:pPr>
        <w:pStyle w:val="Requirement"/>
      </w:pPr>
      <w:r>
        <w:t>NFR-22  Data portability and export integrity</w:t>
      </w:r>
      <w:r>
        <w:rPr>
          <w:b w:val="0"/>
          <w:sz w:val="19"/>
        </w:rPr>
        <w:t xml:space="preserve">  (Must, R1)</w:t>
      </w:r>
    </w:p>
    <w:p>
      <w:pPr>
        <w:keepNext/>
        <w:keepLines/>
        <w:spacing w:after="60"/>
      </w:pPr>
      <w:r>
        <w:t>Authorised structured records shall be exportable with identifiers, relationships, units, provenance and version metadata. Export format documentation shall enable an independent party to interpret the data.</w:t>
      </w:r>
    </w:p>
    <w:p>
      <w:pPr>
        <w:pStyle w:val="Acceptance"/>
      </w:pPr>
      <w:r>
        <w:rPr>
          <w:b/>
        </w:rPr>
        <w:t>Verification:</w:t>
      </w:r>
      <w:r>
        <w:t xml:space="preserve"> A 1000-person test export is re-imported into a validation environment with complete record counts and relationships.</w:t>
      </w:r>
    </w:p>
    <w:p>
      <w:pPr>
        <w:pStyle w:val="Requirement"/>
      </w:pPr>
      <w:r>
        <w:t>NFR-23  Disaster and downtime readiness</w:t>
      </w:r>
      <w:r>
        <w:rPr>
          <w:b w:val="0"/>
          <w:sz w:val="19"/>
        </w:rPr>
        <w:t xml:space="preserve">  (Must, R1)</w:t>
      </w:r>
    </w:p>
    <w:p>
      <w:pPr>
        <w:keepNext/>
        <w:keepLines/>
        <w:spacing w:after="60"/>
      </w:pPr>
      <w:r>
        <w:t>Operations shall have tested procedures for platform outage, lost device, unavailable model, destination failure and clinical service disruption. Emergency care guidance shall remain available through the approved local contingency process.</w:t>
      </w:r>
    </w:p>
    <w:p>
      <w:pPr>
        <w:pStyle w:val="Acceptance"/>
      </w:pPr>
      <w:r>
        <w:rPr>
          <w:b/>
        </w:rPr>
        <w:t>Verification:</w:t>
      </w:r>
      <w:r>
        <w:t xml:space="preserve"> Tabletop and technical exercises record actual recovery actions, communication ownership and unresolved gaps.</w:t>
      </w:r>
    </w:p>
    <w:p>
      <w:pPr>
        <w:pStyle w:val="Requirement"/>
      </w:pPr>
      <w:r>
        <w:t>NFR-24  Scale readiness</w:t>
      </w:r>
      <w:r>
        <w:rPr>
          <w:b w:val="0"/>
          <w:sz w:val="19"/>
        </w:rPr>
        <w:t xml:space="preserve">  (Should, R2)</w:t>
      </w:r>
    </w:p>
    <w:p>
      <w:pPr>
        <w:keepNext/>
        <w:keepLines/>
        <w:spacing w:after="60"/>
      </w:pPr>
      <w:r>
        <w:t>Before expanding to a proposed 10000 workers and 5 million person records, the product shall pass a separate capacity and operating-cost review. R1 performance evidence shall not be presented as proof of national-scale readiness.</w:t>
      </w:r>
    </w:p>
    <w:p>
      <w:pPr>
        <w:pStyle w:val="Acceptance"/>
      </w:pPr>
      <w:r>
        <w:rPr>
          <w:b/>
        </w:rPr>
        <w:t>Verification:</w:t>
      </w:r>
      <w:r>
        <w:t xml:space="preserve"> R2 load, isolation, storage, support and cost tests are run against the agreed production-like topology and volume.</w:t>
      </w:r>
    </w:p>
    <w:p>
      <w:pPr>
        <w:pStyle w:val="Requirement"/>
      </w:pPr>
      <w:r>
        <w:rPr>
          <w:rFonts w:ascii="Arial" w:hAnsi="Arial"/>
        </w:rPr>
        <w:t>NFR-25  Clinical exchange validation  (Must, R1)</w:t>
      </w:r>
    </w:p>
    <w:p>
      <w:pPr/>
      <w:r>
        <w:rPr>
          <w:rFonts w:ascii="Arial" w:hAnsi="Arial"/>
        </w:rPr>
        <w:t>One hundred percent of outbound structured clinical exchange payloads shall pass the pinned schema, profile, terminology and business-rule checks before submission. Validation warnings that are accepted by policy shall remain visible and versioned.</w:t>
      </w:r>
    </w:p>
    <w:p>
      <w:pPr>
        <w:pStyle w:val="Acceptance"/>
      </w:pPr>
      <w:r>
        <w:rPr>
          <w:rFonts w:ascii="Arial" w:hAnsi="Arial"/>
        </w:rPr>
        <w:t>Acceptance: Verification: The release corpus covers every supported artefact and includes invalid cardinality, code, reference, unit, signature and bundle cases.</w:t>
      </w:r>
    </w:p>
    <w:p>
      <w:pPr>
        <w:pStyle w:val="Requirement"/>
      </w:pPr>
      <w:r>
        <w:rPr>
          <w:rFonts w:ascii="Arial" w:hAnsi="Arial"/>
        </w:rPr>
        <w:t>NFR-26  Consent and exchange traceability  (Must, R1)</w:t>
      </w:r>
    </w:p>
    <w:p>
      <w:pPr/>
      <w:r>
        <w:rPr>
          <w:rFonts w:ascii="Arial" w:hAnsi="Arial"/>
        </w:rPr>
        <w:t>Every ABDM or direct EHR exchange shall be traceable from user purpose and authority through request, transformation, disclosure or receipt, acknowledgement and final state without placing raw clinical payloads in general application logs.</w:t>
      </w:r>
    </w:p>
    <w:p>
      <w:pPr>
        <w:pStyle w:val="Acceptance"/>
      </w:pPr>
      <w:r>
        <w:rPr>
          <w:rFonts w:ascii="Arial" w:hAnsi="Arial"/>
        </w:rPr>
        <w:t>Acceptance: Verification: Audit reconstruction succeeds for all release exchanges, while log inspection confirms that secrets, tokens and unnecessary clinical content are absent.</w:t>
      </w:r>
    </w:p>
    <w:p>
      <w:pPr>
        <w:pStyle w:val="Requirement"/>
      </w:pPr>
      <w:r>
        <w:rPr>
          <w:rFonts w:ascii="Arial" w:hAnsi="Arial"/>
        </w:rPr>
        <w:t>NFR-27  Connector upgrade compatibility  (Must, R1)</w:t>
      </w:r>
    </w:p>
    <w:p>
      <w:pPr/>
      <w:r>
        <w:rPr>
          <w:rFonts w:ascii="Arial" w:hAnsi="Arial"/>
        </w:rPr>
        <w:t>A connector or FHIR package upgrade shall pass regression tests for existing mappings, queued actions, receipts, amendments and historical display before activation. In-flight work shall finish on its compatible version or enter controlled review.</w:t>
      </w:r>
    </w:p>
    <w:p>
      <w:pPr>
        <w:pStyle w:val="Acceptance"/>
      </w:pPr>
      <w:r>
        <w:rPr>
          <w:rFonts w:ascii="Arial" w:hAnsi="Arial"/>
        </w:rPr>
        <w:t>Acceptance: Verification: A simulated breaking version change does not corrupt queued work or silently reinterpret historical records.</w:t>
      </w:r>
    </w:p>
    <w:p>
      <w:pPr>
        <w:pStyle w:val="Requirement"/>
      </w:pPr>
      <w:r>
        <w:rPr>
          <w:rFonts w:ascii="Arial" w:hAnsi="Arial"/>
        </w:rPr>
        <w:t>NFR-28  Interoperability performance  (Should, R1)</w:t>
      </w:r>
    </w:p>
    <w:p>
      <w:pPr/>
      <w:r>
        <w:rPr>
          <w:rFonts w:ascii="Arial" w:hAnsi="Arial"/>
        </w:rPr>
        <w:t>Under the R1 workload, canonical transformation and local validation shall add no more than 500 ms at the 95th percentile for structured records, excluding external network and destination processing time. Batch and document workflows shall have separately declared targets.</w:t>
      </w:r>
    </w:p>
    <w:p>
      <w:pPr>
        <w:pStyle w:val="Acceptance"/>
      </w:pPr>
      <w:r>
        <w:rPr>
          <w:rFonts w:ascii="Arial" w:hAnsi="Arial"/>
        </w:rPr>
        <w:t>Acceptance: Verification: Instrumented tests report transformation, validation, queue and external latency separately for each connector type.</w:t>
      </w:r>
    </w:p>
    <w:p>
      <w:bookmarkStart w:id="25" w:name="sec_24"/>
      <w:pPr>
        <w:pStyle w:val="Heading1"/>
      </w:pPr>
      <w:r>
        <w:t>24 Data lifecycle and governance decisions</w:t>
      </w:r>
      <w:bookmarkEnd w:id="25"/>
    </w:p>
    <w:p>
      <w:r>
        <w:t>The deployment shall maintain an approved data inventory covering operational records, media, derived results, audit, backups and exports. Each class needs a purpose, owner, access rule, retention period and disposal mechanism. There is no universal retention period asserted by this BRD; clinical records, raw audio, model debugging data and temporary local caches have different duties and risks.</w:t>
      </w:r>
    </w:p>
    <w:p>
      <w:r>
        <w:t>For raw voice and images, the proposed default is to retain only what is necessary for the authorised task and approved evidence requirements. Transcription does not automatically justify retaining the underlying recording indefinitely. Local copies should be removed after confirmed synchronisation and the configured recovery period, except unresolved work that must remain recoverable under policy. The FSD must reconcile removal with offline access and audit requirements.</w:t>
      </w:r>
    </w:p>
    <w:p>
      <w:r>
        <w:t>Patient data shall not be reused for model training, general vendor improvement or research by default. Such uses require a separately approved purpose, access basis, data preparation, contract and review. De-identification must be evaluated for the actual dataset and use; replacing a name with an identifier does not automatically make health data anonymous.</w:t>
      </w:r>
    </w:p>
    <w:p>
      <w:r>
        <w:t>The processing inventory shall identify whether Aplyd, the buyer, a provider or another institution acts in each legal or operational role. “Data owner” in this document means accountable stewardship of a business record, not a claim of unrestricted proprietary rights over patients' information. Cross-border deployment must assess local requirements and contractual restrictions independently.</w:t>
      </w:r>
    </w:p>
    <w:p>
      <w:r>
        <w:t>Governance review shall include the current legal position, effective provisions, patient rights, security incident duties, professional scope, medical-device implications where relevant and public-sector procurement requirements. India's notified DPDP rules and enforcement materials are a starting reference [S5]; the deployment's legal owner must maintain an applicability register. No universal HIPAA, GDPR, ABDM or medical-device certification is claimed by the product name or this BRD.</w:t>
      </w:r>
    </w:p>
    <w:p>
      <w:bookmarkStart w:id="26" w:name="sec_25"/>
      <w:pPr>
        <w:pStyle w:val="Heading1"/>
      </w:pPr>
      <w:r>
        <w:t>25 Service operations and commercial requirements</w:t>
      </w:r>
      <w:bookmarkEnd w:id="26"/>
    </w:p>
    <w:p>
      <w:r>
        <w:t>The operator must offer support matched to real use hours. R1's proposed coverage is the local frontline operating day, with an on-call route for critical platform, security and patient-safety incidents. The product is not itself an emergency response service; the approved local clinical escalation route remains accountable for care.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752"/>
        <w:gridCol w:w="3744"/>
      </w:tblGrid>
      <w:tr>
        <w:trPr>
          <w:cantSplit/>
          <w:tblHeader/>
          <w:tblHeader w:val="true"/>
          <w:cantSplit/>
        </w:trPr>
        <w:tc>
          <w:tcPr>
            <w:tcW w:type="dxa" w:w="1498"/>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Severity</w:t>
            </w:r>
          </w:p>
        </w:tc>
        <w:tc>
          <w:tcPr>
            <w:tcW w:type="dxa" w:w="4752"/>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Example</w:t>
            </w:r>
          </w:p>
        </w:tc>
        <w:tc>
          <w:tcPr>
            <w:tcW w:type="dxa" w:w="3744"/>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Proposed operating response</w:t>
            </w:r>
          </w:p>
        </w:tc>
      </w:tr>
      <w:tr>
        <w:trPr>
          <w:cantSplit/>
          <w:cantSplit/>
        </w:trPr>
        <w:tc>
          <w:tcPr>
            <w:tcW w:type="dxa" w:w="1498"/>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Critical</w:t>
            </w:r>
          </w:p>
        </w:tc>
        <w:tc>
          <w:tcPr>
            <w:tcW w:type="dxa" w:w="4752"/>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Wrong-patient disclosure, unsafe clinical behaviour, broad loss of service</w:t>
            </w:r>
          </w:p>
        </w:tc>
        <w:tc>
          <w:tcPr>
            <w:tcW w:type="dxa" w:w="3744"/>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Immediate routing to on-call owner; target acknowledgement within 15 minutes; containment and clinical escalation as appropriate</w:t>
            </w:r>
          </w:p>
        </w:tc>
      </w:tr>
      <w:tr>
        <w:trPr>
          <w:cantSplit/>
          <w:cantSplit/>
        </w:trPr>
        <w:tc>
          <w:tcPr>
            <w:tcW w:type="dxa" w:w="1498"/>
            <w:vAlign w:val="center"/>
            <w:tcMar>
              <w:top w:w="90" w:type="dxa"/>
              <w:bottom w:w="90" w:type="dxa"/>
              <w:left w:w="105" w:type="dxa"/>
              <w:right w:w="105" w:type="dxa"/>
            </w:tcMar>
            <w:shd w:fill="F3F5F7"/>
          </w:tcPr>
          <w:p>
            <w:pPr>
              <w:keepNext w:val="0"/>
              <w:spacing w:after="0" w:before="0" w:line="245" w:lineRule="auto"/>
              <w:jc w:val="center"/>
            </w:pPr>
            <w:r>
              <w:rPr>
                <w:rFonts w:ascii="Arial" w:hAnsi="Arial"/>
                <w:color w:val="000000"/>
                <w:sz w:val="20"/>
              </w:rPr>
              <w:t>High</w:t>
            </w:r>
          </w:p>
        </w:tc>
        <w:tc>
          <w:tcPr>
            <w:tcW w:type="dxa" w:w="4752"/>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One programme cannot submit, many users blocked, major queue backlog</w:t>
            </w:r>
          </w:p>
        </w:tc>
        <w:tc>
          <w:tcPr>
            <w:tcW w:type="dxa" w:w="374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Target acknowledgement within 1 working hour; activate documented workaround and recovery owner</w:t>
            </w:r>
          </w:p>
        </w:tc>
      </w:tr>
      <w:tr>
        <w:trPr>
          <w:cantSplit/>
          <w:cantSplit/>
        </w:trPr>
        <w:tc>
          <w:tcPr>
            <w:tcW w:type="dxa" w:w="1498"/>
            <w:vAlign w:val="center"/>
            <w:tcMar>
              <w:top w:w="90" w:type="dxa"/>
              <w:bottom w:w="90" w:type="dxa"/>
              <w:left w:w="105" w:type="dxa"/>
              <w:right w:w="105" w:type="dxa"/>
            </w:tcMar>
            <w:shd w:fill="FFFFFF"/>
          </w:tcPr>
          <w:p>
            <w:pPr>
              <w:keepNext/>
              <w:spacing w:after="0" w:before="0" w:line="245" w:lineRule="auto"/>
              <w:jc w:val="center"/>
            </w:pPr>
            <w:r>
              <w:rPr>
                <w:rFonts w:ascii="Arial" w:hAnsi="Arial"/>
                <w:color w:val="000000"/>
                <w:sz w:val="20"/>
              </w:rPr>
              <w:t>Normal</w:t>
            </w:r>
          </w:p>
        </w:tc>
        <w:tc>
          <w:tcPr>
            <w:tcW w:type="dxa" w:w="4752"/>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Individual correction, isolated device issue, configuration request</w:t>
            </w:r>
          </w:p>
        </w:tc>
        <w:tc>
          <w:tcPr>
            <w:tcW w:type="dxa" w:w="3744"/>
            <w:vAlign w:val="center"/>
            <w:tcMar>
              <w:top w:w="90" w:type="dxa"/>
              <w:bottom w:w="90" w:type="dxa"/>
              <w:left w:w="105" w:type="dxa"/>
              <w:right w:w="105" w:type="dxa"/>
            </w:tcMar>
            <w:shd w:fill="FFFFFF"/>
          </w:tcPr>
          <w:p>
            <w:pPr>
              <w:keepNext/>
              <w:spacing w:after="0" w:before="0" w:line="245" w:lineRule="auto"/>
            </w:pPr>
            <w:r>
              <w:rPr>
                <w:rFonts w:ascii="Arial" w:hAnsi="Arial"/>
                <w:color w:val="000000"/>
                <w:sz w:val="20"/>
              </w:rPr>
              <w:t>Target acknowledgement within 1 working day and tracked resolution</w:t>
            </w:r>
          </w:p>
        </w:tc>
      </w:tr>
      <w:tr>
        <w:trPr>
          <w:cantSplit/>
          <w:cantSplit/>
        </w:trPr>
        <w:tc>
          <w:tcPr>
            <w:tcW w:type="dxa" w:w="1498"/>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Improvement</w:t>
            </w:r>
          </w:p>
        </w:tc>
        <w:tc>
          <w:tcPr>
            <w:tcW w:type="dxa" w:w="4752"/>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New pack, new provider, usability enhancement</w:t>
            </w:r>
          </w:p>
        </w:tc>
        <w:tc>
          <w:tcPr>
            <w:tcW w:type="dxa" w:w="3744"/>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Product triage with scope and release decision</w:t>
            </w:r>
          </w:p>
        </w:tc>
      </w:tr>
    </w:tbl>
    <w:p>
      <w:pPr>
        <w:spacing w:after="60" w:before="0" w:line="40" w:lineRule="exact"/>
      </w:pPr>
      <w:r>
        <w:rPr>
          <w:sz w:val="4"/>
        </w:rPr>
      </w:r>
    </w:p>
    <w:p>
      <w:r>
        <w:t>The operating agreement shall distinguish platform failures from provider, network, device and programme-system failures while preserving a single support entry point for the worker. It shall name who contacts an external owner, who resolves identity issues, who follows up a referral and who approves record repairs.</w:t>
      </w:r>
    </w:p>
    <w:p>
      <w:r>
        <w:t>Business reporting shall expose recurring costs: hosting, AI inference, communications, media storage, security monitoring, provider licensing, integration support, training and field support. A per-worker price that conceals substantial variable charges is insufficient for buyer approval. Failed calls and retries must be visible in usage reconciliation.</w:t>
      </w:r>
    </w:p>
    <w:p>
      <w:r>
        <w:t>The buyer agreement must cover permitted use, data-processing responsibilities, service limits, change notices, provider substitution, liability allocation, audit access, continuity and termination. Provider contracts must address version changes, evidence, incident reporting, portability and end of service. Neither user lock-in nor proprietary identity formats should be required to preserve the commercial model.</w:t>
      </w:r>
    </w:p>
    <w:p>
      <w:bookmarkStart w:id="27" w:name="sec_26"/>
      <w:pPr>
        <w:pStyle w:val="Heading1"/>
      </w:pPr>
      <w:r>
        <w:t>26 Acceptance and release gates</w:t>
      </w:r>
      <w:bookmarkEnd w:id="27"/>
    </w:p>
    <w:p>
      <w:r>
        <w:t>Acceptance is based on demonstrated business behaviour, not completion of screens. Each Must requirement requires at least one acceptance test and relevant negative or failure cases. FSD and backlog entries must retain BR identifiers; test results must identify the software, programme packs, model versions, mappings and deployment configuration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752"/>
        <w:gridCol w:w="3744"/>
      </w:tblGrid>
      <w:tr>
        <w:trPr>
          <w:cantSplit/>
          <w:tblHeader/>
          <w:tblHeader w:val="true"/>
          <w:tblHeader w:val="true"/>
          <w:cantSplit/>
        </w:trPr>
        <w:tc>
          <w:tcPr>
            <w:tcW w:type="dxa" w:w="1152"/>
            <w:vAlign w:val="center"/>
            <w:tcMar>
              <w:top w:w="90" w:type="dxa"/>
              <w:bottom w:w="90" w:type="dxa"/>
              <w:left w:w="105" w:type="dxa"/>
              <w:right w:w="105" w:type="dxa"/>
              <w:start w:w="100" w:type="dxa"/>
              <w:end w:w="100" w:type="dxa"/>
            </w:tcMar>
            <w:shd w:fill="2C2F71"/>
          </w:tcPr>
          <w:p>
            <w:pPr>
              <w:keepNext/>
              <w:spacing w:after="0" w:before="0" w:line="245" w:lineRule="auto"/>
              <w:jc w:val="center"/>
            </w:pPr>
            <w:r>
              <w:rPr>
                <w:rFonts w:ascii="Arial" w:hAnsi="Arial"/>
                <w:b/>
                <w:color w:val="FFFFFF"/>
                <w:sz w:val="20"/>
              </w:rPr>
              <w:t>Gate</w:t>
            </w:r>
          </w:p>
        </w:tc>
        <w:tc>
          <w:tcPr>
            <w:tcW w:type="dxa" w:w="597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Required evidence</w:t>
            </w:r>
          </w:p>
        </w:tc>
        <w:tc>
          <w:tcPr>
            <w:tcW w:type="dxa" w:w="2160"/>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Accountable approval</w:t>
            </w:r>
          </w:p>
        </w:tc>
      </w:tr>
      <w:tr>
        <w:trPr>
          <w:cantSplit/>
          <w:cantSplit/>
        </w:trPr>
        <w:tc>
          <w:tcPr>
            <w:tcW w:type="dxa" w:w="115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G0 Business baseline</w:t>
            </w:r>
          </w:p>
        </w:tc>
        <w:tc>
          <w:tcPr>
            <w:tcW w:type="dxa" w:w="59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Scope, buyer problem, candidate programmes, success measures and unresolved decisions recorded</w:t>
            </w:r>
          </w:p>
        </w:tc>
        <w:tc>
          <w:tcPr>
            <w:tcW w:type="dxa" w:w="216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Sponsor and product owner</w:t>
            </w:r>
          </w:p>
        </w:tc>
      </w:tr>
      <w:tr>
        <w:trPr>
          <w:cantSplit/>
          <w:cantSplit/>
        </w:trPr>
        <w:tc>
          <w:tcPr>
            <w:tcW w:type="dxa" w:w="115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G1 Workflow readiness</w:t>
            </w:r>
          </w:p>
        </w:tc>
        <w:tc>
          <w:tcPr>
            <w:tcW w:type="dxa" w:w="59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Field observation, role boundaries, approved programme definitions, translation and clinical escalation routes</w:t>
            </w:r>
          </w:p>
        </w:tc>
        <w:tc>
          <w:tcPr>
            <w:tcW w:type="dxa" w:w="216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Programme owner, operations and clinical safety lead</w:t>
            </w:r>
          </w:p>
        </w:tc>
      </w:tr>
      <w:tr>
        <w:trPr>
          <w:cantSplit/>
          <w:cantSplit/>
        </w:trPr>
        <w:tc>
          <w:tcPr>
            <w:tcW w:type="dxa" w:w="115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G2 Integration readiness</w:t>
            </w:r>
          </w:p>
        </w:tc>
        <w:tc>
          <w:tcPr>
            <w:tcW w:type="dxa" w:w="5976"/>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Production access verified for two programme destinations and the selected EHR or ABDM route; sandbox and conformance tests cover the approved ABDM scope; owner-approved tests establish acceptance, consent, receipts, partial failure and correction paths</w:t>
            </w:r>
          </w:p>
        </w:tc>
        <w:tc>
          <w:tcPr>
            <w:tcW w:type="dxa" w:w="216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External system owners and integration lead</w:t>
            </w:r>
          </w:p>
        </w:tc>
      </w:tr>
      <w:tr>
        <w:trPr>
          <w:cantSplit/>
          <w:cantSplit/>
        </w:trPr>
        <w:tc>
          <w:tcPr>
            <w:tcW w:type="dxa" w:w="115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G3 AI readiness</w:t>
            </w:r>
          </w:p>
        </w:tc>
        <w:tc>
          <w:tcPr>
            <w:tcW w:type="dxa" w:w="59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Two independent providers integrated; each operational capability has evidence, data-use review, intended use and scoped activation approval</w:t>
            </w:r>
          </w:p>
        </w:tc>
        <w:tc>
          <w:tcPr>
            <w:tcW w:type="dxa" w:w="216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AI governance, clinical and privacy owners as applicable</w:t>
            </w:r>
          </w:p>
        </w:tc>
      </w:tr>
      <w:tr>
        <w:trPr>
          <w:cantSplit/>
          <w:cantSplit/>
        </w:trPr>
        <w:tc>
          <w:tcPr>
            <w:tcW w:type="dxa" w:w="115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G4 Production control readiness</w:t>
            </w:r>
          </w:p>
        </w:tc>
        <w:tc>
          <w:tcPr>
            <w:tcW w:type="dxa" w:w="59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Isolation, access, audit, offline, backup, restore, incident and security gates passed</w:t>
            </w:r>
          </w:p>
        </w:tc>
        <w:tc>
          <w:tcPr>
            <w:tcW w:type="dxa" w:w="216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Security, engineering and operations leads</w:t>
            </w:r>
          </w:p>
        </w:tc>
      </w:tr>
      <w:tr>
        <w:trPr>
          <w:cantSplit/>
          <w:cantSplit/>
        </w:trPr>
        <w:tc>
          <w:tcPr>
            <w:tcW w:type="dxa" w:w="115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G5 Pilot readiness</w:t>
            </w:r>
          </w:p>
        </w:tc>
        <w:tc>
          <w:tcPr>
            <w:tcW w:type="dxa" w:w="59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Trained cohort, working devices, support coverage, baseline study, patient-facing material and clinical responsibilities in place</w:t>
            </w:r>
          </w:p>
        </w:tc>
        <w:tc>
          <w:tcPr>
            <w:tcW w:type="dxa" w:w="216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Deployment owner</w:t>
            </w:r>
          </w:p>
        </w:tc>
      </w:tr>
      <w:tr>
        <w:trPr>
          <w:cantSplit/>
          <w:cantSplit/>
        </w:trPr>
        <w:tc>
          <w:tcPr>
            <w:tcW w:type="dxa" w:w="1152"/>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G6 Pilot exit</w:t>
            </w:r>
          </w:p>
        </w:tc>
        <w:tc>
          <w:tcPr>
            <w:tcW w:type="dxa" w:w="5976"/>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Section 6 measures reported with failures and exclusions; safety cases reviewed; support and cost evidence acceptable</w:t>
            </w:r>
          </w:p>
        </w:tc>
        <w:tc>
          <w:tcPr>
            <w:tcW w:type="dxa" w:w="2160"/>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Sponsor, buyer and accountable clinical owner</w:t>
            </w:r>
          </w:p>
        </w:tc>
      </w:tr>
      <w:tr>
        <w:trPr>
          <w:cantSplit/>
          <w:cantSplit/>
        </w:trPr>
        <w:tc>
          <w:tcPr>
            <w:tcW w:type="dxa" w:w="115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G7 Expansion approval</w:t>
            </w:r>
          </w:p>
        </w:tc>
        <w:tc>
          <w:tcPr>
            <w:tcW w:type="dxa" w:w="59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New deployment scope, legal review, capacity, programme and provider evidence accepted</w:t>
            </w:r>
          </w:p>
        </w:tc>
        <w:tc>
          <w:tcPr>
            <w:tcW w:type="dxa" w:w="216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Relevant buyer and jurisdiction owners</w:t>
            </w:r>
          </w:p>
        </w:tc>
      </w:tr>
    </w:tbl>
    <w:p>
      <w:pPr>
        <w:spacing w:after="60" w:before="0" w:line="40" w:lineRule="exact"/>
      </w:pPr>
      <w:r>
        <w:rPr>
          <w:sz w:val="4"/>
        </w:rPr>
      </w:r>
    </w:p>
    <w:p>
      <w:r>
        <w:t>R0 may pass using simulated services when clearly labelled. It cannot pass G2 for R1. If clinical authorisation is absent, administrative use may proceed only within its approved reduced scope; G3 for clinical use remains open. A limited pilot must not be marketed as proving the full product promise.</w:t>
      </w:r>
    </w:p>
    <w:p>
      <w:pPr>
        <w:pStyle w:val="Heading2"/>
      </w:pPr>
      <w:r>
        <w:t>Required acceptance scenario families</w:t>
      </w:r>
    </w:p>
    <w:p>
      <w:pPr>
        <w:pStyle w:val="ListBullet"/>
      </w:pPr>
      <w:r>
        <w:t>Complete a single-person visit serving at least two programme destinations with one set of eligible shared facts.</w:t>
      </w:r>
    </w:p>
    <w:p>
      <w:pPr>
        <w:pStyle w:val="ListBullet"/>
      </w:pPr>
      <w:r>
        <w:t>Use two independent provider capabilities without repeating worker login or manually transferring patient data.</w:t>
      </w:r>
    </w:p>
    <w:p>
      <w:pPr>
        <w:pStyle w:val="ListBullet"/>
      </w:pPr>
      <w:r>
        <w:t>Capture and resume offline, then reconcile partial acceptance and uncertain outcomes without duplicates.</w:t>
      </w:r>
    </w:p>
    <w:p>
      <w:pPr>
        <w:pStyle w:val="ListBullet"/>
      </w:pPr>
      <w:r>
        <w:t>Handle missing identifiers, similar names, shared phones, household members and wrong-link correction.</w:t>
      </w:r>
    </w:p>
    <w:p>
      <w:pPr>
        <w:pStyle w:val="ListBullet"/>
      </w:pPr>
      <w:r>
        <w:t>Decline optional AI, withdraw permission before execution and respect restricted disclosure preferences.</w:t>
      </w:r>
    </w:p>
    <w:p>
      <w:pPr>
        <w:pStyle w:val="ListBullet"/>
      </w:pPr>
      <w:r>
        <w:t>Reject unsupported model use, poor-quality media, invalid provider output and unapproved model changes.</w:t>
      </w:r>
    </w:p>
    <w:p>
      <w:pPr>
        <w:pStyle w:val="ListBullet"/>
      </w:pPr>
      <w:r>
        <w:t>Preserve required escalation despite missing connectivity, model failure or a conflicting low-risk output.</w:t>
      </w:r>
    </w:p>
    <w:p>
      <w:pPr>
        <w:pStyle w:val="ListBullet"/>
      </w:pPr>
      <w:r>
        <w:t>Prevent cross-tenant access, prompt-driven privilege changes, unsafe bulk export and secrets disclosure.</w:t>
      </w:r>
    </w:p>
    <w:p>
      <w:pPr>
        <w:pStyle w:val="ListBullet"/>
      </w:pPr>
      <w:r>
        <w:t>Recover from server failure and demonstrate durability, queue reconciliation and retention controls.</w:t>
      </w:r>
    </w:p>
    <w:p>
      <w:pPr>
        <w:pStyle w:val="ListBullet"/>
      </w:pPr>
      <w:r>
        <w:t>Generate reproducible reports and verified task outcomes without overstating completed care or clinical impact.</w:t>
      </w:r>
    </w:p>
    <w:p>
      <w:pPr>
        <w:pStyle w:val="ListBullet"/>
      </w:pPr>
      <w:r>
        <w:rPr>
          <w:rFonts w:ascii="Arial" w:hAnsi="Arial"/>
        </w:rPr>
        <w:t>Retrieve consented ABDM records as an HIU and publish an approved clinical artefact through the configured HIP path, including denial, revocation, expiry and invalid-bundle cases.</w:t>
      </w:r>
    </w:p>
    <w:p>
      <w:pPr>
        <w:pStyle w:val="ListBullet"/>
      </w:pPr>
      <w:r>
        <w:rPr>
          <w:rFonts w:ascii="Arial" w:hAnsi="Arial"/>
        </w:rPr>
        <w:t>Complete patient search, encounter creation, observation or document writeback, concurrent-update handling and reconciliation through the selected reference EHR connector.</w:t>
      </w:r>
    </w:p>
    <w:p>
      <w:pPr>
        <w:pStyle w:val="ListBullet"/>
      </w:pPr>
      <w:r>
        <w:rPr>
          <w:rFonts w:ascii="Arial" w:hAnsi="Arial"/>
        </w:rPr>
        <w:t>Demonstrate that syntactic validation, sandbox completion, production onboarding and destination acceptance remain distinct states in administration, reports and audit.</w:t>
      </w:r>
    </w:p>
    <w:p>
      <w:pPr>
        <w:pStyle w:val="Heading2"/>
      </w:pPr>
      <w:r>
        <w:t>Traceability and change control</w:t>
      </w:r>
    </w:p>
    <w:p>
      <w:r>
        <w:t>A requirement is accepted only when its business owner approves evidence against its acceptance statement. Deferral of a Should item records user impact and target release. Deferral of a Must item changes the release scope or prevents that gate; it cannot be hidden in a general backlog. Clinical, privacy or security restrictions cannot be waived solely by product priority.</w:t>
      </w:r>
    </w:p>
    <w:p>
      <w:r>
        <w:t>Every change request shall record reason, affected users, changed requirements, dependent protocols and mappings, data migration, tests, communications and rollback. Release notes shall state changes relevant to workers and administrators in their own terms rather than exposing implementation details.</w:t>
      </w:r>
    </w:p>
    <w:p>
      <w:bookmarkStart w:id="28" w:name="sec_27"/>
      <w:pPr>
        <w:pStyle w:val="Heading1"/>
      </w:pPr>
      <w:r>
        <w:t>27 Delivery sequencing and dependencies</w:t>
      </w:r>
      <w:bookmarkEnd w:id="28"/>
    </w:p>
    <w:p>
      <w:r>
        <w:t>The delivery plan should validate the hardest external dependencies early while the reusable product is built. Reliable write access and a buyer able to retire duplicate work are critical commercial dependencies. Neither can be solved by choosing a more capable language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tblHeader w:val="true"/>
          <w:cantSplit/>
        </w:trPr>
        <w:tc>
          <w:tcPr>
            <w:tcW w:type="dxa" w:w="1944"/>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Workstream</w:t>
            </w:r>
          </w:p>
        </w:tc>
        <w:tc>
          <w:tcPr>
            <w:tcW w:type="dxa" w:w="367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Initial deliverable</w:t>
            </w:r>
          </w:p>
        </w:tc>
        <w:tc>
          <w:tcPr>
            <w:tcW w:type="dxa" w:w="367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Dependency and evidence</w:t>
            </w:r>
          </w:p>
        </w:tc>
      </w:tr>
      <w:tr>
        <w:trPr>
          <w:cantSplit/>
          <w:cantSplit/>
        </w:trPr>
        <w:tc>
          <w:tcPr>
            <w:tcW w:type="dxa" w:w="19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Field discovery</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Observed visit maps, existing forms, time baseline and exception catalogue</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Access to representative workers and programme owners</w:t>
            </w:r>
          </w:p>
        </w:tc>
      </w:tr>
      <w:tr>
        <w:trPr>
          <w:cantSplit/>
          <w:cantSplit/>
        </w:trPr>
        <w:tc>
          <w:tcPr>
            <w:tcW w:type="dxa" w:w="19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Data and identity</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Shared concepts, authoritative source matrix, matching and correction rules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Actual programme dictionaries and identifiers</w:t>
            </w:r>
          </w:p>
        </w:tc>
      </w:tr>
      <w:tr>
        <w:trPr>
          <w:cantSplit/>
          <w:cantSplit/>
        </w:trPr>
        <w:tc>
          <w:tcPr>
            <w:tcW w:type="dxa" w:w="19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Integration proof</w:t>
            </w:r>
          </w:p>
        </w:tc>
        <w:tc>
          <w:tcPr>
            <w:tcW w:type="dxa" w:w="3672"/>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End-to-end write and receipt in two approved programme systems, one reference EHR or HMIS, and the selected ABDM sandbox modules</w:t>
            </w:r>
          </w:p>
        </w:tc>
        <w:tc>
          <w:tcPr>
            <w:tcW w:type="dxa" w:w="3672"/>
            <w:vAlign w:val="center"/>
            <w:tcMar>
              <w:top w:w="90" w:type="dxa"/>
              <w:bottom w:w="90" w:type="dxa"/>
              <w:left w:w="105" w:type="dxa"/>
              <w:right w:w="105" w:type="dxa"/>
              <w:start w:w="100" w:type="dxa"/>
              <w:end w:w="100" w:type="dxa"/>
            </w:tcMar>
            <w:shd w:fill="FFFFFF"/>
          </w:tcPr>
          <w:p>
            <w:pPr>
              <w:spacing w:after="0" w:line="252" w:lineRule="auto"/>
              <w:jc w:val="left"/>
            </w:pPr>
            <w:r/>
            <w:r>
              <w:rPr>
                <w:rFonts w:ascii="Arial" w:hAnsi="Arial"/>
                <w:b w:val="0"/>
                <w:color w:val="000000"/>
                <w:sz w:val="17"/>
              </w:rPr>
              <w:t>Owner permission, client onboarding, credentials, pinned profiles, mappings, tested operations and support route</w:t>
            </w:r>
          </w:p>
        </w:tc>
      </w:tr>
      <w:tr>
        <w:trPr>
          <w:cantSplit/>
          <w:cantSplit/>
        </w:trPr>
        <w:tc>
          <w:tcPr>
            <w:tcW w:type="dxa" w:w="19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Core workspace</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Patient context, capture, structured review, tasks and explicit states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Tested field design and device inventory</w:t>
            </w:r>
          </w:p>
        </w:tc>
      </w:tr>
      <w:tr>
        <w:trPr>
          <w:cantSplit/>
          <w:cantSplit/>
        </w:trPr>
        <w:tc>
          <w:tcPr>
            <w:tcW w:type="dxa" w:w="19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AI access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Two real provider adapters with governed manifests and eligibility</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Contracts, evidence, quality rules and approved use</w:t>
            </w:r>
          </w:p>
        </w:tc>
      </w:tr>
      <w:tr>
        <w:trPr>
          <w:cantSplit/>
          <w:cantSplit/>
        </w:trPr>
        <w:tc>
          <w:tcPr>
            <w:tcW w:type="dxa" w:w="19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Orchestration</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Bounded task planning with permission checks and durable action state</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Stable tools, policy rules and failure-handling requirements</w:t>
            </w:r>
          </w:p>
        </w:tc>
      </w:tr>
      <w:tr>
        <w:trPr>
          <w:cantSplit/>
          <w:cantSplit/>
        </w:trPr>
        <w:tc>
          <w:tcPr>
            <w:tcW w:type="dxa" w:w="19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Offline operation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Encrypted persistence, grant limits, queues and reconciliation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Supported device profile and approved privacy policy</w:t>
            </w:r>
          </w:p>
        </w:tc>
      </w:tr>
      <w:tr>
        <w:trPr>
          <w:cantSplit/>
          <w:cantSplit/>
        </w:trPr>
        <w:tc>
          <w:tcPr>
            <w:tcW w:type="dxa" w:w="1944"/>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Governance and support</w:t>
            </w:r>
          </w:p>
        </w:tc>
        <w:tc>
          <w:tcPr>
            <w:tcW w:type="dxa" w:w="3672"/>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Safety case, security assessment, training and response runbooks</w:t>
            </w:r>
          </w:p>
        </w:tc>
        <w:tc>
          <w:tcPr>
            <w:tcW w:type="dxa" w:w="3672"/>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Named accountable people and deployment operating agreement</w:t>
            </w:r>
          </w:p>
        </w:tc>
      </w:tr>
      <w:tr>
        <w:trPr>
          <w:cantSplit/>
          <w:cantSplit/>
        </w:trPr>
        <w:tc>
          <w:tcPr>
            <w:tcW w:type="dxa" w:w="19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Pilot evaluation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Baseline comparison, outcome report and cost evidence</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Real workflows with redundant work removed where authorised</w:t>
            </w:r>
          </w:p>
        </w:tc>
      </w:tr>
    </w:tbl>
    <w:p>
      <w:pPr>
        <w:spacing w:after="60" w:before="0" w:line="40" w:lineRule="exact"/>
      </w:pPr>
      <w:r>
        <w:rPr>
          <w:sz w:val="4"/>
        </w:rPr>
      </w:r>
    </w:p>
    <w:p>
      <w:r>
        <w:t>The FSD shall define screens, field dictionaries, detailed state transitions, protocol interfaces and permission rules. The HLD shall define service boundaries, data custody, hosting, availability and trust boundaries. The LLD shall define data structures, API contracts, event semantics and recovery behaviour. The test catalogue shall map normal and adversarial scenarios to BR and NFR identifiers. These documents must be produced from this baseline rather than replacing it with a technology-first feature list.</w:t>
      </w:r>
    </w:p>
    <w:p>
      <w:r>
        <w:t>No calendar delivery estimate is committed in this BRD. An implementation plan requires confirmed connector scope, provider contracts, field constraints and the actual team. Technical simulation can proceed immediately; operational dates depend on those external gates.</w:t>
      </w:r>
    </w:p>
    <w:p>
      <w:bookmarkStart w:id="29" w:name="sec_28"/>
      <w:pPr>
        <w:pStyle w:val="Heading1"/>
      </w:pPr>
      <w:r>
        <w:t>28 Risk and mitigation register</w:t>
      </w:r>
      <w:bookmarkEnd w:id="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90"/>
      </w:tblGrid>
      <w:tr>
        <w:trPr>
          <w:cantSplit/>
          <w:tblHeader/>
          <w:tblHeader w:val="true"/>
          <w:tblHeader w:val="true"/>
          <w:cantSplit/>
        </w:trPr>
        <w:tc>
          <w:tcPr>
            <w:tcW w:type="dxa" w:w="2232"/>
            <w:vAlign w:val="center"/>
            <w:tcMar>
              <w:top w:w="90" w:type="dxa"/>
              <w:bottom w:w="90" w:type="dxa"/>
              <w:left w:w="105" w:type="dxa"/>
              <w:right w:w="105" w:type="dxa"/>
              <w:start w:w="100" w:type="dxa"/>
              <w:end w:w="100" w:type="dxa"/>
            </w:tcMar>
            <w:shd w:fill="2C2F71"/>
          </w:tcPr>
          <w:p>
            <w:pPr>
              <w:keepNext/>
              <w:spacing w:after="0" w:before="0" w:line="245" w:lineRule="auto"/>
              <w:jc w:val="center"/>
            </w:pPr>
            <w:r>
              <w:rPr>
                <w:rFonts w:ascii="Arial" w:hAnsi="Arial"/>
                <w:b/>
                <w:color w:val="FFFFFF"/>
                <w:sz w:val="20"/>
              </w:rPr>
              <w:t>Risk</w:t>
            </w:r>
          </w:p>
        </w:tc>
        <w:tc>
          <w:tcPr>
            <w:tcW w:type="dxa" w:w="3240"/>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Business consequence</w:t>
            </w:r>
          </w:p>
        </w:tc>
        <w:tc>
          <w:tcPr>
            <w:tcW w:type="dxa" w:w="381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Required treatment and owner</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Programme APIs or write permissions unavailable</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Single-entry promise cannot be fulfilled</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Integration proof before pilot commitment; label export-only paths; integration owner</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Existing reporting remains mandatory in parallel</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Worker burden increases despite a new app</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Buyer agreement to retire or reconcile duplicate steps; sponsor and programme owner</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Wrong identity or household leakage</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Patient harm and loss of trust</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Explicit matching, private member context, correction and disclosure tests; identity and privacy owners</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Model inaccurate for local setting</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Misleading advice or missed care</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Use-specific evidence, local review, subgroup evaluation and monitoring; clinical safety lead</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Correct models combined unsafely</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Conflicting or inappropriate action</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Validate the entire composed workflow and disagreement handling; clinical and AI governance leads</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LLM invents fields or follows malicious content</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Incorrect official records or unauthorised actions</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Draft confirmation, validated tools and independent permission enforcement; product and security leads</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Provider changes silently</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Previously accepted evidence no longer applies</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Version contract, detection and suspension; provider relationship owner</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Offline device lost or shared</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Disclosure or unrecoverable unsynced work</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Encryption, limited grants, user separation and contingency process; operations and security leads</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Partial writeback and uncertain acceptance</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Duplicate or inconsistent records</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Stable action identity, receipts and reconciliation queues; integration lead</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Speech performs unevenly across users</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Increased correction burden or exclusion</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Language-specific testing, guided entry alternative and monitored errors; product owner</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Referral services cannot absorb demand</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More identified need without completed care</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Confirm service capacity and referral ownership; programme operations lead</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Alert and confirmation overload</w:t>
            </w:r>
          </w:p>
        </w:tc>
        <w:tc>
          <w:tcPr>
            <w:tcW w:type="dxa" w:w="324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Workers ignore meaningful warnings</w:t>
            </w:r>
          </w:p>
        </w:tc>
        <w:tc>
          <w:tcPr>
            <w:tcW w:type="dxa" w:w="38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Consolidate routine review and prioritise task design; product and clinical leads</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Vendor or connector costs exceed value</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Unsustainable deployment</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Meter costs and include maintenance in unit economics; sponsor and operations lead</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Evidence used as a marketing approval</w:t>
            </w:r>
          </w:p>
        </w:tc>
        <w:tc>
          <w:tcPr>
            <w:tcW w:type="dxa" w:w="3240"/>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Unauthorised clinical deployment</w:t>
            </w:r>
          </w:p>
        </w:tc>
        <w:tc>
          <w:tcPr>
            <w:tcW w:type="dxa" w:w="3816"/>
            <w:vAlign w:val="center"/>
            <w:tcMar>
              <w:top w:w="90" w:type="dxa"/>
              <w:bottom w:w="90" w:type="dxa"/>
              <w:left w:w="105" w:type="dxa"/>
              <w:right w:w="105" w:type="dxa"/>
              <w:start w:w="100" w:type="dxa"/>
              <w:end w:w="100" w:type="dxa"/>
            </w:tcMar>
            <w:shd w:fill="F2F5FA"/>
          </w:tcPr>
          <w:p>
            <w:pPr>
              <w:keepNext/>
              <w:spacing w:after="0" w:before="0" w:line="245" w:lineRule="auto"/>
            </w:pPr>
            <w:r>
              <w:rPr>
                <w:rFonts w:ascii="Arial" w:hAnsi="Arial"/>
                <w:color w:val="000000"/>
                <w:sz w:val="20"/>
              </w:rPr>
              <w:t>Separate evaluation, integration and deployment decisions; AI governance owner</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Government or staff turnover</w:t>
            </w:r>
          </w:p>
        </w:tc>
        <w:tc>
          <w:tcPr>
            <w:tcW w:type="dxa" w:w="324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Loss of access and operational ownership</w:t>
            </w:r>
          </w:p>
        </w:tc>
        <w:tc>
          <w:tcPr>
            <w:tcW w:type="dxa" w:w="38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Institutional agreements, named alternates and documented handover; sponsor</w:t>
            </w:r>
          </w:p>
        </w:tc>
      </w:tr>
      <w:tr>
        <w:trPr>
          <w:cantSplit/>
        </w:trPr>
        <w:tc>
          <w:tcPr>
            <w:tcW w:type="dxa" w:w="223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ABDM onboarding or specification changes delay deployment</w:t>
            </w:r>
          </w:p>
        </w:tc>
        <w:tc>
          <w:tcPr>
            <w:tcW w:type="dxa" w:w="3240"/>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The planned production exchange route is unavailable or requires rework</w:t>
            </w:r>
          </w:p>
        </w:tc>
        <w:tc>
          <w:tcPr>
            <w:tcW w:type="dxa" w:w="381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Pin module and profile versions, maintain sandbox regression tests and retain a direct EHR or controlled fallback; ABDM product and integration owners</w:t>
            </w:r>
          </w:p>
        </w:tc>
      </w:tr>
      <w:tr>
        <w:trPr>
          <w:cantSplit/>
        </w:trPr>
        <w:tc>
          <w:tcPr>
            <w:tcW w:type="dxa" w:w="2232"/>
            <w:vAlign w:val="center"/>
            <w:tcMar>
              <w:top w:w="90" w:type="dxa"/>
              <w:start w:w="100" w:type="dxa"/>
              <w:bottom w:w="90" w:type="dxa"/>
              <w:end w:w="100" w:type="dxa"/>
            </w:tcMar>
          </w:tcPr>
          <w:p>
            <w:pPr>
              <w:spacing w:after="0" w:line="252" w:lineRule="auto"/>
              <w:jc w:val="left"/>
            </w:pPr>
            <w:r/>
            <w:r>
              <w:rPr>
                <w:rFonts w:ascii="Arial" w:hAnsi="Arial"/>
                <w:b w:val="0"/>
                <w:color w:val="000000"/>
                <w:sz w:val="17"/>
              </w:rPr>
              <w:t>EHR exposes incomplete or proprietary interfaces</w:t>
            </w:r>
          </w:p>
        </w:tc>
        <w:tc>
          <w:tcPr>
            <w:tcW w:type="dxa" w:w="3240"/>
            <w:vAlign w:val="center"/>
            <w:tcMar>
              <w:top w:w="90" w:type="dxa"/>
              <w:start w:w="100" w:type="dxa"/>
              <w:bottom w:w="90" w:type="dxa"/>
              <w:end w:w="100" w:type="dxa"/>
            </w:tcMar>
          </w:tcPr>
          <w:p>
            <w:pPr>
              <w:spacing w:after="0" w:line="252" w:lineRule="auto"/>
              <w:jc w:val="left"/>
            </w:pPr>
            <w:r/>
            <w:r>
              <w:rPr>
                <w:rFonts w:ascii="Arial" w:hAnsi="Arial"/>
                <w:b w:val="0"/>
                <w:color w:val="000000"/>
                <w:sz w:val="17"/>
              </w:rPr>
              <w:t>The platform cannot provide the promised read, write or reconciliation behaviour</w:t>
            </w:r>
          </w:p>
        </w:tc>
        <w:tc>
          <w:tcPr>
            <w:tcW w:type="dxa" w:w="3816"/>
            <w:vAlign w:val="center"/>
            <w:tcMar>
              <w:top w:w="90" w:type="dxa"/>
              <w:start w:w="100" w:type="dxa"/>
              <w:bottom w:w="90" w:type="dxa"/>
              <w:end w:w="100" w:type="dxa"/>
            </w:tcMar>
          </w:tcPr>
          <w:p>
            <w:pPr>
              <w:spacing w:after="0" w:line="252" w:lineRule="auto"/>
              <w:jc w:val="left"/>
            </w:pPr>
            <w:r/>
            <w:r>
              <w:rPr>
                <w:rFonts w:ascii="Arial" w:hAnsi="Arial"/>
                <w:b w:val="0"/>
                <w:color w:val="000000"/>
                <w:sz w:val="17"/>
              </w:rPr>
              <w:t>Complete a capability profile and proof before commitment; label unsupported operations and use an owner-approved fallback; integration owner</w:t>
            </w:r>
          </w:p>
        </w:tc>
      </w:tr>
      <w:tr>
        <w:trPr>
          <w:cantSplit/>
        </w:trPr>
        <w:tc>
          <w:tcPr>
            <w:tcW w:type="dxa" w:w="223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Semantic mappings change clinical meaning</w:t>
            </w:r>
          </w:p>
        </w:tc>
        <w:tc>
          <w:tcPr>
            <w:tcW w:type="dxa" w:w="3240"/>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Records appear technically valid but convey the wrong code, unit or context</w:t>
            </w:r>
          </w:p>
        </w:tc>
        <w:tc>
          <w:tcPr>
            <w:tcW w:type="dxa" w:w="381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Version terminology and mappings, require clinical review and run destination fixtures; terminology and clinical owners</w:t>
            </w:r>
          </w:p>
        </w:tc>
      </w:tr>
    </w:tbl>
    <w:p>
      <w:pPr>
        <w:spacing w:after="60" w:before="0" w:line="40" w:lineRule="exact"/>
      </w:pPr>
      <w:r>
        <w:rPr>
          <w:sz w:val="4"/>
        </w:rPr>
      </w:r>
    </w:p>
    <w:p>
      <w:bookmarkStart w:id="30" w:name="sec_29"/>
      <w:pPr>
        <w:pStyle w:val="Heading1"/>
      </w:pPr>
      <w:r>
        <w:t>29 Assumptions and decision register</w:t>
      </w:r>
      <w:bookmarkEnd w:id="30"/>
    </w:p>
    <w:p>
      <w:r>
        <w:t>The product definition can be specified now, but the following decisions determine the operational pilot. Each decision has a default or a bounded option so design can progress without treating uncertainty as a confirmed 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4"/>
        <w:gridCol w:w="2448"/>
        <w:gridCol w:w="4219"/>
        <w:gridCol w:w="2693"/>
      </w:tblGrid>
      <w:tr>
        <w:trPr>
          <w:cantSplit/>
          <w:tblHeader/>
          <w:tblHeader w:val="true"/>
          <w:tblHeader w:val="true"/>
          <w:cantSplit/>
        </w:trPr>
        <w:tc>
          <w:tcPr>
            <w:tcW w:type="dxa" w:w="792"/>
            <w:vAlign w:val="center"/>
            <w:tcMar>
              <w:top w:w="90" w:type="dxa"/>
              <w:bottom w:w="90" w:type="dxa"/>
              <w:left w:w="105" w:type="dxa"/>
              <w:right w:w="105" w:type="dxa"/>
              <w:start w:w="100" w:type="dxa"/>
              <w:end w:w="100" w:type="dxa"/>
            </w:tcMar>
            <w:shd w:fill="2C2F71"/>
          </w:tcPr>
          <w:p>
            <w:pPr>
              <w:keepNext/>
              <w:spacing w:after="0" w:before="0" w:line="245" w:lineRule="auto"/>
              <w:jc w:val="center"/>
            </w:pPr>
            <w:r>
              <w:rPr>
                <w:rFonts w:ascii="Arial" w:hAnsi="Arial"/>
                <w:b/>
                <w:color w:val="FFFFFF"/>
                <w:sz w:val="20"/>
              </w:rPr>
              <w:t>ID</w:t>
            </w:r>
          </w:p>
        </w:tc>
        <w:tc>
          <w:tcPr>
            <w:tcW w:type="dxa" w:w="237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Decision or assumption</w:t>
            </w:r>
          </w:p>
        </w:tc>
        <w:tc>
          <w:tcPr>
            <w:tcW w:type="dxa" w:w="3672"/>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Proposed baseline</w:t>
            </w:r>
          </w:p>
        </w:tc>
        <w:tc>
          <w:tcPr>
            <w:tcW w:type="dxa" w:w="2448"/>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Owner and resolution gate</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D01</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Buyer and deployment authority</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One state or implementation organisation with multi-programme responsibility</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Sponsor before G1</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D02</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Pilot location and cohort</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One district; 100 to 200 workers</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Operations and buyer before G1</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D03</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Programme selection</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Maternal health, TB screening, hypertension follow-up</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Programme owners before G1</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D04</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Two live destination systems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Select from locally authoritative systems after feasibility proof</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Integration owner before G2</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D05</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AI providers and clinical use</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Two independent providers; at least one approved task-specific health capability for clinical proposition</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AI governance and clinical owners before G3</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D06</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Operational clinical authority</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Named qualified clinical lead and referral network</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Buyer before G1</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D07</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Languages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Hindi and English only if locally suitable; otherwise replace with the local required pair</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Operations before G1</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D08</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Data responsibility and processing basis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Document per purpose, organisation and recipient</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Privacy and legal leads before G2 and G3</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D09</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Hosting and transfer locations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Buyer-approved location policy covering providers and support</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Security and privacy leads before G4</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D10</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Device and authentication model</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Supported Android fleet; personal account with scoped offline grant</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Operations and security before G4</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D11</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Offline grant and data limits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24-hour default, approved extension up to 72 hours; 500 MB reference data allowance</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Privacy and operations before G4</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D12</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Retention by record class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Set distinct periods for clinical records, raw media, audit, local cache and backups</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Programme and privacy owners before G4</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D13</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Existing work to retire</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Identify duplicate forms and application steps that the buyer can officially remove</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Sponsor and programme owners before G5</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D14</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Evidence and model thresholds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Capability-specific plan with local intended use and subgroup review</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Clinical safety and AI governance before G3</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D15</w:t>
            </w:r>
          </w:p>
        </w:tc>
        <w:tc>
          <w:tcPr>
            <w:tcW w:type="dxa" w:w="237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Success measures</w:t>
            </w:r>
          </w:p>
        </w:tc>
        <w:tc>
          <w:tcPr>
            <w:tcW w:type="dxa" w:w="367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Proposed targets in Section 6; confirm baseline methods and denominators</w:t>
            </w:r>
          </w:p>
        </w:tc>
        <w:tc>
          <w:tcPr>
            <w:tcW w:type="dxa" w:w="244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Product and monitoring leads before G5</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D16</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Pricing and provider charges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Deployment fee plus recurring service and transparent usage; no price assumed</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Sponsor before commercial scale</w:t>
            </w:r>
          </w:p>
        </w:tc>
      </w:tr>
      <w:tr>
        <w:trPr>
          <w:cantSplit/>
          <w:cantSplit/>
        </w:trPr>
        <w:tc>
          <w:tcPr>
            <w:tcW w:type="dxa" w:w="792"/>
            <w:vAlign w:val="center"/>
            <w:tcMar>
              <w:top w:w="90" w:type="dxa"/>
              <w:bottom w:w="90" w:type="dxa"/>
              <w:left w:w="105" w:type="dxa"/>
              <w:right w:w="105" w:type="dxa"/>
              <w:start w:w="100" w:type="dxa"/>
              <w:end w:w="100" w:type="dxa"/>
            </w:tcMar>
            <w:shd w:fill="FFFFFF"/>
          </w:tcPr>
          <w:p>
            <w:pPr>
              <w:keepNext/>
              <w:spacing w:after="0" w:before="0" w:line="245" w:lineRule="auto"/>
              <w:jc w:val="center"/>
            </w:pPr>
            <w:r>
              <w:rPr>
                <w:rFonts w:ascii="Arial" w:hAnsi="Arial"/>
                <w:color w:val="000000"/>
                <w:sz w:val="20"/>
              </w:rPr>
              <w:t>D17</w:t>
            </w:r>
          </w:p>
        </w:tc>
        <w:tc>
          <w:tcPr>
            <w:tcW w:type="dxa" w:w="2376"/>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Relationship with evaluation Sandbox</w:t>
            </w:r>
          </w:p>
        </w:tc>
        <w:tc>
          <w:tcPr>
            <w:tcW w:type="dxa" w:w="3672"/>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Accept versioned evidence with separate operational approval</w:t>
            </w:r>
          </w:p>
        </w:tc>
        <w:tc>
          <w:tcPr>
            <w:tcW w:type="dxa" w:w="2448"/>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AI governance owner before any evidence integration</w:t>
            </w:r>
          </w:p>
        </w:tc>
      </w:tr>
      <w:tr>
        <w:trPr>
          <w:cantSplit/>
          <w:cantSplit/>
        </w:trPr>
        <w:tc>
          <w:tcPr>
            <w:tcW w:type="dxa" w:w="79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D18</w:t>
            </w:r>
          </w:p>
        </w:tc>
        <w:tc>
          <w:tcPr>
            <w:tcW w:type="dxa" w:w="237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Patient-facing and messaging channels</w:t>
            </w:r>
          </w:p>
        </w:tc>
        <w:tc>
          <w:tcPr>
            <w:tcW w:type="dxa" w:w="367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Not part of R1 core; add only with approved identity and disclosure rules</w:t>
            </w:r>
          </w:p>
        </w:tc>
        <w:tc>
          <w:tcPr>
            <w:tcW w:type="dxa" w:w="244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Product, operations and privacy before R2 scope</w:t>
            </w:r>
          </w:p>
        </w:tc>
      </w:tr>
      <w:tr>
        <w:trPr>
          <w:cantSplit/>
        </w:trPr>
        <w:tc>
          <w:tcPr>
            <w:tcW w:type="dxa" w:w="792"/>
            <w:vAlign w:val="center"/>
            <w:tcMar>
              <w:top w:w="90" w:type="dxa"/>
              <w:start w:w="100" w:type="dxa"/>
              <w:bottom w:w="90" w:type="dxa"/>
              <w:end w:w="100" w:type="dxa"/>
            </w:tcMar>
          </w:tcPr>
          <w:p>
            <w:pPr>
              <w:spacing w:after="0" w:line="252" w:lineRule="auto"/>
              <w:jc w:val="left"/>
            </w:pPr>
            <w:r/>
            <w:r>
              <w:rPr>
                <w:rFonts w:ascii="Arial" w:hAnsi="Arial"/>
                <w:b w:val="0"/>
                <w:color w:val="000000"/>
                <w:sz w:val="17"/>
              </w:rPr>
              <w:t>D19</w:t>
            </w:r>
          </w:p>
        </w:tc>
        <w:tc>
          <w:tcPr>
            <w:tcW w:type="dxa" w:w="2376"/>
            <w:vAlign w:val="center"/>
            <w:tcMar>
              <w:top w:w="90" w:type="dxa"/>
              <w:start w:w="100" w:type="dxa"/>
              <w:bottom w:w="90" w:type="dxa"/>
              <w:end w:w="100" w:type="dxa"/>
            </w:tcMar>
          </w:tcPr>
          <w:p>
            <w:pPr>
              <w:spacing w:after="0" w:line="252" w:lineRule="auto"/>
              <w:jc w:val="left"/>
            </w:pPr>
            <w:r/>
            <w:r>
              <w:rPr>
                <w:rFonts w:ascii="Arial" w:hAnsi="Arial"/>
                <w:b w:val="0"/>
                <w:color w:val="000000"/>
                <w:sz w:val="17"/>
              </w:rPr>
              <w:t>ABDM module and role scope</w:t>
            </w:r>
          </w:p>
        </w:tc>
        <w:tc>
          <w:tcPr>
            <w:tcW w:type="dxa" w:w="3672"/>
            <w:vAlign w:val="center"/>
            <w:tcMar>
              <w:top w:w="90" w:type="dxa"/>
              <w:start w:w="100" w:type="dxa"/>
              <w:bottom w:w="90" w:type="dxa"/>
              <w:end w:w="100" w:type="dxa"/>
            </w:tcMar>
          </w:tcPr>
          <w:p>
            <w:pPr>
              <w:spacing w:after="0" w:line="252" w:lineRule="auto"/>
              <w:jc w:val="left"/>
            </w:pPr>
            <w:r/>
            <w:r>
              <w:rPr>
                <w:rFonts w:ascii="Arial" w:hAnsi="Arial"/>
                <w:b w:val="0"/>
                <w:color w:val="000000"/>
                <w:sz w:val="17"/>
              </w:rPr>
              <w:t>Select exact ABHA, HIP, HIU, consented exchange, Scan and Share or NHCX functions; no blanket ABDM claim</w:t>
            </w:r>
          </w:p>
        </w:tc>
        <w:tc>
          <w:tcPr>
            <w:tcW w:type="dxa" w:w="2448"/>
            <w:vAlign w:val="center"/>
            <w:tcMar>
              <w:top w:w="90" w:type="dxa"/>
              <w:start w:w="100" w:type="dxa"/>
              <w:bottom w:w="90" w:type="dxa"/>
              <w:end w:w="100" w:type="dxa"/>
            </w:tcMar>
          </w:tcPr>
          <w:p>
            <w:pPr>
              <w:spacing w:after="0" w:line="252" w:lineRule="auto"/>
              <w:jc w:val="left"/>
            </w:pPr>
            <w:r/>
            <w:r>
              <w:rPr>
                <w:rFonts w:ascii="Arial" w:hAnsi="Arial"/>
                <w:b w:val="0"/>
                <w:color w:val="000000"/>
                <w:sz w:val="17"/>
              </w:rPr>
              <w:t>ABDM product, privacy and deployment owners before G2</w:t>
            </w:r>
          </w:p>
        </w:tc>
      </w:tr>
      <w:tr>
        <w:trPr>
          <w:cantSplit/>
        </w:trPr>
        <w:tc>
          <w:tcPr>
            <w:tcW w:type="dxa" w:w="79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D20</w:t>
            </w:r>
          </w:p>
        </w:tc>
        <w:tc>
          <w:tcPr>
            <w:tcW w:type="dxa" w:w="2376"/>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Reference EHR or HMIS</w:t>
            </w:r>
          </w:p>
        </w:tc>
        <w:tc>
          <w:tcPr>
            <w:tcW w:type="dxa" w:w="367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Select one authorised system for the R1 connector proof and document its capability profile</w:t>
            </w:r>
          </w:p>
        </w:tc>
        <w:tc>
          <w:tcPr>
            <w:tcW w:type="dxa" w:w="2448"/>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Buyer and integration owner before G2</w:t>
            </w:r>
          </w:p>
        </w:tc>
      </w:tr>
      <w:tr>
        <w:trPr>
          <w:cantSplit/>
        </w:trPr>
        <w:tc>
          <w:tcPr>
            <w:tcW w:type="dxa" w:w="792"/>
            <w:vAlign w:val="center"/>
            <w:tcMar>
              <w:top w:w="90" w:type="dxa"/>
              <w:start w:w="100" w:type="dxa"/>
              <w:bottom w:w="90" w:type="dxa"/>
              <w:end w:w="100" w:type="dxa"/>
            </w:tcMar>
          </w:tcPr>
          <w:p>
            <w:pPr>
              <w:spacing w:after="0" w:line="252" w:lineRule="auto"/>
              <w:jc w:val="left"/>
            </w:pPr>
            <w:r/>
            <w:r>
              <w:rPr>
                <w:rFonts w:ascii="Arial" w:hAnsi="Arial"/>
                <w:b w:val="0"/>
                <w:color w:val="000000"/>
                <w:sz w:val="17"/>
              </w:rPr>
              <w:t>D21</w:t>
            </w:r>
          </w:p>
        </w:tc>
        <w:tc>
          <w:tcPr>
            <w:tcW w:type="dxa" w:w="2376"/>
            <w:vAlign w:val="center"/>
            <w:tcMar>
              <w:top w:w="90" w:type="dxa"/>
              <w:start w:w="100" w:type="dxa"/>
              <w:bottom w:w="90" w:type="dxa"/>
              <w:end w:w="100" w:type="dxa"/>
            </w:tcMar>
          </w:tcPr>
          <w:p>
            <w:pPr>
              <w:spacing w:after="0" w:line="252" w:lineRule="auto"/>
              <w:jc w:val="left"/>
            </w:pPr>
            <w:r/>
            <w:r>
              <w:rPr>
                <w:rFonts w:ascii="Arial" w:hAnsi="Arial"/>
                <w:b w:val="0"/>
                <w:color w:val="000000"/>
                <w:sz w:val="17"/>
              </w:rPr>
              <w:t>Clinical exchange standards</w:t>
            </w:r>
          </w:p>
        </w:tc>
        <w:tc>
          <w:tcPr>
            <w:tcW w:type="dxa" w:w="3672"/>
            <w:vAlign w:val="center"/>
            <w:tcMar>
              <w:top w:w="90" w:type="dxa"/>
              <w:start w:w="100" w:type="dxa"/>
              <w:bottom w:w="90" w:type="dxa"/>
              <w:end w:w="100" w:type="dxa"/>
            </w:tcMar>
          </w:tcPr>
          <w:p>
            <w:pPr>
              <w:spacing w:after="0" w:line="252" w:lineRule="auto"/>
              <w:jc w:val="left"/>
            </w:pPr>
            <w:r/>
            <w:r>
              <w:rPr>
                <w:rFonts w:ascii="Arial" w:hAnsi="Arial"/>
                <w:b w:val="0"/>
                <w:color w:val="000000"/>
                <w:sz w:val="17"/>
              </w:rPr>
              <w:t>Pin the ABDM FHIR package, generic FHIR version, terminology and legacy interfaces for the deployment</w:t>
            </w:r>
          </w:p>
        </w:tc>
        <w:tc>
          <w:tcPr>
            <w:tcW w:type="dxa" w:w="2448"/>
            <w:vAlign w:val="center"/>
            <w:tcMar>
              <w:top w:w="90" w:type="dxa"/>
              <w:start w:w="100" w:type="dxa"/>
              <w:bottom w:w="90" w:type="dxa"/>
              <w:end w:w="100" w:type="dxa"/>
            </w:tcMar>
          </w:tcPr>
          <w:p>
            <w:pPr>
              <w:spacing w:after="0" w:line="252" w:lineRule="auto"/>
              <w:jc w:val="left"/>
            </w:pPr>
            <w:r/>
            <w:r>
              <w:rPr>
                <w:rFonts w:ascii="Arial" w:hAnsi="Arial"/>
                <w:b w:val="0"/>
                <w:color w:val="000000"/>
                <w:sz w:val="17"/>
              </w:rPr>
              <w:t>Integration and clinical informatics owners before G2</w:t>
            </w:r>
          </w:p>
        </w:tc>
      </w:tr>
    </w:tbl>
    <w:p>
      <w:pPr>
        <w:spacing w:after="60" w:before="0" w:line="40" w:lineRule="exact"/>
      </w:pPr>
      <w:r>
        <w:rPr>
          <w:sz w:val="4"/>
        </w:rPr>
      </w:r>
    </w:p>
    <w:p>
      <w:pPr/>
      <w:r>
        <w:rPr>
          <w:rFonts w:ascii="Arial" w:hAnsi="Arial"/>
        </w:rPr>
        <w:t>Unresolved D04 or D13 is a material risk to the core business case. Unresolved D05 limits the AI claim that can be tested. Decisions D06, D08, D09, D12, D14 and D19 to D21 constrain live patient exchange. Teams may continue safe synthetic development while resolving these dependencies; they must not describe that work as a live clinical deployment.</w:t>
      </w:r>
    </w:p>
    <w:p>
      <w:bookmarkStart w:id="31" w:name="sec_30"/>
      <w:pPr>
        <w:pStyle w:val="Heading1"/>
      </w:pPr>
      <w:r>
        <w:t>30 Business traceability</w:t>
      </w:r>
      <w:bookmarkEnd w:id="31"/>
    </w:p>
    <w:p>
      <w:r>
        <w:t>This matrix links objectives to requirement families and acceptance journeys. The FSD and test catalogue must expand it into one row per requirement without changing the IDs. Security, privacy and nonfunctional requirements apply to every relevant family even when not repeated in this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90"/>
      </w:tblGrid>
      <w:tr>
        <w:trPr>
          <w:cantSplit/>
          <w:tblHeader/>
          <w:tblHeader w:val="true"/>
          <w:tblHeader w:val="true"/>
          <w:cantSplit/>
        </w:trPr>
        <w:tc>
          <w:tcPr>
            <w:tcW w:type="dxa" w:w="2016"/>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Objective</w:t>
            </w:r>
          </w:p>
        </w:tc>
        <w:tc>
          <w:tcPr>
            <w:tcW w:type="dxa" w:w="3528"/>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Main requirement families</w:t>
            </w:r>
          </w:p>
        </w:tc>
        <w:tc>
          <w:tcPr>
            <w:tcW w:type="dxa" w:w="3744"/>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Evidence and journeys</w:t>
            </w:r>
          </w:p>
        </w:tc>
      </w:tr>
      <w:tr>
        <w:trPr>
          <w:cantSplit/>
          <w:cantSplit/>
        </w:trPr>
        <w:tc>
          <w:tcPr>
            <w:tcW w:type="dxa" w:w="20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BO1 Less repeated work</w:t>
            </w:r>
          </w:p>
        </w:tc>
        <w:tc>
          <w:tcPr>
            <w:tcW w:type="dxa" w:w="352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BR-UX, BR-DATA, BR-PROG, BR-INT, BR-OFF</w:t>
            </w:r>
          </w:p>
        </w:tc>
        <w:tc>
          <w:tcPr>
            <w:tcW w:type="dxa" w:w="37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J01 and J03; time and repeat-entry baseline comparison</w:t>
            </w:r>
          </w:p>
        </w:tc>
      </w:tr>
      <w:tr>
        <w:trPr>
          <w:cantSplit/>
          <w:cantSplit/>
        </w:trPr>
        <w:tc>
          <w:tcPr>
            <w:tcW w:type="dxa" w:w="20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BO2 Easier AI access</w:t>
            </w:r>
          </w:p>
        </w:tc>
        <w:tc>
          <w:tcPr>
            <w:tcW w:type="dxa" w:w="352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BR-UX, BR-AG, BR-AI, BR-CLIN</w:t>
            </w:r>
          </w:p>
        </w:tc>
        <w:tc>
          <w:tcPr>
            <w:tcW w:type="dxa" w:w="37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J02 and J05; two real providers in one workspace</w:t>
            </w:r>
          </w:p>
        </w:tc>
      </w:tr>
      <w:tr>
        <w:trPr>
          <w:cantSplit/>
          <w:cantSplit/>
        </w:trPr>
        <w:tc>
          <w:tcPr>
            <w:tcW w:type="dxa" w:w="2016"/>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BO3 Continuity of care</w:t>
            </w:r>
          </w:p>
        </w:tc>
        <w:tc>
          <w:tcPr>
            <w:tcW w:type="dxa" w:w="3528"/>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BR-ID, BR-PROG, BR-CARE, BR-REP</w:t>
            </w:r>
          </w:p>
        </w:tc>
        <w:tc>
          <w:tcPr>
            <w:tcW w:type="dxa" w:w="3744"/>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J01, J04 and J06; verified referral and follow-up states</w:t>
            </w:r>
          </w:p>
        </w:tc>
      </w:tr>
      <w:tr>
        <w:trPr>
          <w:cantSplit/>
          <w:cantSplit/>
        </w:trPr>
        <w:tc>
          <w:tcPr>
            <w:tcW w:type="dxa" w:w="20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BO4 Better record quality</w:t>
            </w:r>
          </w:p>
        </w:tc>
        <w:tc>
          <w:tcPr>
            <w:tcW w:type="dxa" w:w="352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BR-DATA, BR-INT, BR-REP, BR-RULE</w:t>
            </w:r>
          </w:p>
        </w:tc>
        <w:tc>
          <w:tcPr>
            <w:tcW w:type="dxa" w:w="37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J03 and J04; reconciliation, amendments and data-quality evidence</w:t>
            </w:r>
          </w:p>
        </w:tc>
      </w:tr>
      <w:tr>
        <w:trPr>
          <w:cantSplit/>
          <w:cantSplit/>
        </w:trPr>
        <w:tc>
          <w:tcPr>
            <w:tcW w:type="dxa" w:w="2016"/>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BO5 Trust and control</w:t>
            </w:r>
          </w:p>
        </w:tc>
        <w:tc>
          <w:tcPr>
            <w:tcW w:type="dxa" w:w="3528"/>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BR-ID, BR-AG, BR-AI, BR-CLIN, BR-SEC, BR-RULE, NFR</w:t>
            </w:r>
          </w:p>
        </w:tc>
        <w:tc>
          <w:tcPr>
            <w:tcW w:type="dxa" w:w="3744"/>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J02, J04, J05 and J07; adversarial, privacy and clinical safety tests</w:t>
            </w:r>
          </w:p>
        </w:tc>
      </w:tr>
      <w:tr>
        <w:trPr>
          <w:cantSplit/>
          <w:cantSplit/>
        </w:trPr>
        <w:tc>
          <w:tcPr>
            <w:tcW w:type="dxa" w:w="2016"/>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BO6 Repeatable deployment</w:t>
            </w:r>
          </w:p>
        </w:tc>
        <w:tc>
          <w:tcPr>
            <w:tcW w:type="dxa" w:w="3528"/>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BR-AI, BR-INT, BR-OPS, BR-REP, NFR</w:t>
            </w:r>
          </w:p>
        </w:tc>
        <w:tc>
          <w:tcPr>
            <w:tcW w:type="dxa" w:w="3744"/>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J05 and J06; onboarding effort, support, operating cost and exit rehearsal</w:t>
            </w:r>
          </w:p>
        </w:tc>
      </w:tr>
      <w:tr>
        <w:trPr>
          <w:cantSplit/>
        </w:trPr>
        <w:tc>
          <w:tcPr>
            <w:tcW w:type="dxa" w:w="2016"/>
            <w:vAlign w:val="center"/>
            <w:tcMar>
              <w:top w:w="90" w:type="dxa"/>
              <w:start w:w="100" w:type="dxa"/>
              <w:bottom w:w="90" w:type="dxa"/>
              <w:end w:w="100" w:type="dxa"/>
            </w:tcMar>
          </w:tcPr>
          <w:p>
            <w:pPr>
              <w:spacing w:after="0" w:line="252" w:lineRule="auto"/>
              <w:jc w:val="left"/>
            </w:pPr>
            <w:r/>
            <w:r>
              <w:rPr>
                <w:rFonts w:ascii="Arial" w:hAnsi="Arial"/>
                <w:b w:val="0"/>
                <w:color w:val="000000"/>
                <w:sz w:val="17"/>
              </w:rPr>
              <w:t>BO7 Governed interoperability</w:t>
            </w:r>
          </w:p>
        </w:tc>
        <w:tc>
          <w:tcPr>
            <w:tcW w:type="dxa" w:w="3528"/>
            <w:vAlign w:val="center"/>
            <w:tcMar>
              <w:top w:w="90" w:type="dxa"/>
              <w:start w:w="100" w:type="dxa"/>
              <w:bottom w:w="90" w:type="dxa"/>
              <w:end w:w="100" w:type="dxa"/>
            </w:tcMar>
          </w:tcPr>
          <w:p>
            <w:pPr>
              <w:spacing w:after="0" w:line="252" w:lineRule="auto"/>
              <w:jc w:val="left"/>
            </w:pPr>
            <w:r/>
            <w:r>
              <w:rPr>
                <w:rFonts w:ascii="Arial" w:hAnsi="Arial"/>
                <w:b w:val="0"/>
                <w:color w:val="000000"/>
                <w:sz w:val="17"/>
              </w:rPr>
              <w:t>BR-INT, BR-ID, BR-DATA, BR-SEC, NFR-20 and NFR-25 to 28</w:t>
            </w:r>
          </w:p>
        </w:tc>
        <w:tc>
          <w:tcPr>
            <w:tcW w:type="dxa" w:w="3744"/>
            <w:vAlign w:val="center"/>
            <w:tcMar>
              <w:top w:w="90" w:type="dxa"/>
              <w:start w:w="100" w:type="dxa"/>
              <w:bottom w:w="90" w:type="dxa"/>
              <w:end w:w="100" w:type="dxa"/>
            </w:tcMar>
          </w:tcPr>
          <w:p>
            <w:pPr>
              <w:spacing w:after="0" w:line="252" w:lineRule="auto"/>
              <w:jc w:val="left"/>
            </w:pPr>
            <w:r/>
            <w:r>
              <w:rPr>
                <w:rFonts w:ascii="Arial" w:hAnsi="Arial"/>
                <w:b w:val="0"/>
                <w:color w:val="000000"/>
                <w:sz w:val="17"/>
              </w:rPr>
              <w:t>J08 to J12; ABDM and EHR conformance, consent, reconciliation and provenance evidence</w:t>
            </w:r>
          </w:p>
        </w:tc>
      </w:tr>
    </w:tbl>
    <w:p>
      <w:pPr>
        <w:spacing w:after="60" w:before="0" w:line="40" w:lineRule="exact"/>
      </w:pPr>
      <w:r>
        <w:rPr>
          <w:sz w:val="4"/>
        </w:rPr>
      </w:r>
    </w:p>
    <w:p>
      <w:bookmarkStart w:id="32" w:name="sec_31"/>
      <w:pPr>
        <w:pStyle w:val="Heading1"/>
      </w:pPr>
      <w:r>
        <w:t>Appendix A Terms and definitions</w:t>
      </w:r>
      <w:bookmarkEnd w:id="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330"/>
      </w:tblGrid>
      <w:tr>
        <w:trPr>
          <w:cantSplit/>
          <w:tblHeader/>
          <w:tblHeader w:val="true"/>
          <w:tblHeader w:val="true"/>
          <w:cantSplit/>
        </w:trPr>
        <w:tc>
          <w:tcPr>
            <w:tcW w:type="dxa" w:w="2232"/>
            <w:vAlign w:val="center"/>
            <w:tcMar>
              <w:top w:w="90" w:type="dxa"/>
              <w:bottom w:w="90" w:type="dxa"/>
              <w:left w:w="105" w:type="dxa"/>
              <w:right w:w="105" w:type="dxa"/>
              <w:start w:w="100" w:type="dxa"/>
              <w:end w:w="100" w:type="dxa"/>
            </w:tcMar>
            <w:shd w:fill="2C2F71"/>
          </w:tcPr>
          <w:p>
            <w:pPr>
              <w:keepNext/>
              <w:spacing w:after="0" w:before="0" w:line="245" w:lineRule="auto"/>
              <w:jc w:val="center"/>
            </w:pPr>
            <w:r>
              <w:rPr>
                <w:rFonts w:ascii="Arial" w:hAnsi="Arial"/>
                <w:b/>
                <w:color w:val="FFFFFF"/>
                <w:sz w:val="20"/>
              </w:rPr>
              <w:t>Term</w:t>
            </w:r>
          </w:p>
        </w:tc>
        <w:tc>
          <w:tcPr>
            <w:tcW w:type="dxa" w:w="7200"/>
            <w:vAlign w:val="center"/>
            <w:tcMar>
              <w:top w:w="90" w:type="dxa"/>
              <w:bottom w:w="90" w:type="dxa"/>
              <w:left w:w="105" w:type="dxa"/>
              <w:right w:w="105" w:type="dxa"/>
              <w:start w:w="100" w:type="dxa"/>
              <w:end w:w="100" w:type="dxa"/>
            </w:tcMar>
            <w:shd w:fill="2C2F71"/>
          </w:tcPr>
          <w:p>
            <w:pPr>
              <w:keepNext/>
              <w:spacing w:after="0" w:before="0" w:line="245" w:lineRule="auto"/>
            </w:pPr>
            <w:r>
              <w:rPr>
                <w:rFonts w:ascii="Arial" w:hAnsi="Arial"/>
                <w:b/>
                <w:color w:val="FFFFFF"/>
                <w:sz w:val="20"/>
              </w:rPr>
              <w:t>Meaning in this BRD</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ASHA</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Accredited Social Health Activist; primary illustrative frontline role</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ANM</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Auxiliary Nurse Midwife; local authority depends on credentials and protocol</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MIS</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Management information system; may hold person records, activities or aggregates</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jc w:val="center"/>
            </w:pPr>
            <w:r>
              <w:rPr>
                <w:rFonts w:ascii="Arial" w:hAnsi="Arial"/>
                <w:color w:val="000000"/>
                <w:sz w:val="20"/>
              </w:rPr>
              <w:t>Agent</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Software that pursues an authorised bounded task using approved tools and context</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Capability</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 defined AI or non-AI service with a purpose, contract, limits and accountable owner</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Programme pack</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Versioned questions, workflow, rules, indicators and mappings for a programme</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Encounter</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A person-specific health interaction; a household visit can contain several encounters</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Provenance</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Evidence of where a fact, result or decision came from and how it changed</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Idempotency</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Repeating the same logical request does not create an additional business effect</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Reconciliation</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Establishing the actual state after changes, partial failures or uncertain responses</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val="0"/>
              <w:spacing w:after="0" w:before="0" w:line="245" w:lineRule="auto"/>
              <w:jc w:val="center"/>
            </w:pPr>
            <w:r>
              <w:rPr>
                <w:rFonts w:ascii="Arial" w:hAnsi="Arial"/>
                <w:color w:val="000000"/>
                <w:sz w:val="20"/>
              </w:rPr>
              <w:t>DAK</w:t>
            </w:r>
          </w:p>
        </w:tc>
        <w:tc>
          <w:tcPr>
            <w:tcW w:type="dxa" w:w="7200"/>
            <w:vAlign w:val="center"/>
            <w:tcMar>
              <w:top w:w="90" w:type="dxa"/>
              <w:bottom w:w="90" w:type="dxa"/>
              <w:left w:w="105" w:type="dxa"/>
              <w:right w:w="105" w:type="dxa"/>
              <w:start w:w="100" w:type="dxa"/>
              <w:end w:w="100" w:type="dxa"/>
            </w:tcMar>
            <w:shd w:fill="FFFFFF"/>
          </w:tcPr>
          <w:p>
            <w:pPr>
              <w:keepNext w:val="0"/>
              <w:spacing w:after="0" w:before="0" w:line="245" w:lineRule="auto"/>
            </w:pPr>
            <w:r>
              <w:rPr>
                <w:rFonts w:ascii="Arial" w:hAnsi="Arial"/>
                <w:color w:val="000000"/>
                <w:sz w:val="20"/>
              </w:rPr>
              <w:t>WHO Digital Adaptation Kit; structured reference for adapting guidelines into digital workflows</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RPO and RTO</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Maximum targeted data-loss window and service-restoration time after an incident</w:t>
            </w:r>
          </w:p>
        </w:tc>
      </w:tr>
      <w:tr>
        <w:trPr>
          <w:cantSplit/>
          <w:cantSplit/>
        </w:trPr>
        <w:tc>
          <w:tcPr>
            <w:tcW w:type="dxa" w:w="2232"/>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Shadow use</w:t>
            </w:r>
          </w:p>
        </w:tc>
        <w:tc>
          <w:tcPr>
            <w:tcW w:type="dxa" w:w="7200"/>
            <w:vAlign w:val="center"/>
            <w:tcMar>
              <w:top w:w="90" w:type="dxa"/>
              <w:bottom w:w="90" w:type="dxa"/>
              <w:left w:w="105" w:type="dxa"/>
              <w:right w:w="105" w:type="dxa"/>
              <w:start w:w="100" w:type="dxa"/>
              <w:end w:w="100" w:type="dxa"/>
            </w:tcMar>
            <w:shd w:fill="FFFFFF"/>
          </w:tcPr>
          <w:p>
            <w:pPr>
              <w:keepNext/>
              <w:spacing w:after="0" w:before="0" w:line="245" w:lineRule="auto"/>
            </w:pPr>
            <w:r>
              <w:rPr>
                <w:rFonts w:ascii="Arial" w:hAnsi="Arial"/>
                <w:color w:val="000000"/>
                <w:sz w:val="20"/>
              </w:rPr>
              <w:t>Evaluation of a capability without its output driving the operational care workflow</w:t>
            </w:r>
          </w:p>
        </w:tc>
      </w:tr>
      <w:tr>
        <w:trPr>
          <w:cantSplit/>
          <w:cantSplit/>
        </w:trPr>
        <w:tc>
          <w:tcPr>
            <w:tcW w:type="dxa" w:w="2232"/>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Release gate</w:t>
            </w:r>
          </w:p>
        </w:tc>
        <w:tc>
          <w:tcPr>
            <w:tcW w:type="dxa" w:w="7200"/>
            <w:vAlign w:val="center"/>
            <w:tcMar>
              <w:top w:w="90" w:type="dxa"/>
              <w:bottom w:w="90" w:type="dxa"/>
              <w:left w:w="105" w:type="dxa"/>
              <w:right w:w="105" w:type="dxa"/>
              <w:start w:w="100" w:type="dxa"/>
              <w:end w:w="100" w:type="dxa"/>
            </w:tcMar>
            <w:shd w:fill="F2F5FA"/>
          </w:tcPr>
          <w:p>
            <w:pPr>
              <w:keepNext w:val="0"/>
              <w:spacing w:after="0" w:before="0" w:line="245" w:lineRule="auto"/>
            </w:pPr>
            <w:r>
              <w:rPr>
                <w:rFonts w:ascii="Arial" w:hAnsi="Arial"/>
                <w:color w:val="000000"/>
                <w:sz w:val="20"/>
              </w:rPr>
              <w:t>A condition requiring evidence and accountable approval before the stated release</w:t>
            </w:r>
          </w:p>
        </w:tc>
      </w:tr>
      <w:tr>
        <w:trPr>
          <w:cantSplit/>
        </w:trPr>
        <w:tc>
          <w:tcPr>
            <w:tcW w:type="dxa" w:w="2232"/>
            <w:vAlign w:val="center"/>
            <w:tcMar>
              <w:top w:w="90" w:type="dxa"/>
              <w:start w:w="100" w:type="dxa"/>
              <w:bottom w:w="90" w:type="dxa"/>
              <w:end w:w="100" w:type="dxa"/>
            </w:tcMar>
          </w:tcPr>
          <w:p>
            <w:pPr>
              <w:spacing w:after="0" w:line="252" w:lineRule="auto"/>
              <w:jc w:val="left"/>
            </w:pPr>
            <w:r/>
            <w:r>
              <w:rPr>
                <w:rFonts w:ascii="Arial" w:hAnsi="Arial"/>
                <w:b w:val="0"/>
                <w:color w:val="000000"/>
                <w:sz w:val="17"/>
              </w:rPr>
              <w:t>HIP</w:t>
            </w:r>
          </w:p>
        </w:tc>
        <w:tc>
          <w:tcPr>
            <w:tcW w:type="dxa" w:w="7200"/>
            <w:vAlign w:val="center"/>
            <w:tcMar>
              <w:top w:w="90" w:type="dxa"/>
              <w:start w:w="100" w:type="dxa"/>
              <w:bottom w:w="90" w:type="dxa"/>
              <w:end w:w="100" w:type="dxa"/>
            </w:tcMar>
          </w:tcPr>
          <w:p>
            <w:pPr>
              <w:spacing w:after="0" w:line="252" w:lineRule="auto"/>
              <w:jc w:val="left"/>
            </w:pPr>
            <w:r/>
            <w:r>
              <w:rPr>
                <w:rFonts w:ascii="Arial" w:hAnsi="Arial"/>
                <w:b w:val="0"/>
                <w:color w:val="000000"/>
                <w:sz w:val="17"/>
              </w:rPr>
              <w:t>Health Information Provider in the ABDM exchange model.</w:t>
            </w:r>
          </w:p>
        </w:tc>
      </w:tr>
      <w:tr>
        <w:trPr>
          <w:cantSplit/>
        </w:trPr>
        <w:tc>
          <w:tcPr>
            <w:tcW w:type="dxa" w:w="223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HIU</w:t>
            </w:r>
          </w:p>
        </w:tc>
        <w:tc>
          <w:tcPr>
            <w:tcW w:type="dxa" w:w="7200"/>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Health Information User in the ABDM exchange model.</w:t>
            </w:r>
          </w:p>
        </w:tc>
      </w:tr>
      <w:tr>
        <w:trPr>
          <w:cantSplit/>
        </w:trPr>
        <w:tc>
          <w:tcPr>
            <w:tcW w:type="dxa" w:w="2232"/>
            <w:vAlign w:val="center"/>
            <w:tcMar>
              <w:top w:w="90" w:type="dxa"/>
              <w:start w:w="100" w:type="dxa"/>
              <w:bottom w:w="90" w:type="dxa"/>
              <w:end w:w="100" w:type="dxa"/>
            </w:tcMar>
          </w:tcPr>
          <w:p>
            <w:pPr>
              <w:spacing w:after="0" w:line="252" w:lineRule="auto"/>
              <w:jc w:val="left"/>
            </w:pPr>
            <w:r/>
            <w:r>
              <w:rPr>
                <w:rFonts w:ascii="Arial" w:hAnsi="Arial"/>
                <w:b w:val="0"/>
                <w:color w:val="000000"/>
                <w:sz w:val="17"/>
              </w:rPr>
              <w:t>HFR and HPR</w:t>
            </w:r>
          </w:p>
        </w:tc>
        <w:tc>
          <w:tcPr>
            <w:tcW w:type="dxa" w:w="7200"/>
            <w:vAlign w:val="center"/>
            <w:tcMar>
              <w:top w:w="90" w:type="dxa"/>
              <w:start w:w="100" w:type="dxa"/>
              <w:bottom w:w="90" w:type="dxa"/>
              <w:end w:w="100" w:type="dxa"/>
            </w:tcMar>
          </w:tcPr>
          <w:p>
            <w:pPr>
              <w:spacing w:after="0" w:line="252" w:lineRule="auto"/>
              <w:jc w:val="left"/>
            </w:pPr>
            <w:r/>
            <w:r>
              <w:rPr>
                <w:rFonts w:ascii="Arial" w:hAnsi="Arial"/>
                <w:b w:val="0"/>
                <w:color w:val="000000"/>
                <w:sz w:val="17"/>
              </w:rPr>
              <w:t>Health Facility Registry and Healthcare Professionals Registry identifiers used where required for verified attribution.</w:t>
            </w:r>
          </w:p>
        </w:tc>
      </w:tr>
      <w:tr>
        <w:trPr>
          <w:cantSplit/>
        </w:trPr>
        <w:tc>
          <w:tcPr>
            <w:tcW w:type="dxa" w:w="2232"/>
            <w:vAlign w:val="center"/>
            <w:tcMar>
              <w:top w:w="90" w:type="dxa"/>
              <w:start w:w="100" w:type="dxa"/>
              <w:bottom w:w="90" w:type="dxa"/>
              <w:end w:w="100" w:type="dxa"/>
            </w:tcMar>
          </w:tcPr>
          <w:p>
            <w:pPr>
              <w:spacing w:after="0" w:line="252" w:lineRule="auto"/>
              <w:jc w:val="left"/>
            </w:pPr>
            <w:r/>
            <w:r>
              <w:rPr>
                <w:rFonts w:ascii="Arial" w:hAnsi="Arial"/>
                <w:b w:val="0"/>
                <w:color w:val="000000"/>
                <w:sz w:val="17"/>
              </w:rPr>
              <w:t>Canonical representation</w:t>
            </w:r>
          </w:p>
        </w:tc>
        <w:tc>
          <w:tcPr>
            <w:tcW w:type="dxa" w:w="7200"/>
            <w:vAlign w:val="center"/>
            <w:tcMar>
              <w:top w:w="90" w:type="dxa"/>
              <w:start w:w="100" w:type="dxa"/>
              <w:bottom w:w="90" w:type="dxa"/>
              <w:end w:w="100" w:type="dxa"/>
            </w:tcMar>
          </w:tcPr>
          <w:p>
            <w:pPr>
              <w:spacing w:after="0" w:line="252" w:lineRule="auto"/>
              <w:jc w:val="left"/>
            </w:pPr>
            <w:r/>
            <w:r>
              <w:rPr>
                <w:rFonts w:ascii="Arial" w:hAnsi="Arial"/>
                <w:b w:val="0"/>
                <w:color w:val="000000"/>
                <w:sz w:val="17"/>
              </w:rPr>
              <w:t>The platform form of a fact or record used to translate between sources and destinations while preserving provenance and meaning.</w:t>
            </w:r>
          </w:p>
        </w:tc>
      </w:tr>
      <w:tr>
        <w:trPr>
          <w:cantSplit/>
        </w:trPr>
        <w:tc>
          <w:tcPr>
            <w:tcW w:type="dxa" w:w="2232"/>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Connector capability profile</w:t>
            </w:r>
          </w:p>
        </w:tc>
        <w:tc>
          <w:tcPr>
            <w:tcW w:type="dxa" w:w="7200"/>
            <w:vAlign w:val="center"/>
            <w:tcMar>
              <w:top w:w="90" w:type="dxa"/>
              <w:start w:w="100" w:type="dxa"/>
              <w:bottom w:w="90" w:type="dxa"/>
              <w:end w:w="100" w:type="dxa"/>
            </w:tcMar>
            <w:shd w:fill="F2F5FA"/>
          </w:tcPr>
          <w:p>
            <w:pPr>
              <w:spacing w:after="0" w:line="252" w:lineRule="auto"/>
              <w:jc w:val="left"/>
            </w:pPr>
            <w:r/>
            <w:r>
              <w:rPr>
                <w:rFonts w:ascii="Arial" w:hAnsi="Arial"/>
                <w:b w:val="0"/>
                <w:color w:val="000000"/>
                <w:sz w:val="17"/>
              </w:rPr>
              <w:t>The approved declaration of what an external system actually permits the platform to read, write, search, amend and reconcile.</w:t>
            </w:r>
          </w:p>
        </w:tc>
      </w:tr>
      <w:tr>
        <w:trPr>
          <w:cantSplit/>
        </w:trPr>
        <w:tc>
          <w:tcPr>
            <w:tcW w:type="dxa" w:w="2232"/>
            <w:vAlign w:val="center"/>
            <w:tcMar>
              <w:top w:w="90" w:type="dxa"/>
              <w:start w:w="100" w:type="dxa"/>
              <w:bottom w:w="90" w:type="dxa"/>
              <w:end w:w="100" w:type="dxa"/>
            </w:tcMar>
          </w:tcPr>
          <w:p>
            <w:r>
              <w:t>ABDM</w:t>
            </w:r>
          </w:p>
        </w:tc>
        <w:tc>
          <w:tcPr>
            <w:tcW w:type="dxa" w:w="7200"/>
            <w:vAlign w:val="center"/>
            <w:tcMar>
              <w:top w:w="90" w:type="dxa"/>
              <w:start w:w="100" w:type="dxa"/>
              <w:bottom w:w="90" w:type="dxa"/>
              <w:end w:w="100" w:type="dxa"/>
            </w:tcMar>
          </w:tcPr>
          <w:p>
            <w:r>
              <w:t>Ayushman Bharat Digital Mission; the applicable module, role and environment must be named rather than assumed.</w:t>
            </w:r>
          </w:p>
        </w:tc>
      </w:tr>
      <w:tr>
        <w:trPr>
          <w:cantSplit/>
        </w:trPr>
        <w:tc>
          <w:tcPr>
            <w:tcW w:type="dxa" w:w="2232"/>
            <w:vAlign w:val="center"/>
            <w:tcMar>
              <w:top w:w="90" w:type="dxa"/>
              <w:start w:w="100" w:type="dxa"/>
              <w:bottom w:w="90" w:type="dxa"/>
              <w:end w:w="100" w:type="dxa"/>
            </w:tcMar>
            <w:shd w:fill="F2F5FA"/>
          </w:tcPr>
          <w:p>
            <w:r>
              <w:t>ABHA</w:t>
            </w:r>
          </w:p>
        </w:tc>
        <w:tc>
          <w:tcPr>
            <w:tcW w:type="dxa" w:w="7200"/>
            <w:vAlign w:val="center"/>
            <w:tcMar>
              <w:top w:w="90" w:type="dxa"/>
              <w:start w:w="100" w:type="dxa"/>
              <w:bottom w:w="90" w:type="dxa"/>
              <w:end w:w="100" w:type="dxa"/>
            </w:tcMar>
            <w:shd w:fill="F2F5FA"/>
          </w:tcPr>
          <w:p>
            <w:r>
              <w:t>Ayushman Bharat Health Account identifier and address services used through authorised workflows; an ABHA match is not automatic permission to disclose records.</w:t>
            </w:r>
          </w:p>
        </w:tc>
      </w:tr>
      <w:tr>
        <w:trPr>
          <w:cantSplit/>
        </w:trPr>
        <w:tc>
          <w:tcPr>
            <w:tcW w:type="dxa" w:w="2232"/>
            <w:vAlign w:val="center"/>
            <w:tcMar>
              <w:top w:w="90" w:type="dxa"/>
              <w:start w:w="100" w:type="dxa"/>
              <w:bottom w:w="90" w:type="dxa"/>
              <w:end w:w="100" w:type="dxa"/>
            </w:tcMar>
          </w:tcPr>
          <w:p>
            <w:r>
              <w:t>FHIR</w:t>
            </w:r>
          </w:p>
        </w:tc>
        <w:tc>
          <w:tcPr>
            <w:tcW w:type="dxa" w:w="7200"/>
            <w:vAlign w:val="center"/>
            <w:tcMar>
              <w:top w:w="90" w:type="dxa"/>
              <w:start w:w="100" w:type="dxa"/>
              <w:bottom w:w="90" w:type="dxa"/>
              <w:end w:w="100" w:type="dxa"/>
            </w:tcMar>
          </w:tcPr>
          <w:p>
            <w:r>
              <w:t>HL7 Fast Healthcare Interoperability Resources; this BRD uses FHIR R4 and the deployment-pinned ABDM profiles where applicable.</w:t>
            </w:r>
          </w:p>
        </w:tc>
      </w:tr>
    </w:tbl>
    <w:p>
      <w:pPr>
        <w:spacing w:after="60" w:before="0" w:line="40" w:lineRule="exact"/>
      </w:pPr>
      <w:r>
        <w:rPr>
          <w:sz w:val="4"/>
        </w:rPr>
      </w:r>
    </w:p>
    <w:p>
      <w:bookmarkStart w:id="33" w:name="sec_32"/>
      <w:pPr>
        <w:pStyle w:val="Heading1"/>
      </w:pPr>
      <w:r>
        <w:t>Appendix B Reference basis</w:t>
      </w:r>
      <w:bookmarkEnd w:id="33"/>
    </w:p>
    <w:p>
      <w:pPr/>
      <w:r>
        <w:rPr>
          <w:rFonts w:ascii="Arial" w:hAnsi="Arial"/>
        </w:rPr>
        <w:t>References were checked on 26 September 2026. They inform terminology, exchange design and governance expectations. The requirements and numerical targets in this BRD are proposed product decisions unless explicitly attributed. External reference versions and legal applicability must be rechecked when the deployment is approved.</w:t>
      </w:r>
    </w:p>
    <w:p>
      <w:r/>
      <w:r>
        <w:rPr>
          <w:b/>
        </w:rPr>
        <w:t>S1 National Health Authority.</w:t>
      </w:r>
      <w:r>
        <w:t xml:space="preserve"> Guidelines for Health Information Providers and Health Information Users. Reference for ABDM participation, roles and authorised exchange. This reference does not establish access to any specific programme MIS.</w:t>
      </w:r>
    </w:p>
    <w:p>
      <w:pPr>
        <w:pStyle w:val="Small"/>
      </w:pPr>
      <w:hyperlink r:id="rId11">
        <w:r>
          <w:rPr>
            <w:color w:val="000000"/>
          </w:rPr>
          <w:t>Open source reference</w:t>
        </w:r>
      </w:hyperlink>
    </w:p>
    <w:p>
      <w:r/>
      <w:r>
        <w:rPr>
          <w:b/>
        </w:rPr>
        <w:t>S2 National Resource Center for EHR Standards.</w:t>
      </w:r>
      <w:r>
        <w:t xml:space="preserve"> FHIR Implementation Guide for ABDM, published version 6.5.0 based on FHIR R4. Reference for health-record profiles and exchange conformance; implementation must agree the version with the receiving ecosystem.</w:t>
      </w:r>
    </w:p>
    <w:p>
      <w:pPr>
        <w:pStyle w:val="Small"/>
      </w:pPr>
      <w:hyperlink r:id="rId12">
        <w:r>
          <w:rPr>
            <w:color w:val="000000"/>
          </w:rPr>
          <w:t>Open source reference</w:t>
        </w:r>
      </w:hyperlink>
    </w:p>
    <w:p>
      <w:r/>
      <w:r>
        <w:rPr>
          <w:b/>
        </w:rPr>
        <w:t>S3 World Health Organization.</w:t>
      </w:r>
      <w:r>
        <w:t xml:space="preserve"> Digital adaptation kit for tuberculosis, 8 May 2024. Reference for separating personas, workflows, data elements, decision support and indicators; local protocols still require authorised adaptation.</w:t>
      </w:r>
    </w:p>
    <w:p>
      <w:pPr>
        <w:pStyle w:val="Small"/>
      </w:pPr>
      <w:hyperlink r:id="rId13">
        <w:r>
          <w:rPr>
            <w:color w:val="000000"/>
          </w:rPr>
          <w:t>Open source reference</w:t>
        </w:r>
      </w:hyperlink>
    </w:p>
    <w:p>
      <w:r/>
      <w:r>
        <w:rPr>
          <w:b/>
        </w:rPr>
        <w:t>S4 World Health Organization.</w:t>
      </w:r>
      <w:r>
        <w:t xml:space="preserve"> Ethics and governance of artificial intelligence for health guidance on large multi-modal models. Reference for health AI governance and oversight; it is not a certification scheme for this product.</w:t>
      </w:r>
    </w:p>
    <w:p>
      <w:pPr>
        <w:pStyle w:val="Small"/>
      </w:pPr>
      <w:hyperlink r:id="rId14">
        <w:r>
          <w:rPr>
            <w:color w:val="000000"/>
          </w:rPr>
          <w:t>Open source reference</w:t>
        </w:r>
      </w:hyperlink>
    </w:p>
    <w:p>
      <w:r/>
      <w:r>
        <w:rPr>
          <w:b/>
        </w:rPr>
        <w:t>S5 Ministry of Electronics and Information Technology.</w:t>
      </w:r>
      <w:r>
        <w:t xml:space="preserve"> Digital Personal Data Protection Rules 2025 and associated enforcement materials. Reference entry point for deployment-specific legal review; no universal implementation date or legal conclusion is asserted here.</w:t>
      </w:r>
    </w:p>
    <w:p>
      <w:pPr>
        <w:pStyle w:val="Small"/>
      </w:pPr>
      <w:hyperlink r:id="rId15">
        <w:r>
          <w:rPr>
            <w:color w:val="000000"/>
          </w:rPr>
          <w:t>Open source reference</w:t>
        </w:r>
      </w:hyperlink>
    </w:p>
    <w:p>
      <w:r/>
      <w:r>
        <w:rPr>
          <w:b/>
        </w:rPr>
        <w:t>S6 World Wide Web Consortium.</w:t>
      </w:r>
      <w:r>
        <w:t xml:space="preserve"> Web Content Accessibility Guidelines 2.2. Reference for the proposed web accessibility target and applicable mobile design principles.</w:t>
      </w:r>
    </w:p>
    <w:p>
      <w:pPr>
        <w:pStyle w:val="Small"/>
      </w:pPr>
      <w:hyperlink r:id="rId16">
        <w:r>
          <w:rPr>
            <w:color w:val="000000"/>
          </w:rPr>
          <w:t>Open source reference</w:t>
        </w:r>
      </w:hyperlink>
    </w:p>
    <w:p>
      <w:r/>
      <w:r>
        <w:rPr>
          <w:b/>
        </w:rPr>
        <w:t>S7 World Health Organization.</w:t>
      </w:r>
      <w:r>
        <w:t xml:space="preserve"> SMART Guidelines and digital adaptation kits. Reference for programme packs that explicitly separate evidence, business workflows, core data and decision logic [S3, S7].</w:t>
      </w:r>
    </w:p>
    <w:p>
      <w:pPr>
        <w:pStyle w:val="Small"/>
      </w:pPr>
      <w:hyperlink r:id="rId17">
        <w:r>
          <w:rPr>
            <w:color w:val="000000"/>
          </w:rPr>
          <w:t>Open source reference</w:t>
        </w:r>
      </w:hyperlink>
    </w:p>
    <w:p>
      <w:pPr/>
      <w:r>
        <w:rPr>
          <w:rFonts w:ascii="Arial" w:hAnsi="Arial"/>
        </w:rPr>
        <w:t>S8 National Health Authority. Guidance Document for ABDM Compliant HMIS and LMIS. Reference for minimum ABDM-facing product capabilities; the deployment must use the current NHA requirements.</w:t>
      </w:r>
    </w:p>
    <w:p>
      <w:pPr>
        <w:pStyle w:val="Small"/>
      </w:pPr>
      <w:hyperlink r:id="rId18">
        <w:r>
          <w:rPr>
            <w:color w:val="2C2F71"/>
            <w:u w:val="single"/>
          </w:rPr>
          <w:t>Open source reference</w:t>
        </w:r>
      </w:hyperlink>
    </w:p>
    <w:p>
      <w:pPr/>
      <w:r>
        <w:rPr>
          <w:rFonts w:ascii="Arial" w:hAnsi="Arial"/>
        </w:rPr>
        <w:t>S9 National Health Authority. ABDM Sandbox documentation for current integration modules and API flows. Reference for implementation testing; sandbox success is not production authorisation.</w:t>
      </w:r>
    </w:p>
    <w:p>
      <w:pPr>
        <w:pStyle w:val="Small"/>
      </w:pPr>
      <w:hyperlink r:id="rId19">
        <w:r>
          <w:rPr>
            <w:color w:val="2C2F71"/>
            <w:u w:val="single"/>
          </w:rPr>
          <w:t>Open source reference</w:t>
        </w:r>
      </w:hyperlink>
    </w:p>
    <w:p>
      <w:bookmarkStart w:id="34" w:name="sec_33"/>
      <w:pPr>
        <w:pStyle w:val="Heading1"/>
      </w:pPr>
      <w:r>
        <w:t>Appendix C Approval record</w:t>
      </w:r>
      <w:bookmarkEnd w:id="34"/>
    </w:p>
    <w:p>
      <w:r>
        <w:t>Approval applies to the scope and version identified, including any documented conditions. Blank entries indicate a decision still required, not implied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17"/>
        <w:gridCol w:w="3701"/>
      </w:tblGrid>
      <w:tr>
        <w:trPr>
          <w:cantSplit/>
          <w:tblHeader/>
          <w:tblHeader w:val="true"/>
          <w:cantSplit/>
        </w:trPr>
        <w:tc>
          <w:tcPr>
            <w:tcW w:type="dxa" w:w="2376"/>
            <w:vAlign w:val="center"/>
            <w:tcMar>
              <w:top w:w="90" w:type="dxa"/>
              <w:bottom w:w="90" w:type="dxa"/>
              <w:left w:w="105" w:type="dxa"/>
              <w:right w:w="105" w:type="dxa"/>
            </w:tcMar>
            <w:shd w:fill="24364B"/>
          </w:tcPr>
          <w:p>
            <w:pPr>
              <w:keepNext/>
              <w:spacing w:after="0" w:before="0" w:line="245" w:lineRule="auto"/>
              <w:jc w:val="center"/>
            </w:pPr>
            <w:r>
              <w:rPr>
                <w:rFonts w:ascii="Arial" w:hAnsi="Arial"/>
                <w:b/>
                <w:color w:val="FFFFFF"/>
                <w:sz w:val="20"/>
              </w:rPr>
              <w:t>Review</w:t>
            </w:r>
          </w:p>
        </w:tc>
        <w:tc>
          <w:tcPr>
            <w:tcW w:type="dxa" w:w="3917"/>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Accountable role</w:t>
            </w:r>
          </w:p>
        </w:tc>
        <w:tc>
          <w:tcPr>
            <w:tcW w:type="dxa" w:w="3701"/>
            <w:vAlign w:val="center"/>
            <w:tcMar>
              <w:top w:w="90" w:type="dxa"/>
              <w:bottom w:w="90" w:type="dxa"/>
              <w:left w:w="105" w:type="dxa"/>
              <w:right w:w="105" w:type="dxa"/>
            </w:tcMar>
            <w:shd w:fill="24364B"/>
          </w:tcPr>
          <w:p>
            <w:pPr>
              <w:keepNext/>
              <w:spacing w:after="0" w:before="0" w:line="245" w:lineRule="auto"/>
            </w:pPr>
            <w:r>
              <w:rPr>
                <w:rFonts w:ascii="Arial" w:hAnsi="Arial"/>
                <w:b/>
                <w:color w:val="FFFFFF"/>
                <w:sz w:val="20"/>
              </w:rPr>
              <w:t>Decision and date</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Business scope and outcomes</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Sponsor and product owner</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Programme definitions and reporting</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Each participating programme owner</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Clinical workflow and model use</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Clinical safety lead and authorised institution</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Data use and privacy</w:t>
            </w:r>
          </w:p>
        </w:tc>
        <w:tc>
          <w:tcPr>
            <w:tcW w:type="dxa" w:w="3917"/>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Privacy and legal leads</w:t>
            </w:r>
          </w:p>
        </w:tc>
        <w:tc>
          <w:tcPr>
            <w:tcW w:type="dxa" w:w="3701"/>
            <w:vAlign w:val="center"/>
            <w:tcMar>
              <w:top w:w="90" w:type="dxa"/>
              <w:bottom w:w="90" w:type="dxa"/>
              <w:left w:w="105" w:type="dxa"/>
              <w:right w:w="105" w:type="dxa"/>
            </w:tcMar>
            <w:shd w:fill="F3F5F7"/>
          </w:tcPr>
          <w:p>
            <w:pPr>
              <w:keepNext w:val="0"/>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Security and access</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Security lead</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Integration and operational readiness</w:t>
            </w:r>
          </w:p>
        </w:tc>
        <w:tc>
          <w:tcPr>
            <w:tcW w:type="dxa" w:w="3917"/>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External system owners and operations lead</w:t>
            </w:r>
          </w:p>
        </w:tc>
        <w:tc>
          <w:tcPr>
            <w:tcW w:type="dxa" w:w="3701"/>
            <w:vAlign w:val="center"/>
            <w:tcMar>
              <w:top w:w="90" w:type="dxa"/>
              <w:bottom w:w="90" w:type="dxa"/>
              <w:left w:w="105" w:type="dxa"/>
              <w:right w:w="105" w:type="dxa"/>
            </w:tcMar>
            <w:shd w:fill="F3F5F7"/>
          </w:tcPr>
          <w:p>
            <w:pPr>
              <w:keepNext/>
              <w:spacing w:after="0" w:before="0" w:line="245" w:lineRule="auto"/>
            </w:pPr>
            <w:r>
              <w:rPr>
                <w:rFonts w:ascii="Arial" w:hAnsi="Arial"/>
                <w:color w:val="000000"/>
                <w:sz w:val="20"/>
              </w:rPr>
              <w:t>To be recorded</w:t>
            </w:r>
          </w:p>
        </w:tc>
      </w:tr>
      <w:tr>
        <w:trPr>
          <w:cantSplit/>
          <w:cantSplit/>
        </w:trPr>
        <w:tc>
          <w:tcPr>
            <w:tcW w:type="dxa" w:w="2376"/>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Pilot launch</w:t>
            </w:r>
          </w:p>
        </w:tc>
        <w:tc>
          <w:tcPr>
            <w:tcW w:type="dxa" w:w="3917"/>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Deployment owner</w:t>
            </w:r>
          </w:p>
        </w:tc>
        <w:tc>
          <w:tcPr>
            <w:tcW w:type="dxa" w:w="3701"/>
            <w:vAlign w:val="center"/>
            <w:tcMar>
              <w:top w:w="90" w:type="dxa"/>
              <w:bottom w:w="90" w:type="dxa"/>
              <w:left w:w="105" w:type="dxa"/>
              <w:right w:w="105" w:type="dxa"/>
            </w:tcMar>
            <w:shd w:fill="FFFFFF"/>
          </w:tcPr>
          <w:p>
            <w:pPr>
              <w:keepNext w:val="0"/>
              <w:spacing w:after="0" w:before="0" w:line="245" w:lineRule="auto"/>
            </w:pPr>
            <w:r>
              <w:rPr>
                <w:rFonts w:ascii="Arial" w:hAnsi="Arial"/>
                <w:color w:val="000000"/>
                <w:sz w:val="20"/>
              </w:rPr>
              <w:t>To be recorded</w:t>
            </w:r>
          </w:p>
        </w:tc>
      </w:tr>
    </w:tbl>
    <w:p>
      <w:pPr>
        <w:spacing w:after="60" w:before="0" w:line="40" w:lineRule="exact"/>
      </w:pPr>
      <w:r>
        <w:rPr>
          <w:sz w:val="4"/>
        </w:rPr>
      </w:r>
    </w:p>
    <w:sectPr w:rsidR="00FC693F" w:rsidRPr="0006063C" w:rsidSect="00034616">
      <w:headerReference w:type="default" r:id="rId9"/>
      <w:footerReference w:type="default" r:id="rId10"/>
      <w:pgSz w:w="12240" w:h="15840"/>
      <w:pgMar w:top="1008" w:right="1123" w:bottom="936" w:left="1123" w:header="389"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994" w:val="right"/>
      </w:tabs>
    </w:pPr>
    <w:r>
      <w:t>BRD v1.1  |  26 September 2026</w:t>
      <w:tab/>
    </w:r>
    <w:r>
      <w:t xml:space="preserve">Page </w:t>
    </w:r>
    <w:fldSimple w:instr="PAGE">
      <w:r>
        <w:rPr>
          <w:sz w:val="19"/>
          <w:rFonts w:ascii="Arial" w:hAnsi="Arial"/>
        </w:rPr>
        <w:t>1</w:t>
      </w:r>
    </w:fldSimple>
    <w:r>
      <w:t xml:space="preserve"> of </w:t>
    </w:r>
    <w:fldSimple w:instr="NUMPAGES">
      <w:r>
        <w:rPr>
          <w:sz w:val="19"/>
          <w:rFonts w:ascii="Arial" w:hAnsi="Arial"/>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Health AI Orchestration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eastAsia="Arial"/>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245" w:hanging="187"/>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Next/>
      <w:keepLines/>
      <w:spacing w:before="200" w:after="80"/>
    </w:pPr>
    <w:rPr>
      <w:b/>
      <w:sz w:val="22"/>
    </w:rPr>
  </w:style>
  <w:style w:type="paragraph" w:customStyle="1" w:styleId="Acceptance">
    <w:name w:val="Acceptance"/>
    <w:basedOn w:val="Normal"/>
    <w:pPr>
      <w:keepLines/>
      <w:spacing w:after="140" w:line="252" w:lineRule="auto"/>
    </w:pPr>
    <w:rPr>
      <w:sz w:val="21"/>
    </w:rPr>
  </w:style>
  <w:style w:type="paragraph" w:customStyle="1" w:styleId="ContentsLine">
    <w:name w:val="Contents Line"/>
    <w:basedOn w:val="Normal"/>
    <w:pPr>
      <w:tabs>
        <w:tab w:pos="9720" w:val="right" w:leader="dot"/>
      </w:tabs>
      <w:spacing w:after="80" w:line="240" w:lineRule="auto"/>
    </w:pPr>
    <w:rPr>
      <w:sz w:val="21"/>
    </w:rPr>
  </w:style>
  <w:style w:type="paragraph" w:customStyle="1" w:styleId="Small">
    <w:name w:val="Small"/>
    <w:basedOn w:val="Normal"/>
    <w:pPr>
      <w:spacing w:after="10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bdm.gov.in/strapicms/uploads/HIP_HIU_Guidelines_f85df336ec.pdf" TargetMode="External"/><Relationship Id="rId12" Type="http://schemas.openxmlformats.org/officeDocument/2006/relationships/hyperlink" Target="https://nrces.in/ndhm/fhir/r4/" TargetMode="External"/><Relationship Id="rId13" Type="http://schemas.openxmlformats.org/officeDocument/2006/relationships/hyperlink" Target="https://www.who.int/publications/i/item/9789240086616" TargetMode="External"/><Relationship Id="rId14" Type="http://schemas.openxmlformats.org/officeDocument/2006/relationships/hyperlink" Target="https://www.who.int/publications/i/item/9789240084759" TargetMode="External"/><Relationship Id="rId15" Type="http://schemas.openxmlformats.org/officeDocument/2006/relationships/hyperlink" Target="https://www.meity.gov.in/documents/act-and-policies/digital-personal-data-protection-rules-2025-gDOxUjMtQWa" TargetMode="External"/><Relationship Id="rId16" Type="http://schemas.openxmlformats.org/officeDocument/2006/relationships/hyperlink" Target="https://www.w3.org/TR/WCAG22/" TargetMode="External"/><Relationship Id="rId17" Type="http://schemas.openxmlformats.org/officeDocument/2006/relationships/hyperlink" Target="https://www.who.int/publications/m/item/who-digital-accelerator-kits" TargetMode="External"/><Relationship Id="rId18" Type="http://schemas.openxmlformats.org/officeDocument/2006/relationships/hyperlink" Target="https://abdm.gov.in/strapicms/uploads/Guidance_Document_for_ABDM_Compliant_HMIS_LMIS_d066e52a6d.pdf" TargetMode="External"/><Relationship Id="rId19" Type="http://schemas.openxmlformats.org/officeDocument/2006/relationships/hyperlink" Target="https://sandbox.abdm.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AI Orchestration Platform Business Requirements Document</dc:title>
  <dc:subject>Business requirements for an agentic health workspace, AI orchestration, ABDM and EHR interoperability</dc:subject>
  <dc:creator>Aplyd</dc:creator>
  <cp:keywords>BRD, health, AI orchestration, ASHA, programme interoperability</cp:keywords>
  <dc:description>Version 1.1</dc:description>
  <cp:lastModifiedBy/>
  <cp:revision>1</cp:revision>
  <dcterms:created xsi:type="dcterms:W3CDTF">2013-12-23T23:15:00Z</dcterms:created>
  <dcterms:modified xsi:type="dcterms:W3CDTF">2013-12-23T23:15:00Z</dcterms:modified>
  <cp:category/>
</cp:coreProperties>
</file>