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Low Level Design</w:t>
      </w:r>
    </w:p>
    <w:p>
      <w:r>
        <w:t>Detailed state, transaction and failure-handling rules for implementation and technical review.</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3024"/>
        <w:gridCol w:w="3888"/>
        <w:gridCol w:w="3168"/>
      </w:tblGrid>
      <w:tr>
        <w:trPr>
          <w:tblHeader/>
          <w:cantSplit/>
        </w:trPr>
        <w:tc>
          <w:tcPr>
            <w:tcW w:type="dxa" w:w="3024"/>
            <w:shd w:fill="173A50"/>
            <w:tcMar>
              <w:top w:w="90" w:type="dxa"/>
              <w:bottom w:w="90" w:type="dxa"/>
              <w:left w:w="90" w:type="dxa"/>
              <w:right w:w="90" w:type="dxa"/>
            </w:tcMar>
          </w:tcPr>
          <w:p>
            <w:pPr>
              <w:spacing w:after="60" w:before="20"/>
            </w:pPr>
            <w:r>
              <w:rPr>
                <w:b/>
                <w:color w:val="FFFFFF"/>
                <w:sz w:val="19"/>
              </w:rPr>
              <w:t>Document</w:t>
            </w:r>
          </w:p>
        </w:tc>
        <w:tc>
          <w:tcPr>
            <w:tcW w:type="dxa" w:w="3888"/>
            <w:shd w:fill="173A50"/>
            <w:tcMar>
              <w:top w:w="90" w:type="dxa"/>
              <w:bottom w:w="90" w:type="dxa"/>
              <w:left w:w="90" w:type="dxa"/>
              <w:right w:w="90" w:type="dxa"/>
            </w:tcMar>
          </w:tcPr>
          <w:p>
            <w:pPr>
              <w:spacing w:after="60" w:before="20"/>
            </w:pPr>
            <w:r>
              <w:rPr>
                <w:b/>
                <w:color w:val="FFFFFF"/>
                <w:sz w:val="19"/>
              </w:rPr>
              <w:t>Baseline</w:t>
            </w:r>
          </w:p>
        </w:tc>
        <w:tc>
          <w:tcPr>
            <w:tcW w:type="dxa" w:w="3168"/>
            <w:shd w:fill="173A50"/>
            <w:tcMar>
              <w:top w:w="90" w:type="dxa"/>
              <w:bottom w:w="90" w:type="dxa"/>
              <w:left w:w="90" w:type="dxa"/>
              <w:right w:w="90" w:type="dxa"/>
            </w:tcMar>
          </w:tcPr>
          <w:p>
            <w:pPr>
              <w:spacing w:after="60" w:before="20"/>
            </w:pPr>
            <w:r>
              <w:rPr>
                <w:b/>
                <w:color w:val="FFFFFF"/>
                <w:sz w:val="19"/>
              </w:rPr>
              <w:t>Status</w:t>
            </w:r>
          </w:p>
        </w:tc>
      </w:tr>
      <w:tr>
        <w:trPr>
          <w:cantSplit/>
        </w:trPr>
        <w:tc>
          <w:tcPr>
            <w:tcW w:type="dxa" w:w="3024"/>
            <w:shd w:fill="FFFFFF"/>
            <w:tcMar>
              <w:top w:w="90" w:type="dxa"/>
              <w:bottom w:w="90" w:type="dxa"/>
              <w:left w:w="90" w:type="dxa"/>
              <w:right w:w="90" w:type="dxa"/>
            </w:tcMar>
          </w:tcPr>
          <w:p>
            <w:pPr>
              <w:spacing w:after="60" w:before="20"/>
            </w:pPr>
            <w:r>
              <w:rPr>
                <w:b w:val="0"/>
                <w:color w:val="17242D"/>
                <w:sz w:val="19"/>
              </w:rPr>
              <w:t>HAO 03 · Version 1.0</w:t>
            </w:r>
          </w:p>
        </w:tc>
        <w:tc>
          <w:tcPr>
            <w:tcW w:type="dxa" w:w="3888"/>
            <w:shd w:fill="FFFFFF"/>
            <w:tcMar>
              <w:top w:w="90" w:type="dxa"/>
              <w:bottom w:w="90" w:type="dxa"/>
              <w:left w:w="90" w:type="dxa"/>
              <w:right w:w="90" w:type="dxa"/>
            </w:tcMar>
          </w:tcPr>
          <w:p>
            <w:pPr>
              <w:spacing w:after="60" w:before="20"/>
            </w:pPr>
            <w:r>
              <w:rPr>
                <w:b w:val="0"/>
                <w:color w:val="17242D"/>
                <w:sz w:val="19"/>
              </w:rPr>
              <w:t>BRD v1.1 · 26 September 2026</w:t>
            </w:r>
          </w:p>
        </w:tc>
        <w:tc>
          <w:tcPr>
            <w:tcW w:type="dxa" w:w="3168"/>
            <w:shd w:fill="FFFFFF"/>
            <w:tcMar>
              <w:top w:w="90" w:type="dxa"/>
              <w:bottom w:w="90" w:type="dxa"/>
              <w:left w:w="90" w:type="dxa"/>
              <w:right w:w="90" w:type="dxa"/>
            </w:tcMar>
          </w:tcPr>
          <w:p>
            <w:pPr>
              <w:spacing w:after="60" w:before="20"/>
            </w:pPr>
            <w:r>
              <w:rPr>
                <w:b w:val="0"/>
                <w:color w:val="17242D"/>
                <w:sz w:val="19"/>
              </w:rPr>
              <w:t>Proposed for review</w:t>
            </w:r>
          </w:p>
        </w:tc>
      </w:tr>
    </w:tbl>
    <w:p>
      <w:pPr>
        <w:spacing w:after="20"/>
      </w:pPr>
    </w:p>
    <w:p>
      <w:r>
        <w:t>This document expands the existing BRD. Source requirements retain their priority and release labels. Architecture choices are proposals until the named owners accept them. Specified behaviour, implemented behaviour and executed evidence are separate statuses.</w:t>
      </w:r>
    </w:p>
    <w:p>
      <w:pPr>
        <w:pStyle w:val="Heading1"/>
      </w:pPr>
      <w:r>
        <w:t>Command processing contract</w:t>
      </w:r>
    </w:p>
    <w:p>
      <w:r>
        <w:t>All mutations enter through a typed command handler. Derive tenant, actor and active role from a verified session. Reject unexpected request fields. Resolve target resources within tenant and relationship scope before revealing their existence. For an update, If-Match carries the exact resource version. The Idempotency-Key is scoped by tenant, actor and command name; reuse with different canonical bytes returns a conflict.</w:t>
      </w:r>
    </w:p>
    <w:p>
      <w:pPr>
        <w:spacing w:after="0"/>
      </w:pPr>
      <w:r>
        <w:rPr>
          <w:rFonts w:ascii="Consolas" w:hAnsi="Consolas"/>
          <w:sz w:val="18"/>
        </w:rPr>
        <w:t>handle(command, session):</w:t>
      </w:r>
    </w:p>
    <w:p>
      <w:pPr>
        <w:spacing w:after="0"/>
      </w:pPr>
      <w:r>
        <w:rPr>
          <w:rFonts w:ascii="Consolas" w:hAnsi="Consolas"/>
          <w:sz w:val="18"/>
        </w:rPr>
        <w:t xml:space="preserve">  verify_session_and_schema(command, session)</w:t>
      </w:r>
    </w:p>
    <w:p>
      <w:pPr>
        <w:spacing w:after="0"/>
      </w:pPr>
      <w:r>
        <w:rPr>
          <w:rFonts w:ascii="Consolas" w:hAnsi="Consolas"/>
          <w:sz w:val="18"/>
        </w:rPr>
        <w:t xml:space="preserve">  begin transaction</w:t>
      </w:r>
    </w:p>
    <w:p>
      <w:pPr>
        <w:spacing w:after="0"/>
      </w:pPr>
      <w:r>
        <w:rPr>
          <w:rFonts w:ascii="Consolas" w:hAnsi="Consolas"/>
          <w:sz w:val="18"/>
        </w:rPr>
        <w:t xml:space="preserve">  set_local_verified_tenant(session.tenant)</w:t>
      </w:r>
    </w:p>
    <w:p>
      <w:pPr>
        <w:spacing w:after="0"/>
      </w:pPr>
      <w:r>
        <w:rPr>
          <w:rFonts w:ascii="Consolas" w:hAnsi="Consolas"/>
          <w:sz w:val="18"/>
        </w:rPr>
        <w:t xml:space="preserve">  claim_idempotency_key_or_return_matching_receipt()</w:t>
      </w:r>
    </w:p>
    <w:p>
      <w:pPr>
        <w:spacing w:after="0"/>
      </w:pPr>
      <w:r>
        <w:rPr>
          <w:rFonts w:ascii="Consolas" w:hAnsi="Consolas"/>
          <w:sz w:val="18"/>
        </w:rPr>
        <w:t xml:space="preserve">  lock_target_and_check_expected_version()</w:t>
      </w:r>
    </w:p>
    <w:p>
      <w:pPr>
        <w:spacing w:after="0"/>
      </w:pPr>
      <w:r>
        <w:rPr>
          <w:rFonts w:ascii="Consolas" w:hAnsi="Consolas"/>
          <w:sz w:val="18"/>
        </w:rPr>
        <w:t xml:space="preserve">  evaluate_current_policy_and_state_guard()</w:t>
      </w:r>
    </w:p>
    <w:p>
      <w:pPr>
        <w:spacing w:after="0"/>
      </w:pPr>
      <w:r>
        <w:rPr>
          <w:rFonts w:ascii="Consolas" w:hAnsi="Consolas"/>
          <w:sz w:val="18"/>
        </w:rPr>
        <w:t xml:space="preserve">  append_revision_and_apply_transition()</w:t>
      </w:r>
    </w:p>
    <w:p>
      <w:pPr>
        <w:spacing w:after="0"/>
      </w:pPr>
      <w:r>
        <w:rPr>
          <w:rFonts w:ascii="Consolas" w:hAnsi="Consolas"/>
          <w:sz w:val="18"/>
        </w:rPr>
        <w:t xml:space="preserve">  append_redacted_audit_and_outbox_event()</w:t>
      </w:r>
    </w:p>
    <w:p>
      <w:pPr>
        <w:spacing w:after="0"/>
      </w:pPr>
      <w:r>
        <w:rPr>
          <w:rFonts w:ascii="Consolas" w:hAnsi="Consolas"/>
          <w:sz w:val="18"/>
        </w:rPr>
        <w:t xml:space="preserve">  persist_command_receipt()</w:t>
      </w:r>
    </w:p>
    <w:p>
      <w:pPr>
        <w:spacing w:after="0"/>
      </w:pPr>
      <w:r>
        <w:rPr>
          <w:rFonts w:ascii="Consolas" w:hAnsi="Consolas"/>
          <w:sz w:val="18"/>
        </w:rPr>
        <w:t xml:space="preserve">  commit</w:t>
      </w:r>
    </w:p>
    <w:p>
      <w:pPr>
        <w:spacing w:after="0"/>
      </w:pPr>
      <w:r>
        <w:rPr>
          <w:rFonts w:ascii="Consolas" w:hAnsi="Consolas"/>
          <w:sz w:val="18"/>
        </w:rPr>
        <w:t xml:space="preserve">  return platform_receipt</w:t>
      </w:r>
    </w:p>
    <w:p>
      <w:r>
        <w:t>A concurrent claim on the same key waits for the first transaction or returns its committed receipt. A database failure before commit yields no accepted command. The client can retry the same key to resolve an uncertain response. A platform receipt reports durable command acceptance, not an external destination receipt.</w:t>
      </w:r>
    </w:p>
    <w:p>
      <w:pPr>
        <w:pStyle w:val="Heading1"/>
      </w:pPr>
      <w:r>
        <w:t>Resource state machines</w:t>
      </w:r>
    </w:p>
    <w:p>
      <w:pPr>
        <w:pStyle w:val="Heading2"/>
      </w:pPr>
      <w:r>
        <w:t>Encounter</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draft</w:t>
            </w:r>
          </w:p>
        </w:tc>
        <w:tc>
          <w:tcPr>
            <w:tcW w:type="dxa" w:w="1800"/>
            <w:shd w:fill="FFFFFF"/>
            <w:tcMar>
              <w:top w:w="90" w:type="dxa"/>
              <w:bottom w:w="90" w:type="dxa"/>
              <w:left w:w="90" w:type="dxa"/>
              <w:right w:w="90" w:type="dxa"/>
            </w:tcMar>
          </w:tcPr>
          <w:p>
            <w:pPr>
              <w:spacing w:after="60" w:before="20"/>
            </w:pPr>
            <w:r>
              <w:rPr>
                <w:b w:val="0"/>
                <w:color w:val="17242D"/>
                <w:sz w:val="19"/>
              </w:rPr>
              <w:t>confirm</w:t>
            </w:r>
          </w:p>
        </w:tc>
        <w:tc>
          <w:tcPr>
            <w:tcW w:type="dxa" w:w="1584"/>
            <w:shd w:fill="FFFFFF"/>
            <w:tcMar>
              <w:top w:w="90" w:type="dxa"/>
              <w:bottom w:w="90" w:type="dxa"/>
              <w:left w:w="90" w:type="dxa"/>
              <w:right w:w="90" w:type="dxa"/>
            </w:tcMar>
          </w:tcPr>
          <w:p>
            <w:pPr>
              <w:spacing w:after="60" w:before="20"/>
            </w:pPr>
            <w:r>
              <w:rPr>
                <w:b w:val="0"/>
                <w:color w:val="17242D"/>
                <w:sz w:val="19"/>
              </w:rPr>
              <w:t>confirmed</w:t>
            </w:r>
          </w:p>
        </w:tc>
        <w:tc>
          <w:tcPr>
            <w:tcW w:type="dxa" w:w="5256"/>
            <w:shd w:fill="FFFFFF"/>
            <w:tcMar>
              <w:top w:w="90" w:type="dxa"/>
              <w:bottom w:w="90" w:type="dxa"/>
              <w:left w:w="90" w:type="dxa"/>
              <w:right w:w="90" w:type="dxa"/>
            </w:tcMar>
          </w:tcPr>
          <w:p>
            <w:pPr>
              <w:spacing w:after="60" w:before="20"/>
            </w:pPr>
            <w:r>
              <w:rPr>
                <w:b w:val="0"/>
                <w:color w:val="17242D"/>
                <w:sz w:val="19"/>
              </w:rPr>
              <w:t>Worker confirms person and facts; expected version matches</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confirmed</w:t>
            </w:r>
          </w:p>
        </w:tc>
        <w:tc>
          <w:tcPr>
            <w:tcW w:type="dxa" w:w="1800"/>
            <w:shd w:fill="F2F6F8"/>
            <w:tcMar>
              <w:top w:w="90" w:type="dxa"/>
              <w:bottom w:w="90" w:type="dxa"/>
              <w:left w:w="90" w:type="dxa"/>
              <w:right w:w="90" w:type="dxa"/>
            </w:tcMar>
          </w:tcPr>
          <w:p>
            <w:pPr>
              <w:spacing w:after="60" w:before="20"/>
            </w:pPr>
            <w:r>
              <w:rPr>
                <w:b w:val="0"/>
                <w:color w:val="17242D"/>
                <w:sz w:val="19"/>
              </w:rPr>
              <w:t>amend</w:t>
            </w:r>
          </w:p>
        </w:tc>
        <w:tc>
          <w:tcPr>
            <w:tcW w:type="dxa" w:w="1584"/>
            <w:shd w:fill="F2F6F8"/>
            <w:tcMar>
              <w:top w:w="90" w:type="dxa"/>
              <w:bottom w:w="90" w:type="dxa"/>
              <w:left w:w="90" w:type="dxa"/>
              <w:right w:w="90" w:type="dxa"/>
            </w:tcMar>
          </w:tcPr>
          <w:p>
            <w:pPr>
              <w:spacing w:after="60" w:before="20"/>
            </w:pPr>
            <w:r>
              <w:rPr>
                <w:b w:val="0"/>
                <w:color w:val="17242D"/>
                <w:sz w:val="19"/>
              </w:rPr>
              <w:t>confirmed</w:t>
            </w:r>
          </w:p>
        </w:tc>
        <w:tc>
          <w:tcPr>
            <w:tcW w:type="dxa" w:w="5256"/>
            <w:shd w:fill="F2F6F8"/>
            <w:tcMar>
              <w:top w:w="90" w:type="dxa"/>
              <w:bottom w:w="90" w:type="dxa"/>
              <w:left w:w="90" w:type="dxa"/>
              <w:right w:w="90" w:type="dxa"/>
            </w:tcMar>
          </w:tcPr>
          <w:p>
            <w:pPr>
              <w:spacing w:after="60" w:before="20"/>
            </w:pPr>
            <w:r>
              <w:rPr>
                <w:b w:val="0"/>
                <w:color w:val="17242D"/>
                <w:sz w:val="19"/>
              </w:rPr>
              <w:t>Append revision; invalidate affected pending approvals</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draft</w:t>
            </w:r>
          </w:p>
        </w:tc>
        <w:tc>
          <w:tcPr>
            <w:tcW w:type="dxa" w:w="1800"/>
            <w:shd w:fill="FFFFFF"/>
            <w:tcMar>
              <w:top w:w="90" w:type="dxa"/>
              <w:bottom w:w="90" w:type="dxa"/>
              <w:left w:w="90" w:type="dxa"/>
              <w:right w:w="90" w:type="dxa"/>
            </w:tcMar>
          </w:tcPr>
          <w:p>
            <w:pPr>
              <w:spacing w:after="60" w:before="20"/>
            </w:pPr>
            <w:r>
              <w:rPr>
                <w:b w:val="0"/>
                <w:color w:val="17242D"/>
                <w:sz w:val="19"/>
              </w:rPr>
              <w:t>void</w:t>
            </w:r>
          </w:p>
        </w:tc>
        <w:tc>
          <w:tcPr>
            <w:tcW w:type="dxa" w:w="1584"/>
            <w:shd w:fill="FFFFFF"/>
            <w:tcMar>
              <w:top w:w="90" w:type="dxa"/>
              <w:bottom w:w="90" w:type="dxa"/>
              <w:left w:w="90" w:type="dxa"/>
              <w:right w:w="90" w:type="dxa"/>
            </w:tcMar>
          </w:tcPr>
          <w:p>
            <w:pPr>
              <w:spacing w:after="60" w:before="20"/>
            </w:pPr>
            <w:r>
              <w:rPr>
                <w:b w:val="0"/>
                <w:color w:val="17242D"/>
                <w:sz w:val="19"/>
              </w:rPr>
              <w:t>void</w:t>
            </w:r>
          </w:p>
        </w:tc>
        <w:tc>
          <w:tcPr>
            <w:tcW w:type="dxa" w:w="5256"/>
            <w:shd w:fill="FFFFFF"/>
            <w:tcMar>
              <w:top w:w="90" w:type="dxa"/>
              <w:bottom w:w="90" w:type="dxa"/>
              <w:left w:w="90" w:type="dxa"/>
              <w:right w:w="90" w:type="dxa"/>
            </w:tcMar>
          </w:tcPr>
          <w:p>
            <w:pPr>
              <w:spacing w:after="60" w:before="20"/>
            </w:pPr>
            <w:r>
              <w:rPr>
                <w:b w:val="0"/>
                <w:color w:val="17242D"/>
                <w:sz w:val="19"/>
              </w:rPr>
              <w:t>Reason required; preserve local audit</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confirmed</w:t>
            </w:r>
          </w:p>
        </w:tc>
        <w:tc>
          <w:tcPr>
            <w:tcW w:type="dxa" w:w="1800"/>
            <w:shd w:fill="F2F6F8"/>
            <w:tcMar>
              <w:top w:w="90" w:type="dxa"/>
              <w:bottom w:w="90" w:type="dxa"/>
              <w:left w:w="90" w:type="dxa"/>
              <w:right w:w="90" w:type="dxa"/>
            </w:tcMar>
          </w:tcPr>
          <w:p>
            <w:pPr>
              <w:spacing w:after="60" w:before="20"/>
            </w:pPr>
            <w:r>
              <w:rPr>
                <w:b w:val="0"/>
                <w:color w:val="17242D"/>
                <w:sz w:val="19"/>
              </w:rPr>
              <w:t>void</w:t>
            </w:r>
          </w:p>
        </w:tc>
        <w:tc>
          <w:tcPr>
            <w:tcW w:type="dxa" w:w="1584"/>
            <w:shd w:fill="F2F6F8"/>
            <w:tcMar>
              <w:top w:w="90" w:type="dxa"/>
              <w:bottom w:w="90" w:type="dxa"/>
              <w:left w:w="90" w:type="dxa"/>
              <w:right w:w="90" w:type="dxa"/>
            </w:tcMar>
          </w:tcPr>
          <w:p>
            <w:pPr>
              <w:spacing w:after="60" w:before="20"/>
            </w:pPr>
            <w:r>
              <w:rPr>
                <w:b w:val="0"/>
                <w:color w:val="17242D"/>
                <w:sz w:val="19"/>
              </w:rPr>
              <w:t>void</w:t>
            </w:r>
          </w:p>
        </w:tc>
        <w:tc>
          <w:tcPr>
            <w:tcW w:type="dxa" w:w="5256"/>
            <w:shd w:fill="F2F6F8"/>
            <w:tcMar>
              <w:top w:w="90" w:type="dxa"/>
              <w:bottom w:w="90" w:type="dxa"/>
              <w:left w:w="90" w:type="dxa"/>
              <w:right w:w="90" w:type="dxa"/>
            </w:tcMar>
          </w:tcPr>
          <w:p>
            <w:pPr>
              <w:spacing w:after="60" w:before="20"/>
            </w:pPr>
            <w:r>
              <w:rPr>
                <w:b w:val="0"/>
                <w:color w:val="17242D"/>
                <w:sz w:val="19"/>
              </w:rPr>
              <w:t>Authorised correction review; accepted external records require repair</w:t>
            </w:r>
          </w:p>
        </w:tc>
      </w:tr>
    </w:tbl>
    <w:p>
      <w:pPr>
        <w:spacing w:after="20"/>
      </w:pPr>
    </w:p>
    <w:p>
      <w:pPr>
        <w:pStyle w:val="Heading2"/>
      </w:pPr>
      <w:r>
        <w:t>Submission</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prepared</w:t>
            </w:r>
          </w:p>
        </w:tc>
        <w:tc>
          <w:tcPr>
            <w:tcW w:type="dxa" w:w="1800"/>
            <w:shd w:fill="FFFFFF"/>
            <w:tcMar>
              <w:top w:w="90" w:type="dxa"/>
              <w:bottom w:w="90" w:type="dxa"/>
              <w:left w:w="90" w:type="dxa"/>
              <w:right w:w="90" w:type="dxa"/>
            </w:tcMar>
          </w:tcPr>
          <w:p>
            <w:pPr>
              <w:spacing w:after="60" w:before="20"/>
            </w:pPr>
            <w:r>
              <w:rPr>
                <w:b w:val="0"/>
                <w:color w:val="17242D"/>
                <w:sz w:val="19"/>
              </w:rPr>
              <w:t>authorise</w:t>
            </w:r>
          </w:p>
        </w:tc>
        <w:tc>
          <w:tcPr>
            <w:tcW w:type="dxa" w:w="1584"/>
            <w:shd w:fill="FFFFFF"/>
            <w:tcMar>
              <w:top w:w="90" w:type="dxa"/>
              <w:bottom w:w="90" w:type="dxa"/>
              <w:left w:w="90" w:type="dxa"/>
              <w:right w:w="90" w:type="dxa"/>
            </w:tcMar>
          </w:tcPr>
          <w:p>
            <w:pPr>
              <w:spacing w:after="60" w:before="20"/>
            </w:pPr>
            <w:r>
              <w:rPr>
                <w:b w:val="0"/>
                <w:color w:val="17242D"/>
                <w:sz w:val="19"/>
              </w:rPr>
              <w:t>authorised</w:t>
            </w:r>
          </w:p>
        </w:tc>
        <w:tc>
          <w:tcPr>
            <w:tcW w:type="dxa" w:w="5256"/>
            <w:shd w:fill="FFFFFF"/>
            <w:tcMar>
              <w:top w:w="90" w:type="dxa"/>
              <w:bottom w:w="90" w:type="dxa"/>
              <w:left w:w="90" w:type="dxa"/>
              <w:right w:w="90" w:type="dxa"/>
            </w:tcMar>
          </w:tcPr>
          <w:p>
            <w:pPr>
              <w:spacing w:after="60" w:before="20"/>
            </w:pPr>
            <w:r>
              <w:rPr>
                <w:b w:val="0"/>
                <w:color w:val="17242D"/>
                <w:sz w:val="19"/>
              </w:rPr>
              <w:t>Approval hash and policy decision bound</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authorised</w:t>
            </w:r>
          </w:p>
        </w:tc>
        <w:tc>
          <w:tcPr>
            <w:tcW w:type="dxa" w:w="1800"/>
            <w:shd w:fill="F2F6F8"/>
            <w:tcMar>
              <w:top w:w="90" w:type="dxa"/>
              <w:bottom w:w="90" w:type="dxa"/>
              <w:left w:w="90" w:type="dxa"/>
              <w:right w:w="90" w:type="dxa"/>
            </w:tcMar>
          </w:tcPr>
          <w:p>
            <w:pPr>
              <w:spacing w:after="60" w:before="20"/>
            </w:pPr>
            <w:r>
              <w:rPr>
                <w:b w:val="0"/>
                <w:color w:val="17242D"/>
                <w:sz w:val="19"/>
              </w:rPr>
              <w:t>enqueue</w:t>
            </w:r>
          </w:p>
        </w:tc>
        <w:tc>
          <w:tcPr>
            <w:tcW w:type="dxa" w:w="1584"/>
            <w:shd w:fill="F2F6F8"/>
            <w:tcMar>
              <w:top w:w="90" w:type="dxa"/>
              <w:bottom w:w="90" w:type="dxa"/>
              <w:left w:w="90" w:type="dxa"/>
              <w:right w:w="90" w:type="dxa"/>
            </w:tcMar>
          </w:tcPr>
          <w:p>
            <w:pPr>
              <w:spacing w:after="60" w:before="20"/>
            </w:pPr>
            <w:r>
              <w:rPr>
                <w:b w:val="0"/>
                <w:color w:val="17242D"/>
                <w:sz w:val="19"/>
              </w:rPr>
              <w:t>queued</w:t>
            </w:r>
          </w:p>
        </w:tc>
        <w:tc>
          <w:tcPr>
            <w:tcW w:type="dxa" w:w="5256"/>
            <w:shd w:fill="F2F6F8"/>
            <w:tcMar>
              <w:top w:w="90" w:type="dxa"/>
              <w:bottom w:w="90" w:type="dxa"/>
              <w:left w:w="90" w:type="dxa"/>
              <w:right w:w="90" w:type="dxa"/>
            </w:tcMar>
          </w:tcPr>
          <w:p>
            <w:pPr>
              <w:spacing w:after="60" w:before="20"/>
            </w:pPr>
            <w:r>
              <w:rPr>
                <w:b w:val="0"/>
                <w:color w:val="17242D"/>
                <w:sz w:val="19"/>
              </w:rPr>
              <w:t>Payload validated; consent and input versions current</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queued</w:t>
            </w:r>
          </w:p>
        </w:tc>
        <w:tc>
          <w:tcPr>
            <w:tcW w:type="dxa" w:w="1800"/>
            <w:shd w:fill="FFFFFF"/>
            <w:tcMar>
              <w:top w:w="90" w:type="dxa"/>
              <w:bottom w:w="90" w:type="dxa"/>
              <w:left w:w="90" w:type="dxa"/>
              <w:right w:w="90" w:type="dxa"/>
            </w:tcMar>
          </w:tcPr>
          <w:p>
            <w:pPr>
              <w:spacing w:after="60" w:before="20"/>
            </w:pPr>
            <w:r>
              <w:rPr>
                <w:b w:val="0"/>
                <w:color w:val="17242D"/>
                <w:sz w:val="19"/>
              </w:rPr>
              <w:t>dispatch</w:t>
            </w:r>
          </w:p>
        </w:tc>
        <w:tc>
          <w:tcPr>
            <w:tcW w:type="dxa" w:w="1584"/>
            <w:shd w:fill="FFFFFF"/>
            <w:tcMar>
              <w:top w:w="90" w:type="dxa"/>
              <w:bottom w:w="90" w:type="dxa"/>
              <w:left w:w="90" w:type="dxa"/>
              <w:right w:w="90" w:type="dxa"/>
            </w:tcMar>
          </w:tcPr>
          <w:p>
            <w:pPr>
              <w:spacing w:after="60" w:before="20"/>
            </w:pPr>
            <w:r>
              <w:rPr>
                <w:b w:val="0"/>
                <w:color w:val="17242D"/>
                <w:sz w:val="19"/>
              </w:rPr>
              <w:t>sent</w:t>
            </w:r>
          </w:p>
        </w:tc>
        <w:tc>
          <w:tcPr>
            <w:tcW w:type="dxa" w:w="5256"/>
            <w:shd w:fill="FFFFFF"/>
            <w:tcMar>
              <w:top w:w="90" w:type="dxa"/>
              <w:bottom w:w="90" w:type="dxa"/>
              <w:left w:w="90" w:type="dxa"/>
              <w:right w:w="90" w:type="dxa"/>
            </w:tcMar>
          </w:tcPr>
          <w:p>
            <w:pPr>
              <w:spacing w:after="60" w:before="20"/>
            </w:pPr>
            <w:r>
              <w:rPr>
                <w:b w:val="0"/>
                <w:color w:val="17242D"/>
                <w:sz w:val="19"/>
              </w:rPr>
              <w:t>Worker holds action lease; stable external reference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sent</w:t>
            </w:r>
          </w:p>
        </w:tc>
        <w:tc>
          <w:tcPr>
            <w:tcW w:type="dxa" w:w="1800"/>
            <w:shd w:fill="F2F6F8"/>
            <w:tcMar>
              <w:top w:w="90" w:type="dxa"/>
              <w:bottom w:w="90" w:type="dxa"/>
              <w:left w:w="90" w:type="dxa"/>
              <w:right w:w="90" w:type="dxa"/>
            </w:tcMar>
          </w:tcPr>
          <w:p>
            <w:pPr>
              <w:spacing w:after="60" w:before="20"/>
            </w:pPr>
            <w:r>
              <w:rPr>
                <w:b w:val="0"/>
                <w:color w:val="17242D"/>
                <w:sz w:val="19"/>
              </w:rPr>
              <w:t>accept</w:t>
            </w:r>
          </w:p>
        </w:tc>
        <w:tc>
          <w:tcPr>
            <w:tcW w:type="dxa" w:w="1584"/>
            <w:shd w:fill="F2F6F8"/>
            <w:tcMar>
              <w:top w:w="90" w:type="dxa"/>
              <w:bottom w:w="90" w:type="dxa"/>
              <w:left w:w="90" w:type="dxa"/>
              <w:right w:w="90" w:type="dxa"/>
            </w:tcMar>
          </w:tcPr>
          <w:p>
            <w:pPr>
              <w:spacing w:after="60" w:before="20"/>
            </w:pPr>
            <w:r>
              <w:rPr>
                <w:b w:val="0"/>
                <w:color w:val="17242D"/>
                <w:sz w:val="19"/>
              </w:rPr>
              <w:t>accepted</w:t>
            </w:r>
          </w:p>
        </w:tc>
        <w:tc>
          <w:tcPr>
            <w:tcW w:type="dxa" w:w="5256"/>
            <w:shd w:fill="F2F6F8"/>
            <w:tcMar>
              <w:top w:w="90" w:type="dxa"/>
              <w:bottom w:w="90" w:type="dxa"/>
              <w:left w:w="90" w:type="dxa"/>
              <w:right w:w="90" w:type="dxa"/>
            </w:tcMar>
          </w:tcPr>
          <w:p>
            <w:pPr>
              <w:spacing w:after="60" w:before="20"/>
            </w:pPr>
            <w:r>
              <w:rPr>
                <w:b w:val="0"/>
                <w:color w:val="17242D"/>
                <w:sz w:val="19"/>
              </w:rPr>
              <w:t>Destination business receipt verified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sent</w:t>
            </w:r>
          </w:p>
        </w:tc>
        <w:tc>
          <w:tcPr>
            <w:tcW w:type="dxa" w:w="1800"/>
            <w:shd w:fill="FFFFFF"/>
            <w:tcMar>
              <w:top w:w="90" w:type="dxa"/>
              <w:bottom w:w="90" w:type="dxa"/>
              <w:left w:w="90" w:type="dxa"/>
              <w:right w:w="90" w:type="dxa"/>
            </w:tcMar>
          </w:tcPr>
          <w:p>
            <w:pPr>
              <w:spacing w:after="60" w:before="20"/>
            </w:pPr>
            <w:r>
              <w:rPr>
                <w:b w:val="0"/>
                <w:color w:val="17242D"/>
                <w:sz w:val="19"/>
              </w:rPr>
              <w:t>reject</w:t>
            </w:r>
          </w:p>
        </w:tc>
        <w:tc>
          <w:tcPr>
            <w:tcW w:type="dxa" w:w="1584"/>
            <w:shd w:fill="FFFFFF"/>
            <w:tcMar>
              <w:top w:w="90" w:type="dxa"/>
              <w:bottom w:w="90" w:type="dxa"/>
              <w:left w:w="90" w:type="dxa"/>
              <w:right w:w="90" w:type="dxa"/>
            </w:tcMar>
          </w:tcPr>
          <w:p>
            <w:pPr>
              <w:spacing w:after="60" w:before="20"/>
            </w:pPr>
            <w:r>
              <w:rPr>
                <w:b w:val="0"/>
                <w:color w:val="17242D"/>
                <w:sz w:val="19"/>
              </w:rPr>
              <w:t>rejected</w:t>
            </w:r>
          </w:p>
        </w:tc>
        <w:tc>
          <w:tcPr>
            <w:tcW w:type="dxa" w:w="5256"/>
            <w:shd w:fill="FFFFFF"/>
            <w:tcMar>
              <w:top w:w="90" w:type="dxa"/>
              <w:bottom w:w="90" w:type="dxa"/>
              <w:left w:w="90" w:type="dxa"/>
              <w:right w:w="90" w:type="dxa"/>
            </w:tcMar>
          </w:tcPr>
          <w:p>
            <w:pPr>
              <w:spacing w:after="60" w:before="20"/>
            </w:pPr>
            <w:r>
              <w:rPr>
                <w:b w:val="0"/>
                <w:color w:val="17242D"/>
                <w:sz w:val="19"/>
              </w:rPr>
              <w:t>Business rejection recorded</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sent</w:t>
            </w:r>
          </w:p>
        </w:tc>
        <w:tc>
          <w:tcPr>
            <w:tcW w:type="dxa" w:w="1800"/>
            <w:shd w:fill="F2F6F8"/>
            <w:tcMar>
              <w:top w:w="90" w:type="dxa"/>
              <w:bottom w:w="90" w:type="dxa"/>
              <w:left w:w="90" w:type="dxa"/>
              <w:right w:w="90" w:type="dxa"/>
            </w:tcMar>
          </w:tcPr>
          <w:p>
            <w:pPr>
              <w:spacing w:after="60" w:before="20"/>
            </w:pPr>
            <w:r>
              <w:rPr>
                <w:b w:val="0"/>
                <w:color w:val="17242D"/>
                <w:sz w:val="19"/>
              </w:rPr>
              <w:t>timeout</w:t>
            </w:r>
          </w:p>
        </w:tc>
        <w:tc>
          <w:tcPr>
            <w:tcW w:type="dxa" w:w="1584"/>
            <w:shd w:fill="F2F6F8"/>
            <w:tcMar>
              <w:top w:w="90" w:type="dxa"/>
              <w:bottom w:w="90" w:type="dxa"/>
              <w:left w:w="90" w:type="dxa"/>
              <w:right w:w="90" w:type="dxa"/>
            </w:tcMar>
          </w:tcPr>
          <w:p>
            <w:pPr>
              <w:spacing w:after="60" w:before="20"/>
            </w:pPr>
            <w:r>
              <w:rPr>
                <w:b w:val="0"/>
                <w:color w:val="17242D"/>
                <w:sz w:val="19"/>
              </w:rPr>
              <w:t>uncertain</w:t>
            </w:r>
          </w:p>
        </w:tc>
        <w:tc>
          <w:tcPr>
            <w:tcW w:type="dxa" w:w="5256"/>
            <w:shd w:fill="F2F6F8"/>
            <w:tcMar>
              <w:top w:w="90" w:type="dxa"/>
              <w:bottom w:w="90" w:type="dxa"/>
              <w:left w:w="90" w:type="dxa"/>
              <w:right w:w="90" w:type="dxa"/>
            </w:tcMar>
          </w:tcPr>
          <w:p>
            <w:pPr>
              <w:spacing w:after="60" w:before="20"/>
            </w:pPr>
            <w:r>
              <w:rPr>
                <w:b w:val="0"/>
                <w:color w:val="17242D"/>
                <w:sz w:val="19"/>
              </w:rPr>
              <w:t>Outcome unknown; do not resubmit blindly</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uncertain</w:t>
            </w:r>
          </w:p>
        </w:tc>
        <w:tc>
          <w:tcPr>
            <w:tcW w:type="dxa" w:w="1800"/>
            <w:shd w:fill="FFFFFF"/>
            <w:tcMar>
              <w:top w:w="90" w:type="dxa"/>
              <w:bottom w:w="90" w:type="dxa"/>
              <w:left w:w="90" w:type="dxa"/>
              <w:right w:w="90" w:type="dxa"/>
            </w:tcMar>
          </w:tcPr>
          <w:p>
            <w:pPr>
              <w:spacing w:after="60" w:before="20"/>
            </w:pPr>
            <w:r>
              <w:rPr>
                <w:b w:val="0"/>
                <w:color w:val="17242D"/>
                <w:sz w:val="19"/>
              </w:rPr>
              <w:t>reconcile accept</w:t>
            </w:r>
          </w:p>
        </w:tc>
        <w:tc>
          <w:tcPr>
            <w:tcW w:type="dxa" w:w="1584"/>
            <w:shd w:fill="FFFFFF"/>
            <w:tcMar>
              <w:top w:w="90" w:type="dxa"/>
              <w:bottom w:w="90" w:type="dxa"/>
              <w:left w:w="90" w:type="dxa"/>
              <w:right w:w="90" w:type="dxa"/>
            </w:tcMar>
          </w:tcPr>
          <w:p>
            <w:pPr>
              <w:spacing w:after="60" w:before="20"/>
            </w:pPr>
            <w:r>
              <w:rPr>
                <w:b w:val="0"/>
                <w:color w:val="17242D"/>
                <w:sz w:val="19"/>
              </w:rPr>
              <w:t>accepted</w:t>
            </w:r>
          </w:p>
        </w:tc>
        <w:tc>
          <w:tcPr>
            <w:tcW w:type="dxa" w:w="5256"/>
            <w:shd w:fill="FFFFFF"/>
            <w:tcMar>
              <w:top w:w="90" w:type="dxa"/>
              <w:bottom w:w="90" w:type="dxa"/>
              <w:left w:w="90" w:type="dxa"/>
              <w:right w:w="90" w:type="dxa"/>
            </w:tcMar>
          </w:tcPr>
          <w:p>
            <w:pPr>
              <w:spacing w:after="60" w:before="20"/>
            </w:pPr>
            <w:r>
              <w:rPr>
                <w:b w:val="0"/>
                <w:color w:val="17242D"/>
                <w:sz w:val="19"/>
              </w:rPr>
              <w:t>Evidence ties receipt to exact logical action</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uncertain</w:t>
            </w:r>
          </w:p>
        </w:tc>
        <w:tc>
          <w:tcPr>
            <w:tcW w:type="dxa" w:w="1800"/>
            <w:shd w:fill="F2F6F8"/>
            <w:tcMar>
              <w:top w:w="90" w:type="dxa"/>
              <w:bottom w:w="90" w:type="dxa"/>
              <w:left w:w="90" w:type="dxa"/>
              <w:right w:w="90" w:type="dxa"/>
            </w:tcMar>
          </w:tcPr>
          <w:p>
            <w:pPr>
              <w:spacing w:after="60" w:before="20"/>
            </w:pPr>
            <w:r>
              <w:rPr>
                <w:b w:val="0"/>
                <w:color w:val="17242D"/>
                <w:sz w:val="19"/>
              </w:rPr>
              <w:t>reconcile absent</w:t>
            </w:r>
          </w:p>
        </w:tc>
        <w:tc>
          <w:tcPr>
            <w:tcW w:type="dxa" w:w="1584"/>
            <w:shd w:fill="F2F6F8"/>
            <w:tcMar>
              <w:top w:w="90" w:type="dxa"/>
              <w:bottom w:w="90" w:type="dxa"/>
              <w:left w:w="90" w:type="dxa"/>
              <w:right w:w="90" w:type="dxa"/>
            </w:tcMar>
          </w:tcPr>
          <w:p>
            <w:pPr>
              <w:spacing w:after="60" w:before="20"/>
            </w:pPr>
            <w:r>
              <w:rPr>
                <w:b w:val="0"/>
                <w:color w:val="17242D"/>
                <w:sz w:val="19"/>
              </w:rPr>
              <w:t>queued</w:t>
            </w:r>
          </w:p>
        </w:tc>
        <w:tc>
          <w:tcPr>
            <w:tcW w:type="dxa" w:w="5256"/>
            <w:shd w:fill="F2F6F8"/>
            <w:tcMar>
              <w:top w:w="90" w:type="dxa"/>
              <w:bottom w:w="90" w:type="dxa"/>
              <w:left w:w="90" w:type="dxa"/>
              <w:right w:w="90" w:type="dxa"/>
            </w:tcMar>
          </w:tcPr>
          <w:p>
            <w:pPr>
              <w:spacing w:after="60" w:before="20"/>
            </w:pPr>
            <w:r>
              <w:rPr>
                <w:b w:val="0"/>
                <w:color w:val="17242D"/>
                <w:sz w:val="19"/>
              </w:rPr>
              <w:t>Destination proves no acceptance and policy remains valid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rejected</w:t>
            </w:r>
          </w:p>
        </w:tc>
        <w:tc>
          <w:tcPr>
            <w:tcW w:type="dxa" w:w="1800"/>
            <w:shd w:fill="FFFFFF"/>
            <w:tcMar>
              <w:top w:w="90" w:type="dxa"/>
              <w:bottom w:w="90" w:type="dxa"/>
              <w:left w:w="90" w:type="dxa"/>
              <w:right w:w="90" w:type="dxa"/>
            </w:tcMar>
          </w:tcPr>
          <w:p>
            <w:pPr>
              <w:spacing w:after="60" w:before="20"/>
            </w:pPr>
            <w:r>
              <w:rPr>
                <w:b w:val="0"/>
                <w:color w:val="17242D"/>
                <w:sz w:val="19"/>
              </w:rPr>
              <w:t>correct</w:t>
            </w:r>
          </w:p>
        </w:tc>
        <w:tc>
          <w:tcPr>
            <w:tcW w:type="dxa" w:w="1584"/>
            <w:shd w:fill="FFFFFF"/>
            <w:tcMar>
              <w:top w:w="90" w:type="dxa"/>
              <w:bottom w:w="90" w:type="dxa"/>
              <w:left w:w="90" w:type="dxa"/>
              <w:right w:w="90" w:type="dxa"/>
            </w:tcMar>
          </w:tcPr>
          <w:p>
            <w:pPr>
              <w:spacing w:after="60" w:before="20"/>
            </w:pPr>
            <w:r>
              <w:rPr>
                <w:b w:val="0"/>
                <w:color w:val="17242D"/>
                <w:sz w:val="19"/>
              </w:rPr>
              <w:t>prepared</w:t>
            </w:r>
          </w:p>
        </w:tc>
        <w:tc>
          <w:tcPr>
            <w:tcW w:type="dxa" w:w="5256"/>
            <w:shd w:fill="FFFFFF"/>
            <w:tcMar>
              <w:top w:w="90" w:type="dxa"/>
              <w:bottom w:w="90" w:type="dxa"/>
              <w:left w:w="90" w:type="dxa"/>
              <w:right w:w="90" w:type="dxa"/>
            </w:tcMar>
          </w:tcPr>
          <w:p>
            <w:pPr>
              <w:spacing w:after="60" w:before="20"/>
            </w:pPr>
            <w:r>
              <w:rPr>
                <w:b w:val="0"/>
                <w:color w:val="17242D"/>
                <w:sz w:val="19"/>
              </w:rPr>
              <w:t>New payload revision and review; previous attempt retained</w:t>
            </w:r>
          </w:p>
        </w:tc>
      </w:tr>
    </w:tbl>
    <w:p>
      <w:pPr>
        <w:spacing w:after="20"/>
      </w:pPr>
    </w:p>
    <w:p>
      <w:pPr>
        <w:pStyle w:val="Heading2"/>
      </w:pPr>
      <w:r>
        <w:t>Ai Request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prepared</w:t>
            </w:r>
          </w:p>
        </w:tc>
        <w:tc>
          <w:tcPr>
            <w:tcW w:type="dxa" w:w="1800"/>
            <w:shd w:fill="FFFFFF"/>
            <w:tcMar>
              <w:top w:w="90" w:type="dxa"/>
              <w:bottom w:w="90" w:type="dxa"/>
              <w:left w:w="90" w:type="dxa"/>
              <w:right w:w="90" w:type="dxa"/>
            </w:tcMar>
          </w:tcPr>
          <w:p>
            <w:pPr>
              <w:spacing w:after="60" w:before="20"/>
            </w:pPr>
            <w:r>
              <w:rPr>
                <w:b w:val="0"/>
                <w:color w:val="17242D"/>
                <w:sz w:val="19"/>
              </w:rPr>
              <w:t>admit</w:t>
            </w:r>
          </w:p>
        </w:tc>
        <w:tc>
          <w:tcPr>
            <w:tcW w:type="dxa" w:w="1584"/>
            <w:shd w:fill="FFFFFF"/>
            <w:tcMar>
              <w:top w:w="90" w:type="dxa"/>
              <w:bottom w:w="90" w:type="dxa"/>
              <w:left w:w="90" w:type="dxa"/>
              <w:right w:w="90" w:type="dxa"/>
            </w:tcMar>
          </w:tcPr>
          <w:p>
            <w:pPr>
              <w:spacing w:after="60" w:before="20"/>
            </w:pPr>
            <w:r>
              <w:rPr>
                <w:b w:val="0"/>
                <w:color w:val="17242D"/>
                <w:sz w:val="19"/>
              </w:rPr>
              <w:t>queued</w:t>
            </w:r>
          </w:p>
        </w:tc>
        <w:tc>
          <w:tcPr>
            <w:tcW w:type="dxa" w:w="5256"/>
            <w:shd w:fill="FFFFFF"/>
            <w:tcMar>
              <w:top w:w="90" w:type="dxa"/>
              <w:bottom w:w="90" w:type="dxa"/>
              <w:left w:w="90" w:type="dxa"/>
              <w:right w:w="90" w:type="dxa"/>
            </w:tcMar>
          </w:tcPr>
          <w:p>
            <w:pPr>
              <w:spacing w:after="60" w:before="20"/>
            </w:pPr>
            <w:r>
              <w:rPr>
                <w:b w:val="0"/>
                <w:color w:val="17242D"/>
                <w:sz w:val="19"/>
              </w:rPr>
              <w:t>Eligible pinned capability; budget reserved</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queued</w:t>
            </w:r>
          </w:p>
        </w:tc>
        <w:tc>
          <w:tcPr>
            <w:tcW w:type="dxa" w:w="1800"/>
            <w:shd w:fill="F2F6F8"/>
            <w:tcMar>
              <w:top w:w="90" w:type="dxa"/>
              <w:bottom w:w="90" w:type="dxa"/>
              <w:left w:w="90" w:type="dxa"/>
              <w:right w:w="90" w:type="dxa"/>
            </w:tcMar>
          </w:tcPr>
          <w:p>
            <w:pPr>
              <w:spacing w:after="60" w:before="20"/>
            </w:pPr>
            <w:r>
              <w:rPr>
                <w:b w:val="0"/>
                <w:color w:val="17242D"/>
                <w:sz w:val="19"/>
              </w:rPr>
              <w:t>dispatch</w:t>
            </w:r>
          </w:p>
        </w:tc>
        <w:tc>
          <w:tcPr>
            <w:tcW w:type="dxa" w:w="1584"/>
            <w:shd w:fill="F2F6F8"/>
            <w:tcMar>
              <w:top w:w="90" w:type="dxa"/>
              <w:bottom w:w="90" w:type="dxa"/>
              <w:left w:w="90" w:type="dxa"/>
              <w:right w:w="90" w:type="dxa"/>
            </w:tcMar>
          </w:tcPr>
          <w:p>
            <w:pPr>
              <w:spacing w:after="60" w:before="20"/>
            </w:pPr>
            <w:r>
              <w:rPr>
                <w:b w:val="0"/>
                <w:color w:val="17242D"/>
                <w:sz w:val="19"/>
              </w:rPr>
              <w:t>running</w:t>
            </w:r>
          </w:p>
        </w:tc>
        <w:tc>
          <w:tcPr>
            <w:tcW w:type="dxa" w:w="5256"/>
            <w:shd w:fill="F2F6F8"/>
            <w:tcMar>
              <w:top w:w="90" w:type="dxa"/>
              <w:bottom w:w="90" w:type="dxa"/>
              <w:left w:w="90" w:type="dxa"/>
              <w:right w:w="90" w:type="dxa"/>
            </w:tcMar>
          </w:tcPr>
          <w:p>
            <w:pPr>
              <w:spacing w:after="60" w:before="20"/>
            </w:pPr>
            <w:r>
              <w:rPr>
                <w:b w:val="0"/>
                <w:color w:val="17242D"/>
                <w:sz w:val="19"/>
              </w:rPr>
              <w:t>Authority rechecked; input payload validated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running</w:t>
            </w:r>
          </w:p>
        </w:tc>
        <w:tc>
          <w:tcPr>
            <w:tcW w:type="dxa" w:w="1800"/>
            <w:shd w:fill="FFFFFF"/>
            <w:tcMar>
              <w:top w:w="90" w:type="dxa"/>
              <w:bottom w:w="90" w:type="dxa"/>
              <w:left w:w="90" w:type="dxa"/>
              <w:right w:w="90" w:type="dxa"/>
            </w:tcMar>
          </w:tcPr>
          <w:p>
            <w:pPr>
              <w:spacing w:after="60" w:before="20"/>
            </w:pPr>
            <w:r>
              <w:rPr>
                <w:b w:val="0"/>
                <w:color w:val="17242D"/>
                <w:sz w:val="19"/>
              </w:rPr>
              <w:t>valid result</w:t>
            </w:r>
          </w:p>
        </w:tc>
        <w:tc>
          <w:tcPr>
            <w:tcW w:type="dxa" w:w="1584"/>
            <w:shd w:fill="FFFFFF"/>
            <w:tcMar>
              <w:top w:w="90" w:type="dxa"/>
              <w:bottom w:w="90" w:type="dxa"/>
              <w:left w:w="90" w:type="dxa"/>
              <w:right w:w="90" w:type="dxa"/>
            </w:tcMar>
          </w:tcPr>
          <w:p>
            <w:pPr>
              <w:spacing w:after="60" w:before="20"/>
            </w:pPr>
            <w:r>
              <w:rPr>
                <w:b w:val="0"/>
                <w:color w:val="17242D"/>
                <w:sz w:val="19"/>
              </w:rPr>
              <w:t>succeeded</w:t>
            </w:r>
          </w:p>
        </w:tc>
        <w:tc>
          <w:tcPr>
            <w:tcW w:type="dxa" w:w="5256"/>
            <w:shd w:fill="FFFFFF"/>
            <w:tcMar>
              <w:top w:w="90" w:type="dxa"/>
              <w:bottom w:w="90" w:type="dxa"/>
              <w:left w:w="90" w:type="dxa"/>
              <w:right w:w="90" w:type="dxa"/>
            </w:tcMar>
          </w:tcPr>
          <w:p>
            <w:pPr>
              <w:spacing w:after="60" w:before="20"/>
            </w:pPr>
            <w:r>
              <w:rPr>
                <w:b w:val="0"/>
                <w:color w:val="17242D"/>
                <w:sz w:val="19"/>
              </w:rPr>
              <w:t>Schema, correlation and intended-use validation pass</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running</w:t>
            </w:r>
          </w:p>
        </w:tc>
        <w:tc>
          <w:tcPr>
            <w:tcW w:type="dxa" w:w="1800"/>
            <w:shd w:fill="F2F6F8"/>
            <w:tcMar>
              <w:top w:w="90" w:type="dxa"/>
              <w:bottom w:w="90" w:type="dxa"/>
              <w:left w:w="90" w:type="dxa"/>
              <w:right w:w="90" w:type="dxa"/>
            </w:tcMar>
          </w:tcPr>
          <w:p>
            <w:pPr>
              <w:spacing w:after="60" w:before="20"/>
            </w:pPr>
            <w:r>
              <w:rPr>
                <w:b w:val="0"/>
                <w:color w:val="17242D"/>
                <w:sz w:val="19"/>
              </w:rPr>
              <w:t>quality failure</w:t>
            </w:r>
          </w:p>
        </w:tc>
        <w:tc>
          <w:tcPr>
            <w:tcW w:type="dxa" w:w="1584"/>
            <w:shd w:fill="F2F6F8"/>
            <w:tcMar>
              <w:top w:w="90" w:type="dxa"/>
              <w:bottom w:w="90" w:type="dxa"/>
              <w:left w:w="90" w:type="dxa"/>
              <w:right w:w="90" w:type="dxa"/>
            </w:tcMar>
          </w:tcPr>
          <w:p>
            <w:pPr>
              <w:spacing w:after="60" w:before="20"/>
            </w:pPr>
            <w:r>
              <w:rPr>
                <w:b w:val="0"/>
                <w:color w:val="17242D"/>
                <w:sz w:val="19"/>
              </w:rPr>
              <w:t>unable_to_assess</w:t>
            </w:r>
          </w:p>
        </w:tc>
        <w:tc>
          <w:tcPr>
            <w:tcW w:type="dxa" w:w="5256"/>
            <w:shd w:fill="F2F6F8"/>
            <w:tcMar>
              <w:top w:w="90" w:type="dxa"/>
              <w:bottom w:w="90" w:type="dxa"/>
              <w:left w:w="90" w:type="dxa"/>
              <w:right w:w="90" w:type="dxa"/>
            </w:tcMar>
          </w:tcPr>
          <w:p>
            <w:pPr>
              <w:spacing w:after="60" w:before="20"/>
            </w:pPr>
            <w:r>
              <w:rPr>
                <w:b w:val="0"/>
                <w:color w:val="17242D"/>
                <w:sz w:val="19"/>
              </w:rPr>
              <w:t>No clinical negative inferred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running</w:t>
            </w:r>
          </w:p>
        </w:tc>
        <w:tc>
          <w:tcPr>
            <w:tcW w:type="dxa" w:w="1800"/>
            <w:shd w:fill="FFFFFF"/>
            <w:tcMar>
              <w:top w:w="90" w:type="dxa"/>
              <w:bottom w:w="90" w:type="dxa"/>
              <w:left w:w="90" w:type="dxa"/>
              <w:right w:w="90" w:type="dxa"/>
            </w:tcMar>
          </w:tcPr>
          <w:p>
            <w:pPr>
              <w:spacing w:after="60" w:before="20"/>
            </w:pPr>
            <w:r>
              <w:rPr>
                <w:b w:val="0"/>
                <w:color w:val="17242D"/>
                <w:sz w:val="19"/>
              </w:rPr>
              <w:t>timeout</w:t>
            </w:r>
          </w:p>
        </w:tc>
        <w:tc>
          <w:tcPr>
            <w:tcW w:type="dxa" w:w="1584"/>
            <w:shd w:fill="FFFFFF"/>
            <w:tcMar>
              <w:top w:w="90" w:type="dxa"/>
              <w:bottom w:w="90" w:type="dxa"/>
              <w:left w:w="90" w:type="dxa"/>
              <w:right w:w="90" w:type="dxa"/>
            </w:tcMar>
          </w:tcPr>
          <w:p>
            <w:pPr>
              <w:spacing w:after="60" w:before="20"/>
            </w:pPr>
            <w:r>
              <w:rPr>
                <w:b w:val="0"/>
                <w:color w:val="17242D"/>
                <w:sz w:val="19"/>
              </w:rPr>
              <w:t>failed</w:t>
            </w:r>
          </w:p>
        </w:tc>
        <w:tc>
          <w:tcPr>
            <w:tcW w:type="dxa" w:w="5256"/>
            <w:shd w:fill="FFFFFF"/>
            <w:tcMar>
              <w:top w:w="90" w:type="dxa"/>
              <w:bottom w:w="90" w:type="dxa"/>
              <w:left w:w="90" w:type="dxa"/>
              <w:right w:w="90" w:type="dxa"/>
            </w:tcMar>
          </w:tcPr>
          <w:p>
            <w:pPr>
              <w:spacing w:after="60" w:before="20"/>
            </w:pPr>
            <w:r>
              <w:rPr>
                <w:b w:val="0"/>
                <w:color w:val="17242D"/>
                <w:sz w:val="19"/>
              </w:rPr>
              <w:t>Deadline passed; attempt accounted</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queued</w:t>
            </w:r>
          </w:p>
        </w:tc>
        <w:tc>
          <w:tcPr>
            <w:tcW w:type="dxa" w:w="1800"/>
            <w:shd w:fill="F2F6F8"/>
            <w:tcMar>
              <w:top w:w="90" w:type="dxa"/>
              <w:bottom w:w="90" w:type="dxa"/>
              <w:left w:w="90" w:type="dxa"/>
              <w:right w:w="90" w:type="dxa"/>
            </w:tcMar>
          </w:tcPr>
          <w:p>
            <w:pPr>
              <w:spacing w:after="60" w:before="20"/>
            </w:pPr>
            <w:r>
              <w:rPr>
                <w:b w:val="0"/>
                <w:color w:val="17242D"/>
                <w:sz w:val="19"/>
              </w:rPr>
              <w:t>cancel</w:t>
            </w:r>
          </w:p>
        </w:tc>
        <w:tc>
          <w:tcPr>
            <w:tcW w:type="dxa" w:w="1584"/>
            <w:shd w:fill="F2F6F8"/>
            <w:tcMar>
              <w:top w:w="90" w:type="dxa"/>
              <w:bottom w:w="90" w:type="dxa"/>
              <w:left w:w="90" w:type="dxa"/>
              <w:right w:w="90" w:type="dxa"/>
            </w:tcMar>
          </w:tcPr>
          <w:p>
            <w:pPr>
              <w:spacing w:after="60" w:before="20"/>
            </w:pPr>
            <w:r>
              <w:rPr>
                <w:b w:val="0"/>
                <w:color w:val="17242D"/>
                <w:sz w:val="19"/>
              </w:rPr>
              <w:t>cancelled</w:t>
            </w:r>
          </w:p>
        </w:tc>
        <w:tc>
          <w:tcPr>
            <w:tcW w:type="dxa" w:w="5256"/>
            <w:shd w:fill="F2F6F8"/>
            <w:tcMar>
              <w:top w:w="90" w:type="dxa"/>
              <w:bottom w:w="90" w:type="dxa"/>
              <w:left w:w="90" w:type="dxa"/>
              <w:right w:w="90" w:type="dxa"/>
            </w:tcMar>
          </w:tcPr>
          <w:p>
            <w:pPr>
              <w:spacing w:after="60" w:before="20"/>
            </w:pPr>
            <w:r>
              <w:rPr>
                <w:b w:val="0"/>
                <w:color w:val="17242D"/>
                <w:sz w:val="19"/>
              </w:rPr>
              <w:t>Provider not yet invoked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running</w:t>
            </w:r>
          </w:p>
        </w:tc>
        <w:tc>
          <w:tcPr>
            <w:tcW w:type="dxa" w:w="1800"/>
            <w:shd w:fill="FFFFFF"/>
            <w:tcMar>
              <w:top w:w="90" w:type="dxa"/>
              <w:bottom w:w="90" w:type="dxa"/>
              <w:left w:w="90" w:type="dxa"/>
              <w:right w:w="90" w:type="dxa"/>
            </w:tcMar>
          </w:tcPr>
          <w:p>
            <w:pPr>
              <w:spacing w:after="60" w:before="20"/>
            </w:pPr>
            <w:r>
              <w:rPr>
                <w:b w:val="0"/>
                <w:color w:val="17242D"/>
                <w:sz w:val="19"/>
              </w:rPr>
              <w:t>cancel request</w:t>
            </w:r>
          </w:p>
        </w:tc>
        <w:tc>
          <w:tcPr>
            <w:tcW w:type="dxa" w:w="1584"/>
            <w:shd w:fill="FFFFFF"/>
            <w:tcMar>
              <w:top w:w="90" w:type="dxa"/>
              <w:bottom w:w="90" w:type="dxa"/>
              <w:left w:w="90" w:type="dxa"/>
              <w:right w:w="90" w:type="dxa"/>
            </w:tcMar>
          </w:tcPr>
          <w:p>
            <w:pPr>
              <w:spacing w:after="60" w:before="20"/>
            </w:pPr>
            <w:r>
              <w:rPr>
                <w:b w:val="0"/>
                <w:color w:val="17242D"/>
                <w:sz w:val="19"/>
              </w:rPr>
              <w:t>cancelling</w:t>
            </w:r>
          </w:p>
        </w:tc>
        <w:tc>
          <w:tcPr>
            <w:tcW w:type="dxa" w:w="5256"/>
            <w:shd w:fill="FFFFFF"/>
            <w:tcMar>
              <w:top w:w="90" w:type="dxa"/>
              <w:bottom w:w="90" w:type="dxa"/>
              <w:left w:w="90" w:type="dxa"/>
              <w:right w:w="90" w:type="dxa"/>
            </w:tcMar>
          </w:tcPr>
          <w:p>
            <w:pPr>
              <w:spacing w:after="60" w:before="20"/>
            </w:pPr>
            <w:r>
              <w:rPr>
                <w:b w:val="0"/>
                <w:color w:val="17242D"/>
                <w:sz w:val="19"/>
              </w:rPr>
              <w:t>Best effort cancellation; keep actual provider outcome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cancelling</w:t>
            </w:r>
          </w:p>
        </w:tc>
        <w:tc>
          <w:tcPr>
            <w:tcW w:type="dxa" w:w="1800"/>
            <w:shd w:fill="F2F6F8"/>
            <w:tcMar>
              <w:top w:w="90" w:type="dxa"/>
              <w:bottom w:w="90" w:type="dxa"/>
              <w:left w:w="90" w:type="dxa"/>
              <w:right w:w="90" w:type="dxa"/>
            </w:tcMar>
          </w:tcPr>
          <w:p>
            <w:pPr>
              <w:spacing w:after="60" w:before="20"/>
            </w:pPr>
            <w:r>
              <w:rPr>
                <w:b w:val="0"/>
                <w:color w:val="17242D"/>
                <w:sz w:val="19"/>
              </w:rPr>
              <w:t>acknowledge</w:t>
            </w:r>
          </w:p>
        </w:tc>
        <w:tc>
          <w:tcPr>
            <w:tcW w:type="dxa" w:w="1584"/>
            <w:shd w:fill="F2F6F8"/>
            <w:tcMar>
              <w:top w:w="90" w:type="dxa"/>
              <w:bottom w:w="90" w:type="dxa"/>
              <w:left w:w="90" w:type="dxa"/>
              <w:right w:w="90" w:type="dxa"/>
            </w:tcMar>
          </w:tcPr>
          <w:p>
            <w:pPr>
              <w:spacing w:after="60" w:before="20"/>
            </w:pPr>
            <w:r>
              <w:rPr>
                <w:b w:val="0"/>
                <w:color w:val="17242D"/>
                <w:sz w:val="19"/>
              </w:rPr>
              <w:t>cancelled</w:t>
            </w:r>
          </w:p>
        </w:tc>
        <w:tc>
          <w:tcPr>
            <w:tcW w:type="dxa" w:w="5256"/>
            <w:shd w:fill="F2F6F8"/>
            <w:tcMar>
              <w:top w:w="90" w:type="dxa"/>
              <w:bottom w:w="90" w:type="dxa"/>
              <w:left w:w="90" w:type="dxa"/>
              <w:right w:w="90" w:type="dxa"/>
            </w:tcMar>
          </w:tcPr>
          <w:p>
            <w:pPr>
              <w:spacing w:after="60" w:before="20"/>
            </w:pPr>
            <w:r>
              <w:rPr>
                <w:b w:val="0"/>
                <w:color w:val="17242D"/>
                <w:sz w:val="19"/>
              </w:rPr>
              <w:t>Provider confirms cancellation or broker records completed cleanup</w:t>
            </w:r>
          </w:p>
        </w:tc>
      </w:tr>
    </w:tbl>
    <w:p>
      <w:pPr>
        <w:spacing w:after="20"/>
      </w:pPr>
    </w:p>
    <w:p>
      <w:pPr>
        <w:pStyle w:val="Heading2"/>
      </w:pPr>
      <w:r>
        <w:t>Referral</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proposed</w:t>
            </w:r>
          </w:p>
        </w:tc>
        <w:tc>
          <w:tcPr>
            <w:tcW w:type="dxa" w:w="1800"/>
            <w:shd w:fill="FFFFFF"/>
            <w:tcMar>
              <w:top w:w="90" w:type="dxa"/>
              <w:bottom w:w="90" w:type="dxa"/>
              <w:left w:w="90" w:type="dxa"/>
              <w:right w:w="90" w:type="dxa"/>
            </w:tcMar>
          </w:tcPr>
          <w:p>
            <w:pPr>
              <w:spacing w:after="60" w:before="20"/>
            </w:pPr>
            <w:r>
              <w:rPr>
                <w:b w:val="0"/>
                <w:color w:val="17242D"/>
                <w:sz w:val="19"/>
              </w:rPr>
              <w:t>authorise</w:t>
            </w:r>
          </w:p>
        </w:tc>
        <w:tc>
          <w:tcPr>
            <w:tcW w:type="dxa" w:w="1584"/>
            <w:shd w:fill="FFFFFF"/>
            <w:tcMar>
              <w:top w:w="90" w:type="dxa"/>
              <w:bottom w:w="90" w:type="dxa"/>
              <w:left w:w="90" w:type="dxa"/>
              <w:right w:w="90" w:type="dxa"/>
            </w:tcMar>
          </w:tcPr>
          <w:p>
            <w:pPr>
              <w:spacing w:after="60" w:before="20"/>
            </w:pPr>
            <w:r>
              <w:rPr>
                <w:b w:val="0"/>
                <w:color w:val="17242D"/>
                <w:sz w:val="19"/>
              </w:rPr>
              <w:t>authorised</w:t>
            </w:r>
          </w:p>
        </w:tc>
        <w:tc>
          <w:tcPr>
            <w:tcW w:type="dxa" w:w="5256"/>
            <w:shd w:fill="FFFFFF"/>
            <w:tcMar>
              <w:top w:w="90" w:type="dxa"/>
              <w:bottom w:w="90" w:type="dxa"/>
              <w:left w:w="90" w:type="dxa"/>
              <w:right w:w="90" w:type="dxa"/>
            </w:tcMar>
          </w:tcPr>
          <w:p>
            <w:pPr>
              <w:spacing w:after="60" w:before="20"/>
            </w:pPr>
            <w:r>
              <w:rPr>
                <w:b w:val="0"/>
                <w:color w:val="17242D"/>
                <w:sz w:val="19"/>
              </w:rPr>
              <w:t>Qualified actor where required</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authorised</w:t>
            </w:r>
          </w:p>
        </w:tc>
        <w:tc>
          <w:tcPr>
            <w:tcW w:type="dxa" w:w="1800"/>
            <w:shd w:fill="F2F6F8"/>
            <w:tcMar>
              <w:top w:w="90" w:type="dxa"/>
              <w:bottom w:w="90" w:type="dxa"/>
              <w:left w:w="90" w:type="dxa"/>
              <w:right w:w="90" w:type="dxa"/>
            </w:tcMar>
          </w:tcPr>
          <w:p>
            <w:pPr>
              <w:spacing w:after="60" w:before="20"/>
            </w:pPr>
            <w:r>
              <w:rPr>
                <w:b w:val="0"/>
                <w:color w:val="17242D"/>
                <w:sz w:val="19"/>
              </w:rPr>
              <w:t>send</w:t>
            </w:r>
          </w:p>
        </w:tc>
        <w:tc>
          <w:tcPr>
            <w:tcW w:type="dxa" w:w="1584"/>
            <w:shd w:fill="F2F6F8"/>
            <w:tcMar>
              <w:top w:w="90" w:type="dxa"/>
              <w:bottom w:w="90" w:type="dxa"/>
              <w:left w:w="90" w:type="dxa"/>
              <w:right w:w="90" w:type="dxa"/>
            </w:tcMar>
          </w:tcPr>
          <w:p>
            <w:pPr>
              <w:spacing w:after="60" w:before="20"/>
            </w:pPr>
            <w:r>
              <w:rPr>
                <w:b w:val="0"/>
                <w:color w:val="17242D"/>
                <w:sz w:val="19"/>
              </w:rPr>
              <w:t>sent</w:t>
            </w:r>
          </w:p>
        </w:tc>
        <w:tc>
          <w:tcPr>
            <w:tcW w:type="dxa" w:w="5256"/>
            <w:shd w:fill="F2F6F8"/>
            <w:tcMar>
              <w:top w:w="90" w:type="dxa"/>
              <w:bottom w:w="90" w:type="dxa"/>
              <w:left w:w="90" w:type="dxa"/>
              <w:right w:w="90" w:type="dxa"/>
            </w:tcMar>
          </w:tcPr>
          <w:p>
            <w:pPr>
              <w:spacing w:after="60" w:before="20"/>
            </w:pPr>
            <w:r>
              <w:rPr>
                <w:b w:val="0"/>
                <w:color w:val="17242D"/>
                <w:sz w:val="19"/>
              </w:rPr>
              <w:t>Destination known and disclosure permitted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sent</w:t>
            </w:r>
          </w:p>
        </w:tc>
        <w:tc>
          <w:tcPr>
            <w:tcW w:type="dxa" w:w="1800"/>
            <w:shd w:fill="FFFFFF"/>
            <w:tcMar>
              <w:top w:w="90" w:type="dxa"/>
              <w:bottom w:w="90" w:type="dxa"/>
              <w:left w:w="90" w:type="dxa"/>
              <w:right w:w="90" w:type="dxa"/>
            </w:tcMar>
          </w:tcPr>
          <w:p>
            <w:pPr>
              <w:spacing w:after="60" w:before="20"/>
            </w:pPr>
            <w:r>
              <w:rPr>
                <w:b w:val="0"/>
                <w:color w:val="17242D"/>
                <w:sz w:val="19"/>
              </w:rPr>
              <w:t>acknowledge</w:t>
            </w:r>
          </w:p>
        </w:tc>
        <w:tc>
          <w:tcPr>
            <w:tcW w:type="dxa" w:w="1584"/>
            <w:shd w:fill="FFFFFF"/>
            <w:tcMar>
              <w:top w:w="90" w:type="dxa"/>
              <w:bottom w:w="90" w:type="dxa"/>
              <w:left w:w="90" w:type="dxa"/>
              <w:right w:w="90" w:type="dxa"/>
            </w:tcMar>
          </w:tcPr>
          <w:p>
            <w:pPr>
              <w:spacing w:after="60" w:before="20"/>
            </w:pPr>
            <w:r>
              <w:rPr>
                <w:b w:val="0"/>
                <w:color w:val="17242D"/>
                <w:sz w:val="19"/>
              </w:rPr>
              <w:t>received</w:t>
            </w:r>
          </w:p>
        </w:tc>
        <w:tc>
          <w:tcPr>
            <w:tcW w:type="dxa" w:w="5256"/>
            <w:shd w:fill="FFFFFF"/>
            <w:tcMar>
              <w:top w:w="90" w:type="dxa"/>
              <w:bottom w:w="90" w:type="dxa"/>
              <w:left w:w="90" w:type="dxa"/>
              <w:right w:w="90" w:type="dxa"/>
            </w:tcMar>
          </w:tcPr>
          <w:p>
            <w:pPr>
              <w:spacing w:after="60" w:before="20"/>
            </w:pPr>
            <w:r>
              <w:rPr>
                <w:b w:val="0"/>
                <w:color w:val="17242D"/>
                <w:sz w:val="19"/>
              </w:rPr>
              <w:t>Receiving service evidence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received</w:t>
            </w:r>
          </w:p>
        </w:tc>
        <w:tc>
          <w:tcPr>
            <w:tcW w:type="dxa" w:w="1800"/>
            <w:shd w:fill="F2F6F8"/>
            <w:tcMar>
              <w:top w:w="90" w:type="dxa"/>
              <w:bottom w:w="90" w:type="dxa"/>
              <w:left w:w="90" w:type="dxa"/>
              <w:right w:w="90" w:type="dxa"/>
            </w:tcMar>
          </w:tcPr>
          <w:p>
            <w:pPr>
              <w:spacing w:after="60" w:before="20"/>
            </w:pPr>
            <w:r>
              <w:rPr>
                <w:b w:val="0"/>
                <w:color w:val="17242D"/>
                <w:sz w:val="19"/>
              </w:rPr>
              <w:t>schedule</w:t>
            </w:r>
          </w:p>
        </w:tc>
        <w:tc>
          <w:tcPr>
            <w:tcW w:type="dxa" w:w="1584"/>
            <w:shd w:fill="F2F6F8"/>
            <w:tcMar>
              <w:top w:w="90" w:type="dxa"/>
              <w:bottom w:w="90" w:type="dxa"/>
              <w:left w:w="90" w:type="dxa"/>
              <w:right w:w="90" w:type="dxa"/>
            </w:tcMar>
          </w:tcPr>
          <w:p>
            <w:pPr>
              <w:spacing w:after="60" w:before="20"/>
            </w:pPr>
            <w:r>
              <w:rPr>
                <w:b w:val="0"/>
                <w:color w:val="17242D"/>
                <w:sz w:val="19"/>
              </w:rPr>
              <w:t>scheduled</w:t>
            </w:r>
          </w:p>
        </w:tc>
        <w:tc>
          <w:tcPr>
            <w:tcW w:type="dxa" w:w="5256"/>
            <w:shd w:fill="F2F6F8"/>
            <w:tcMar>
              <w:top w:w="90" w:type="dxa"/>
              <w:bottom w:w="90" w:type="dxa"/>
              <w:left w:w="90" w:type="dxa"/>
              <w:right w:w="90" w:type="dxa"/>
            </w:tcMar>
          </w:tcPr>
          <w:p>
            <w:pPr>
              <w:spacing w:after="60" w:before="20"/>
            </w:pPr>
            <w:r>
              <w:rPr>
                <w:b w:val="0"/>
                <w:color w:val="17242D"/>
                <w:sz w:val="19"/>
              </w:rPr>
              <w:t>Appointment reference</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scheduled</w:t>
            </w:r>
          </w:p>
        </w:tc>
        <w:tc>
          <w:tcPr>
            <w:tcW w:type="dxa" w:w="1800"/>
            <w:shd w:fill="FFFFFF"/>
            <w:tcMar>
              <w:top w:w="90" w:type="dxa"/>
              <w:bottom w:w="90" w:type="dxa"/>
              <w:left w:w="90" w:type="dxa"/>
              <w:right w:w="90" w:type="dxa"/>
            </w:tcMar>
          </w:tcPr>
          <w:p>
            <w:pPr>
              <w:spacing w:after="60" w:before="20"/>
            </w:pPr>
            <w:r>
              <w:rPr>
                <w:b w:val="0"/>
                <w:color w:val="17242D"/>
                <w:sz w:val="19"/>
              </w:rPr>
              <w:t>attend</w:t>
            </w:r>
          </w:p>
        </w:tc>
        <w:tc>
          <w:tcPr>
            <w:tcW w:type="dxa" w:w="1584"/>
            <w:shd w:fill="FFFFFF"/>
            <w:tcMar>
              <w:top w:w="90" w:type="dxa"/>
              <w:bottom w:w="90" w:type="dxa"/>
              <w:left w:w="90" w:type="dxa"/>
              <w:right w:w="90" w:type="dxa"/>
            </w:tcMar>
          </w:tcPr>
          <w:p>
            <w:pPr>
              <w:spacing w:after="60" w:before="20"/>
            </w:pPr>
            <w:r>
              <w:rPr>
                <w:b w:val="0"/>
                <w:color w:val="17242D"/>
                <w:sz w:val="19"/>
              </w:rPr>
              <w:t>attended</w:t>
            </w:r>
          </w:p>
        </w:tc>
        <w:tc>
          <w:tcPr>
            <w:tcW w:type="dxa" w:w="5256"/>
            <w:shd w:fill="FFFFFF"/>
            <w:tcMar>
              <w:top w:w="90" w:type="dxa"/>
              <w:bottom w:w="90" w:type="dxa"/>
              <w:left w:w="90" w:type="dxa"/>
              <w:right w:w="90" w:type="dxa"/>
            </w:tcMar>
          </w:tcPr>
          <w:p>
            <w:pPr>
              <w:spacing w:after="60" w:before="20"/>
            </w:pPr>
            <w:r>
              <w:rPr>
                <w:b w:val="0"/>
                <w:color w:val="17242D"/>
                <w:sz w:val="19"/>
              </w:rPr>
              <w:t>Attendance evidence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attended</w:t>
            </w:r>
          </w:p>
        </w:tc>
        <w:tc>
          <w:tcPr>
            <w:tcW w:type="dxa" w:w="1800"/>
            <w:shd w:fill="F2F6F8"/>
            <w:tcMar>
              <w:top w:w="90" w:type="dxa"/>
              <w:bottom w:w="90" w:type="dxa"/>
              <w:left w:w="90" w:type="dxa"/>
              <w:right w:w="90" w:type="dxa"/>
            </w:tcMar>
          </w:tcPr>
          <w:p>
            <w:pPr>
              <w:spacing w:after="60" w:before="20"/>
            </w:pPr>
            <w:r>
              <w:rPr>
                <w:b w:val="0"/>
                <w:color w:val="17242D"/>
                <w:sz w:val="19"/>
              </w:rPr>
              <w:t>complete</w:t>
            </w:r>
          </w:p>
        </w:tc>
        <w:tc>
          <w:tcPr>
            <w:tcW w:type="dxa" w:w="1584"/>
            <w:shd w:fill="F2F6F8"/>
            <w:tcMar>
              <w:top w:w="90" w:type="dxa"/>
              <w:bottom w:w="90" w:type="dxa"/>
              <w:left w:w="90" w:type="dxa"/>
              <w:right w:w="90" w:type="dxa"/>
            </w:tcMar>
          </w:tcPr>
          <w:p>
            <w:pPr>
              <w:spacing w:after="60" w:before="20"/>
            </w:pPr>
            <w:r>
              <w:rPr>
                <w:b w:val="0"/>
                <w:color w:val="17242D"/>
                <w:sz w:val="19"/>
              </w:rPr>
              <w:t>completed</w:t>
            </w:r>
          </w:p>
        </w:tc>
        <w:tc>
          <w:tcPr>
            <w:tcW w:type="dxa" w:w="5256"/>
            <w:shd w:fill="F2F6F8"/>
            <w:tcMar>
              <w:top w:w="90" w:type="dxa"/>
              <w:bottom w:w="90" w:type="dxa"/>
              <w:left w:w="90" w:type="dxa"/>
              <w:right w:w="90" w:type="dxa"/>
            </w:tcMar>
          </w:tcPr>
          <w:p>
            <w:pPr>
              <w:spacing w:after="60" w:before="20"/>
            </w:pPr>
            <w:r>
              <w:rPr>
                <w:b w:val="0"/>
                <w:color w:val="17242D"/>
                <w:sz w:val="19"/>
              </w:rPr>
              <w:t>Service outcome evidence and accountable verifier</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sent</w:t>
            </w:r>
          </w:p>
        </w:tc>
        <w:tc>
          <w:tcPr>
            <w:tcW w:type="dxa" w:w="1800"/>
            <w:shd w:fill="FFFFFF"/>
            <w:tcMar>
              <w:top w:w="90" w:type="dxa"/>
              <w:bottom w:w="90" w:type="dxa"/>
              <w:left w:w="90" w:type="dxa"/>
              <w:right w:w="90" w:type="dxa"/>
            </w:tcMar>
          </w:tcPr>
          <w:p>
            <w:pPr>
              <w:spacing w:after="60" w:before="20"/>
            </w:pPr>
            <w:r>
              <w:rPr>
                <w:b w:val="0"/>
                <w:color w:val="17242D"/>
                <w:sz w:val="19"/>
              </w:rPr>
              <w:t>unresolved close</w:t>
            </w:r>
          </w:p>
        </w:tc>
        <w:tc>
          <w:tcPr>
            <w:tcW w:type="dxa" w:w="1584"/>
            <w:shd w:fill="FFFFFF"/>
            <w:tcMar>
              <w:top w:w="90" w:type="dxa"/>
              <w:bottom w:w="90" w:type="dxa"/>
              <w:left w:w="90" w:type="dxa"/>
              <w:right w:w="90" w:type="dxa"/>
            </w:tcMar>
          </w:tcPr>
          <w:p>
            <w:pPr>
              <w:spacing w:after="60" w:before="20"/>
            </w:pPr>
            <w:r>
              <w:rPr>
                <w:b w:val="0"/>
                <w:color w:val="17242D"/>
                <w:sz w:val="19"/>
              </w:rPr>
              <w:t>unresolved</w:t>
            </w:r>
          </w:p>
        </w:tc>
        <w:tc>
          <w:tcPr>
            <w:tcW w:type="dxa" w:w="5256"/>
            <w:shd w:fill="FFFFFF"/>
            <w:tcMar>
              <w:top w:w="90" w:type="dxa"/>
              <w:bottom w:w="90" w:type="dxa"/>
              <w:left w:w="90" w:type="dxa"/>
              <w:right w:w="90" w:type="dxa"/>
            </w:tcMar>
          </w:tcPr>
          <w:p>
            <w:pPr>
              <w:spacing w:after="60" w:before="20"/>
            </w:pPr>
            <w:r>
              <w:rPr>
                <w:b w:val="0"/>
                <w:color w:val="17242D"/>
                <w:sz w:val="19"/>
              </w:rPr>
              <w:t>Approved coded reason, responsible actor and follow-up disposition</w:t>
            </w:r>
          </w:p>
        </w:tc>
      </w:tr>
    </w:tbl>
    <w:p>
      <w:pPr>
        <w:spacing w:after="20"/>
      </w:pPr>
    </w:p>
    <w:p>
      <w:pPr>
        <w:pStyle w:val="Heading2"/>
      </w:pPr>
      <w:r>
        <w:t>Consent</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requested</w:t>
            </w:r>
          </w:p>
        </w:tc>
        <w:tc>
          <w:tcPr>
            <w:tcW w:type="dxa" w:w="1800"/>
            <w:shd w:fill="FFFFFF"/>
            <w:tcMar>
              <w:top w:w="90" w:type="dxa"/>
              <w:bottom w:w="90" w:type="dxa"/>
              <w:left w:w="90" w:type="dxa"/>
              <w:right w:w="90" w:type="dxa"/>
            </w:tcMar>
          </w:tcPr>
          <w:p>
            <w:pPr>
              <w:spacing w:after="60" w:before="20"/>
            </w:pPr>
            <w:r>
              <w:rPr>
                <w:b w:val="0"/>
                <w:color w:val="17242D"/>
                <w:sz w:val="19"/>
              </w:rPr>
              <w:t>approve</w:t>
            </w:r>
          </w:p>
        </w:tc>
        <w:tc>
          <w:tcPr>
            <w:tcW w:type="dxa" w:w="1584"/>
            <w:shd w:fill="FFFFFF"/>
            <w:tcMar>
              <w:top w:w="90" w:type="dxa"/>
              <w:bottom w:w="90" w:type="dxa"/>
              <w:left w:w="90" w:type="dxa"/>
              <w:right w:w="90" w:type="dxa"/>
            </w:tcMar>
          </w:tcPr>
          <w:p>
            <w:pPr>
              <w:spacing w:after="60" w:before="20"/>
            </w:pPr>
            <w:r>
              <w:rPr>
                <w:b w:val="0"/>
                <w:color w:val="17242D"/>
                <w:sz w:val="19"/>
              </w:rPr>
              <w:t>active</w:t>
            </w:r>
          </w:p>
        </w:tc>
        <w:tc>
          <w:tcPr>
            <w:tcW w:type="dxa" w:w="5256"/>
            <w:shd w:fill="FFFFFF"/>
            <w:tcMar>
              <w:top w:w="90" w:type="dxa"/>
              <w:bottom w:w="90" w:type="dxa"/>
              <w:left w:w="90" w:type="dxa"/>
              <w:right w:w="90" w:type="dxa"/>
            </w:tcMar>
          </w:tcPr>
          <w:p>
            <w:pPr>
              <w:spacing w:after="60" w:before="20"/>
            </w:pPr>
            <w:r>
              <w:rPr>
                <w:b w:val="0"/>
                <w:color w:val="17242D"/>
                <w:sz w:val="19"/>
              </w:rPr>
              <w:t>Authenticated artefact and exact scope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requested</w:t>
            </w:r>
          </w:p>
        </w:tc>
        <w:tc>
          <w:tcPr>
            <w:tcW w:type="dxa" w:w="1800"/>
            <w:shd w:fill="F2F6F8"/>
            <w:tcMar>
              <w:top w:w="90" w:type="dxa"/>
              <w:bottom w:w="90" w:type="dxa"/>
              <w:left w:w="90" w:type="dxa"/>
              <w:right w:w="90" w:type="dxa"/>
            </w:tcMar>
          </w:tcPr>
          <w:p>
            <w:pPr>
              <w:spacing w:after="60" w:before="20"/>
            </w:pPr>
            <w:r>
              <w:rPr>
                <w:b w:val="0"/>
                <w:color w:val="17242D"/>
                <w:sz w:val="19"/>
              </w:rPr>
              <w:t>deny</w:t>
            </w:r>
          </w:p>
        </w:tc>
        <w:tc>
          <w:tcPr>
            <w:tcW w:type="dxa" w:w="1584"/>
            <w:shd w:fill="F2F6F8"/>
            <w:tcMar>
              <w:top w:w="90" w:type="dxa"/>
              <w:bottom w:w="90" w:type="dxa"/>
              <w:left w:w="90" w:type="dxa"/>
              <w:right w:w="90" w:type="dxa"/>
            </w:tcMar>
          </w:tcPr>
          <w:p>
            <w:pPr>
              <w:spacing w:after="60" w:before="20"/>
            </w:pPr>
            <w:r>
              <w:rPr>
                <w:b w:val="0"/>
                <w:color w:val="17242D"/>
                <w:sz w:val="19"/>
              </w:rPr>
              <w:t>denied</w:t>
            </w:r>
          </w:p>
        </w:tc>
        <w:tc>
          <w:tcPr>
            <w:tcW w:type="dxa" w:w="5256"/>
            <w:shd w:fill="F2F6F8"/>
            <w:tcMar>
              <w:top w:w="90" w:type="dxa"/>
              <w:bottom w:w="90" w:type="dxa"/>
              <w:left w:w="90" w:type="dxa"/>
              <w:right w:w="90" w:type="dxa"/>
            </w:tcMar>
          </w:tcPr>
          <w:p>
            <w:pPr>
              <w:spacing w:after="60" w:before="20"/>
            </w:pPr>
            <w:r>
              <w:rPr>
                <w:b w:val="0"/>
                <w:color w:val="17242D"/>
                <w:sz w:val="19"/>
              </w:rPr>
              <w:t>Denial received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active</w:t>
            </w:r>
          </w:p>
        </w:tc>
        <w:tc>
          <w:tcPr>
            <w:tcW w:type="dxa" w:w="1800"/>
            <w:shd w:fill="FFFFFF"/>
            <w:tcMar>
              <w:top w:w="90" w:type="dxa"/>
              <w:bottom w:w="90" w:type="dxa"/>
              <w:left w:w="90" w:type="dxa"/>
              <w:right w:w="90" w:type="dxa"/>
            </w:tcMar>
          </w:tcPr>
          <w:p>
            <w:pPr>
              <w:spacing w:after="60" w:before="20"/>
            </w:pPr>
            <w:r>
              <w:rPr>
                <w:b w:val="0"/>
                <w:color w:val="17242D"/>
                <w:sz w:val="19"/>
              </w:rPr>
              <w:t>withdraw</w:t>
            </w:r>
          </w:p>
        </w:tc>
        <w:tc>
          <w:tcPr>
            <w:tcW w:type="dxa" w:w="1584"/>
            <w:shd w:fill="FFFFFF"/>
            <w:tcMar>
              <w:top w:w="90" w:type="dxa"/>
              <w:bottom w:w="90" w:type="dxa"/>
              <w:left w:w="90" w:type="dxa"/>
              <w:right w:w="90" w:type="dxa"/>
            </w:tcMar>
          </w:tcPr>
          <w:p>
            <w:pPr>
              <w:spacing w:after="60" w:before="20"/>
            </w:pPr>
            <w:r>
              <w:rPr>
                <w:b w:val="0"/>
                <w:color w:val="17242D"/>
                <w:sz w:val="19"/>
              </w:rPr>
              <w:t>revoked</w:t>
            </w:r>
          </w:p>
        </w:tc>
        <w:tc>
          <w:tcPr>
            <w:tcW w:type="dxa" w:w="5256"/>
            <w:shd w:fill="FFFFFF"/>
            <w:tcMar>
              <w:top w:w="90" w:type="dxa"/>
              <w:bottom w:w="90" w:type="dxa"/>
              <w:left w:w="90" w:type="dxa"/>
              <w:right w:w="90" w:type="dxa"/>
            </w:tcMar>
          </w:tcPr>
          <w:p>
            <w:pPr>
              <w:spacing w:after="60" w:before="20"/>
            </w:pPr>
            <w:r>
              <w:rPr>
                <w:b w:val="0"/>
                <w:color w:val="17242D"/>
                <w:sz w:val="19"/>
              </w:rPr>
              <w:t>Block new disclosure and dispose queues</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active</w:t>
            </w:r>
          </w:p>
        </w:tc>
        <w:tc>
          <w:tcPr>
            <w:tcW w:type="dxa" w:w="1800"/>
            <w:shd w:fill="F2F6F8"/>
            <w:tcMar>
              <w:top w:w="90" w:type="dxa"/>
              <w:bottom w:w="90" w:type="dxa"/>
              <w:left w:w="90" w:type="dxa"/>
              <w:right w:w="90" w:type="dxa"/>
            </w:tcMar>
          </w:tcPr>
          <w:p>
            <w:pPr>
              <w:spacing w:after="60" w:before="20"/>
            </w:pPr>
            <w:r>
              <w:rPr>
                <w:b w:val="0"/>
                <w:color w:val="17242D"/>
                <w:sz w:val="19"/>
              </w:rPr>
              <w:t>time expiry</w:t>
            </w:r>
          </w:p>
        </w:tc>
        <w:tc>
          <w:tcPr>
            <w:tcW w:type="dxa" w:w="1584"/>
            <w:shd w:fill="F2F6F8"/>
            <w:tcMar>
              <w:top w:w="90" w:type="dxa"/>
              <w:bottom w:w="90" w:type="dxa"/>
              <w:left w:w="90" w:type="dxa"/>
              <w:right w:w="90" w:type="dxa"/>
            </w:tcMar>
          </w:tcPr>
          <w:p>
            <w:pPr>
              <w:spacing w:after="60" w:before="20"/>
            </w:pPr>
            <w:r>
              <w:rPr>
                <w:b w:val="0"/>
                <w:color w:val="17242D"/>
                <w:sz w:val="19"/>
              </w:rPr>
              <w:t>expired</w:t>
            </w:r>
          </w:p>
        </w:tc>
        <w:tc>
          <w:tcPr>
            <w:tcW w:type="dxa" w:w="5256"/>
            <w:shd w:fill="F2F6F8"/>
            <w:tcMar>
              <w:top w:w="90" w:type="dxa"/>
              <w:bottom w:w="90" w:type="dxa"/>
              <w:left w:w="90" w:type="dxa"/>
              <w:right w:w="90" w:type="dxa"/>
            </w:tcMar>
          </w:tcPr>
          <w:p>
            <w:pPr>
              <w:spacing w:after="60" w:before="20"/>
            </w:pPr>
            <w:r>
              <w:rPr>
                <w:b w:val="0"/>
                <w:color w:val="17242D"/>
                <w:sz w:val="19"/>
              </w:rPr>
              <w:t>Server clock exceeds expiry</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active</w:t>
            </w:r>
          </w:p>
        </w:tc>
        <w:tc>
          <w:tcPr>
            <w:tcW w:type="dxa" w:w="1800"/>
            <w:shd w:fill="FFFFFF"/>
            <w:tcMar>
              <w:top w:w="90" w:type="dxa"/>
              <w:bottom w:w="90" w:type="dxa"/>
              <w:left w:w="90" w:type="dxa"/>
              <w:right w:w="90" w:type="dxa"/>
            </w:tcMar>
          </w:tcPr>
          <w:p>
            <w:pPr>
              <w:spacing w:after="60" w:before="20"/>
            </w:pPr>
            <w:r>
              <w:rPr>
                <w:b w:val="0"/>
                <w:color w:val="17242D"/>
                <w:sz w:val="19"/>
              </w:rPr>
              <w:t>replace</w:t>
            </w:r>
          </w:p>
        </w:tc>
        <w:tc>
          <w:tcPr>
            <w:tcW w:type="dxa" w:w="1584"/>
            <w:shd w:fill="FFFFFF"/>
            <w:tcMar>
              <w:top w:w="90" w:type="dxa"/>
              <w:bottom w:w="90" w:type="dxa"/>
              <w:left w:w="90" w:type="dxa"/>
              <w:right w:w="90" w:type="dxa"/>
            </w:tcMar>
          </w:tcPr>
          <w:p>
            <w:pPr>
              <w:spacing w:after="60" w:before="20"/>
            </w:pPr>
            <w:r>
              <w:rPr>
                <w:b w:val="0"/>
                <w:color w:val="17242D"/>
                <w:sz w:val="19"/>
              </w:rPr>
              <w:t>superseded</w:t>
            </w:r>
          </w:p>
        </w:tc>
        <w:tc>
          <w:tcPr>
            <w:tcW w:type="dxa" w:w="5256"/>
            <w:shd w:fill="FFFFFF"/>
            <w:tcMar>
              <w:top w:w="90" w:type="dxa"/>
              <w:bottom w:w="90" w:type="dxa"/>
              <w:left w:w="90" w:type="dxa"/>
              <w:right w:w="90" w:type="dxa"/>
            </w:tcMar>
          </w:tcPr>
          <w:p>
            <w:pPr>
              <w:spacing w:after="60" w:before="20"/>
            </w:pPr>
            <w:r>
              <w:rPr>
                <w:b w:val="0"/>
                <w:color w:val="17242D"/>
                <w:sz w:val="19"/>
              </w:rPr>
              <w:t>New authority scope requires new artefact</w:t>
            </w:r>
          </w:p>
        </w:tc>
      </w:tr>
    </w:tbl>
    <w:p>
      <w:pPr>
        <w:spacing w:after="20"/>
      </w:pPr>
    </w:p>
    <w:p>
      <w:pPr>
        <w:pStyle w:val="Heading2"/>
      </w:pPr>
      <w:r>
        <w:t>Capability</w:t>
      </w:r>
    </w:p>
    <w:tbl>
      <w:tblPr>
        <w:tblW w:type="auto" w:w="0"/>
        <w:tblLayout w:type="fixed"/>
        <w:tblLook w:firstColumn="1" w:firstRow="1" w:lastColumn="0" w:lastRow="0" w:noHBand="0" w:noVBand="1" w:val="04A0"/>
        <w:tblBorders>
          <w:top w:val="single" w:sz="4" w:color="D3DCE3"/>
          <w:left w:val="single" w:sz="4" w:color="D3DCE3"/>
          <w:bottom w:val="single" w:sz="4" w:color="D3DCE3"/>
          <w:right w:val="single" w:sz="4" w:color="D3DCE3"/>
          <w:insideH w:val="single" w:sz="4" w:color="D3DCE3"/>
          <w:insideV w:val="single" w:sz="4" w:color="D3DCE3"/>
        </w:tblBorders>
      </w:tblPr>
      <w:tblGrid>
        <w:gridCol w:w="1440"/>
        <w:gridCol w:w="1800"/>
        <w:gridCol w:w="1584"/>
        <w:gridCol w:w="5256"/>
      </w:tblGrid>
      <w:tr>
        <w:trPr>
          <w:tblHeader/>
          <w:cantSplit/>
        </w:trPr>
        <w:tc>
          <w:tcPr>
            <w:tcW w:type="dxa" w:w="1440"/>
            <w:shd w:fill="173A50"/>
            <w:tcMar>
              <w:top w:w="90" w:type="dxa"/>
              <w:bottom w:w="90" w:type="dxa"/>
              <w:left w:w="90" w:type="dxa"/>
              <w:right w:w="90" w:type="dxa"/>
            </w:tcMar>
          </w:tcPr>
          <w:p>
            <w:pPr>
              <w:spacing w:after="60" w:before="20"/>
            </w:pPr>
            <w:r>
              <w:rPr>
                <w:b/>
                <w:color w:val="FFFFFF"/>
                <w:sz w:val="19"/>
              </w:rPr>
              <w:t>From</w:t>
            </w:r>
          </w:p>
        </w:tc>
        <w:tc>
          <w:tcPr>
            <w:tcW w:type="dxa" w:w="1800"/>
            <w:shd w:fill="173A50"/>
            <w:tcMar>
              <w:top w:w="90" w:type="dxa"/>
              <w:bottom w:w="90" w:type="dxa"/>
              <w:left w:w="90" w:type="dxa"/>
              <w:right w:w="90" w:type="dxa"/>
            </w:tcMar>
          </w:tcPr>
          <w:p>
            <w:pPr>
              <w:spacing w:after="60" w:before="20"/>
            </w:pPr>
            <w:r>
              <w:rPr>
                <w:b/>
                <w:color w:val="FFFFFF"/>
                <w:sz w:val="19"/>
              </w:rPr>
              <w:t>Event</w:t>
            </w:r>
          </w:p>
        </w:tc>
        <w:tc>
          <w:tcPr>
            <w:tcW w:type="dxa" w:w="1584"/>
            <w:shd w:fill="173A50"/>
            <w:tcMar>
              <w:top w:w="90" w:type="dxa"/>
              <w:bottom w:w="90" w:type="dxa"/>
              <w:left w:w="90" w:type="dxa"/>
              <w:right w:w="90" w:type="dxa"/>
            </w:tcMar>
          </w:tcPr>
          <w:p>
            <w:pPr>
              <w:spacing w:after="60" w:before="20"/>
            </w:pPr>
            <w:r>
              <w:rPr>
                <w:b/>
                <w:color w:val="FFFFFF"/>
                <w:sz w:val="19"/>
              </w:rPr>
              <w:t>To</w:t>
            </w:r>
          </w:p>
        </w:tc>
        <w:tc>
          <w:tcPr>
            <w:tcW w:type="dxa" w:w="5256"/>
            <w:shd w:fill="173A50"/>
            <w:tcMar>
              <w:top w:w="90" w:type="dxa"/>
              <w:bottom w:w="90" w:type="dxa"/>
              <w:left w:w="90" w:type="dxa"/>
              <w:right w:w="90" w:type="dxa"/>
            </w:tcMar>
          </w:tcPr>
          <w:p>
            <w:pPr>
              <w:spacing w:after="60" w:before="20"/>
            </w:pPr>
            <w:r>
              <w:rPr>
                <w:b/>
                <w:color w:val="FFFFFF"/>
                <w:sz w:val="19"/>
              </w:rPr>
              <w:t>Guard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registered</w:t>
            </w:r>
          </w:p>
        </w:tc>
        <w:tc>
          <w:tcPr>
            <w:tcW w:type="dxa" w:w="1800"/>
            <w:shd w:fill="FFFFFF"/>
            <w:tcMar>
              <w:top w:w="90" w:type="dxa"/>
              <w:bottom w:w="90" w:type="dxa"/>
              <w:left w:w="90" w:type="dxa"/>
              <w:right w:w="90" w:type="dxa"/>
            </w:tcMar>
          </w:tcPr>
          <w:p>
            <w:pPr>
              <w:spacing w:after="60" w:before="20"/>
            </w:pPr>
            <w:r>
              <w:rPr>
                <w:b w:val="0"/>
                <w:color w:val="17242D"/>
                <w:sz w:val="19"/>
              </w:rPr>
              <w:t>technical review</w:t>
            </w:r>
          </w:p>
        </w:tc>
        <w:tc>
          <w:tcPr>
            <w:tcW w:type="dxa" w:w="1584"/>
            <w:shd w:fill="FFFFFF"/>
            <w:tcMar>
              <w:top w:w="90" w:type="dxa"/>
              <w:bottom w:w="90" w:type="dxa"/>
              <w:left w:w="90" w:type="dxa"/>
              <w:right w:w="90" w:type="dxa"/>
            </w:tcMar>
          </w:tcPr>
          <w:p>
            <w:pPr>
              <w:spacing w:after="60" w:before="20"/>
            </w:pPr>
            <w:r>
              <w:rPr>
                <w:b w:val="0"/>
                <w:color w:val="17242D"/>
                <w:sz w:val="19"/>
              </w:rPr>
              <w:t>verified</w:t>
            </w:r>
          </w:p>
        </w:tc>
        <w:tc>
          <w:tcPr>
            <w:tcW w:type="dxa" w:w="5256"/>
            <w:shd w:fill="FFFFFF"/>
            <w:tcMar>
              <w:top w:w="90" w:type="dxa"/>
              <w:bottom w:w="90" w:type="dxa"/>
              <w:left w:w="90" w:type="dxa"/>
              <w:right w:w="90" w:type="dxa"/>
            </w:tcMar>
          </w:tcPr>
          <w:p>
            <w:pPr>
              <w:spacing w:after="60" w:before="20"/>
            </w:pPr>
            <w:r>
              <w:rPr>
                <w:b w:val="0"/>
                <w:color w:val="17242D"/>
                <w:sz w:val="19"/>
              </w:rPr>
              <w:t>Contract tests and provider identity</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verified</w:t>
            </w:r>
          </w:p>
        </w:tc>
        <w:tc>
          <w:tcPr>
            <w:tcW w:type="dxa" w:w="1800"/>
            <w:shd w:fill="F2F6F8"/>
            <w:tcMar>
              <w:top w:w="90" w:type="dxa"/>
              <w:bottom w:w="90" w:type="dxa"/>
              <w:left w:w="90" w:type="dxa"/>
              <w:right w:w="90" w:type="dxa"/>
            </w:tcMar>
          </w:tcPr>
          <w:p>
            <w:pPr>
              <w:spacing w:after="60" w:before="20"/>
            </w:pPr>
            <w:r>
              <w:rPr>
                <w:b w:val="0"/>
                <w:color w:val="17242D"/>
                <w:sz w:val="19"/>
              </w:rPr>
              <w:t>review</w:t>
            </w:r>
          </w:p>
        </w:tc>
        <w:tc>
          <w:tcPr>
            <w:tcW w:type="dxa" w:w="1584"/>
            <w:shd w:fill="F2F6F8"/>
            <w:tcMar>
              <w:top w:w="90" w:type="dxa"/>
              <w:bottom w:w="90" w:type="dxa"/>
              <w:left w:w="90" w:type="dxa"/>
              <w:right w:w="90" w:type="dxa"/>
            </w:tcMar>
          </w:tcPr>
          <w:p>
            <w:pPr>
              <w:spacing w:after="60" w:before="20"/>
            </w:pPr>
            <w:r>
              <w:rPr>
                <w:b w:val="0"/>
                <w:color w:val="17242D"/>
                <w:sz w:val="19"/>
              </w:rPr>
              <w:t>under_review</w:t>
            </w:r>
          </w:p>
        </w:tc>
        <w:tc>
          <w:tcPr>
            <w:tcW w:type="dxa" w:w="5256"/>
            <w:shd w:fill="F2F6F8"/>
            <w:tcMar>
              <w:top w:w="90" w:type="dxa"/>
              <w:bottom w:w="90" w:type="dxa"/>
              <w:left w:w="90" w:type="dxa"/>
              <w:right w:w="90" w:type="dxa"/>
            </w:tcMar>
          </w:tcPr>
          <w:p>
            <w:pPr>
              <w:spacing w:after="60" w:before="20"/>
            </w:pPr>
            <w:r>
              <w:rPr>
                <w:b w:val="0"/>
                <w:color w:val="17242D"/>
                <w:sz w:val="19"/>
              </w:rPr>
              <w:t>Evidence and data-use review</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under_review</w:t>
            </w:r>
          </w:p>
        </w:tc>
        <w:tc>
          <w:tcPr>
            <w:tcW w:type="dxa" w:w="1800"/>
            <w:shd w:fill="FFFFFF"/>
            <w:tcMar>
              <w:top w:w="90" w:type="dxa"/>
              <w:bottom w:w="90" w:type="dxa"/>
              <w:left w:w="90" w:type="dxa"/>
              <w:right w:w="90" w:type="dxa"/>
            </w:tcMar>
          </w:tcPr>
          <w:p>
            <w:pPr>
              <w:spacing w:after="60" w:before="20"/>
            </w:pPr>
            <w:r>
              <w:rPr>
                <w:b w:val="0"/>
                <w:color w:val="17242D"/>
                <w:sz w:val="19"/>
              </w:rPr>
              <w:t>approve</w:t>
            </w:r>
          </w:p>
        </w:tc>
        <w:tc>
          <w:tcPr>
            <w:tcW w:type="dxa" w:w="1584"/>
            <w:shd w:fill="FFFFFF"/>
            <w:tcMar>
              <w:top w:w="90" w:type="dxa"/>
              <w:bottom w:w="90" w:type="dxa"/>
              <w:left w:w="90" w:type="dxa"/>
              <w:right w:w="90" w:type="dxa"/>
            </w:tcMar>
          </w:tcPr>
          <w:p>
            <w:pPr>
              <w:spacing w:after="60" w:before="20"/>
            </w:pPr>
            <w:r>
              <w:rPr>
                <w:b w:val="0"/>
                <w:color w:val="17242D"/>
                <w:sz w:val="19"/>
              </w:rPr>
              <w:t>approved</w:t>
            </w:r>
          </w:p>
        </w:tc>
        <w:tc>
          <w:tcPr>
            <w:tcW w:type="dxa" w:w="5256"/>
            <w:shd w:fill="FFFFFF"/>
            <w:tcMar>
              <w:top w:w="90" w:type="dxa"/>
              <w:bottom w:w="90" w:type="dxa"/>
              <w:left w:w="90" w:type="dxa"/>
              <w:right w:w="90" w:type="dxa"/>
            </w:tcMar>
          </w:tcPr>
          <w:p>
            <w:pPr>
              <w:spacing w:after="60" w:before="20"/>
            </w:pPr>
            <w:r>
              <w:rPr>
                <w:b w:val="0"/>
                <w:color w:val="17242D"/>
                <w:sz w:val="19"/>
              </w:rPr>
              <w:t>Named independent approval for scope</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approved</w:t>
            </w:r>
          </w:p>
        </w:tc>
        <w:tc>
          <w:tcPr>
            <w:tcW w:type="dxa" w:w="1800"/>
            <w:shd w:fill="F2F6F8"/>
            <w:tcMar>
              <w:top w:w="90" w:type="dxa"/>
              <w:bottom w:w="90" w:type="dxa"/>
              <w:left w:w="90" w:type="dxa"/>
              <w:right w:w="90" w:type="dxa"/>
            </w:tcMar>
          </w:tcPr>
          <w:p>
            <w:pPr>
              <w:spacing w:after="60" w:before="20"/>
            </w:pPr>
            <w:r>
              <w:rPr>
                <w:b w:val="0"/>
                <w:color w:val="17242D"/>
                <w:sz w:val="19"/>
              </w:rPr>
              <w:t>activate</w:t>
            </w:r>
          </w:p>
        </w:tc>
        <w:tc>
          <w:tcPr>
            <w:tcW w:type="dxa" w:w="1584"/>
            <w:shd w:fill="F2F6F8"/>
            <w:tcMar>
              <w:top w:w="90" w:type="dxa"/>
              <w:bottom w:w="90" w:type="dxa"/>
              <w:left w:w="90" w:type="dxa"/>
              <w:right w:w="90" w:type="dxa"/>
            </w:tcMar>
          </w:tcPr>
          <w:p>
            <w:pPr>
              <w:spacing w:after="60" w:before="20"/>
            </w:pPr>
            <w:r>
              <w:rPr>
                <w:b w:val="0"/>
                <w:color w:val="17242D"/>
                <w:sz w:val="19"/>
              </w:rPr>
              <w:t>active</w:t>
            </w:r>
          </w:p>
        </w:tc>
        <w:tc>
          <w:tcPr>
            <w:tcW w:type="dxa" w:w="5256"/>
            <w:shd w:fill="F2F6F8"/>
            <w:tcMar>
              <w:top w:w="90" w:type="dxa"/>
              <w:bottom w:w="90" w:type="dxa"/>
              <w:left w:w="90" w:type="dxa"/>
              <w:right w:w="90" w:type="dxa"/>
            </w:tcMar>
          </w:tcPr>
          <w:p>
            <w:pPr>
              <w:spacing w:after="60" w:before="20"/>
            </w:pPr>
            <w:r>
              <w:rPr>
                <w:b w:val="0"/>
                <w:color w:val="17242D"/>
                <w:sz w:val="19"/>
              </w:rPr>
              <w:t>Deployment policy and compatible version</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active</w:t>
            </w:r>
          </w:p>
        </w:tc>
        <w:tc>
          <w:tcPr>
            <w:tcW w:type="dxa" w:w="1800"/>
            <w:shd w:fill="FFFFFF"/>
            <w:tcMar>
              <w:top w:w="90" w:type="dxa"/>
              <w:bottom w:w="90" w:type="dxa"/>
              <w:left w:w="90" w:type="dxa"/>
              <w:right w:w="90" w:type="dxa"/>
            </w:tcMar>
          </w:tcPr>
          <w:p>
            <w:pPr>
              <w:spacing w:after="60" w:before="20"/>
            </w:pPr>
            <w:r>
              <w:rPr>
                <w:b w:val="0"/>
                <w:color w:val="17242D"/>
                <w:sz w:val="19"/>
              </w:rPr>
              <w:t>suspend</w:t>
            </w:r>
          </w:p>
        </w:tc>
        <w:tc>
          <w:tcPr>
            <w:tcW w:type="dxa" w:w="1584"/>
            <w:shd w:fill="FFFFFF"/>
            <w:tcMar>
              <w:top w:w="90" w:type="dxa"/>
              <w:bottom w:w="90" w:type="dxa"/>
              <w:left w:w="90" w:type="dxa"/>
              <w:right w:w="90" w:type="dxa"/>
            </w:tcMar>
          </w:tcPr>
          <w:p>
            <w:pPr>
              <w:spacing w:after="60" w:before="20"/>
            </w:pPr>
            <w:r>
              <w:rPr>
                <w:b w:val="0"/>
                <w:color w:val="17242D"/>
                <w:sz w:val="19"/>
              </w:rPr>
              <w:t>suspended</w:t>
            </w:r>
          </w:p>
        </w:tc>
        <w:tc>
          <w:tcPr>
            <w:tcW w:type="dxa" w:w="5256"/>
            <w:shd w:fill="FFFFFF"/>
            <w:tcMar>
              <w:top w:w="90" w:type="dxa"/>
              <w:bottom w:w="90" w:type="dxa"/>
              <w:left w:w="90" w:type="dxa"/>
              <w:right w:w="90" w:type="dxa"/>
            </w:tcMar>
          </w:tcPr>
          <w:p>
            <w:pPr>
              <w:spacing w:after="60" w:before="20"/>
            </w:pPr>
            <w:r>
              <w:rPr>
                <w:b w:val="0"/>
                <w:color w:val="17242D"/>
                <w:sz w:val="19"/>
              </w:rPr>
              <w:t>Incident or version incompatibility</w:t>
            </w:r>
          </w:p>
        </w:tc>
      </w:tr>
      <w:tr>
        <w:trPr>
          <w:cantSplit/>
        </w:trPr>
        <w:tc>
          <w:tcPr>
            <w:tcW w:type="dxa" w:w="1440"/>
            <w:shd w:fill="F2F6F8"/>
            <w:tcMar>
              <w:top w:w="90" w:type="dxa"/>
              <w:bottom w:w="90" w:type="dxa"/>
              <w:left w:w="90" w:type="dxa"/>
              <w:right w:w="90" w:type="dxa"/>
            </w:tcMar>
          </w:tcPr>
          <w:p>
            <w:pPr>
              <w:spacing w:after="60" w:before="20"/>
            </w:pPr>
            <w:r>
              <w:rPr>
                <w:b w:val="0"/>
                <w:color w:val="17242D"/>
                <w:sz w:val="19"/>
              </w:rPr>
              <w:t>suspended</w:t>
            </w:r>
          </w:p>
        </w:tc>
        <w:tc>
          <w:tcPr>
            <w:tcW w:type="dxa" w:w="1800"/>
            <w:shd w:fill="F2F6F8"/>
            <w:tcMar>
              <w:top w:w="90" w:type="dxa"/>
              <w:bottom w:w="90" w:type="dxa"/>
              <w:left w:w="90" w:type="dxa"/>
              <w:right w:w="90" w:type="dxa"/>
            </w:tcMar>
          </w:tcPr>
          <w:p>
            <w:pPr>
              <w:spacing w:after="60" w:before="20"/>
            </w:pPr>
            <w:r>
              <w:rPr>
                <w:b w:val="0"/>
                <w:color w:val="17242D"/>
                <w:sz w:val="19"/>
              </w:rPr>
              <w:t>reapprove</w:t>
            </w:r>
          </w:p>
        </w:tc>
        <w:tc>
          <w:tcPr>
            <w:tcW w:type="dxa" w:w="1584"/>
            <w:shd w:fill="F2F6F8"/>
            <w:tcMar>
              <w:top w:w="90" w:type="dxa"/>
              <w:bottom w:w="90" w:type="dxa"/>
              <w:left w:w="90" w:type="dxa"/>
              <w:right w:w="90" w:type="dxa"/>
            </w:tcMar>
          </w:tcPr>
          <w:p>
            <w:pPr>
              <w:spacing w:after="60" w:before="20"/>
            </w:pPr>
            <w:r>
              <w:rPr>
                <w:b w:val="0"/>
                <w:color w:val="17242D"/>
                <w:sz w:val="19"/>
              </w:rPr>
              <w:t>approved</w:t>
            </w:r>
          </w:p>
        </w:tc>
        <w:tc>
          <w:tcPr>
            <w:tcW w:type="dxa" w:w="5256"/>
            <w:shd w:fill="F2F6F8"/>
            <w:tcMar>
              <w:top w:w="90" w:type="dxa"/>
              <w:bottom w:w="90" w:type="dxa"/>
              <w:left w:w="90" w:type="dxa"/>
              <w:right w:w="90" w:type="dxa"/>
            </w:tcMar>
          </w:tcPr>
          <w:p>
            <w:pPr>
              <w:spacing w:after="60" w:before="20"/>
            </w:pPr>
            <w:r>
              <w:rPr>
                <w:b w:val="0"/>
                <w:color w:val="17242D"/>
                <w:sz w:val="19"/>
              </w:rPr>
              <w:t>Corrective evidence reviewed</w:t>
            </w:r>
          </w:p>
        </w:tc>
      </w:tr>
      <w:tr>
        <w:trPr>
          <w:cantSplit/>
        </w:trPr>
        <w:tc>
          <w:tcPr>
            <w:tcW w:type="dxa" w:w="1440"/>
            <w:shd w:fill="FFFFFF"/>
            <w:tcMar>
              <w:top w:w="90" w:type="dxa"/>
              <w:bottom w:w="90" w:type="dxa"/>
              <w:left w:w="90" w:type="dxa"/>
              <w:right w:w="90" w:type="dxa"/>
            </w:tcMar>
          </w:tcPr>
          <w:p>
            <w:pPr>
              <w:spacing w:after="60" w:before="20"/>
            </w:pPr>
            <w:r>
              <w:rPr>
                <w:b w:val="0"/>
                <w:color w:val="17242D"/>
                <w:sz w:val="19"/>
              </w:rPr>
              <w:t>active</w:t>
            </w:r>
          </w:p>
        </w:tc>
        <w:tc>
          <w:tcPr>
            <w:tcW w:type="dxa" w:w="1800"/>
            <w:shd w:fill="FFFFFF"/>
            <w:tcMar>
              <w:top w:w="90" w:type="dxa"/>
              <w:bottom w:w="90" w:type="dxa"/>
              <w:left w:w="90" w:type="dxa"/>
              <w:right w:w="90" w:type="dxa"/>
            </w:tcMar>
          </w:tcPr>
          <w:p>
            <w:pPr>
              <w:spacing w:after="60" w:before="20"/>
            </w:pPr>
            <w:r>
              <w:rPr>
                <w:b w:val="0"/>
                <w:color w:val="17242D"/>
                <w:sz w:val="19"/>
              </w:rPr>
              <w:t>retire</w:t>
            </w:r>
          </w:p>
        </w:tc>
        <w:tc>
          <w:tcPr>
            <w:tcW w:type="dxa" w:w="1584"/>
            <w:shd w:fill="FFFFFF"/>
            <w:tcMar>
              <w:top w:w="90" w:type="dxa"/>
              <w:bottom w:w="90" w:type="dxa"/>
              <w:left w:w="90" w:type="dxa"/>
              <w:right w:w="90" w:type="dxa"/>
            </w:tcMar>
          </w:tcPr>
          <w:p>
            <w:pPr>
              <w:spacing w:after="60" w:before="20"/>
            </w:pPr>
            <w:r>
              <w:rPr>
                <w:b w:val="0"/>
                <w:color w:val="17242D"/>
                <w:sz w:val="19"/>
              </w:rPr>
              <w:t>retired</w:t>
            </w:r>
          </w:p>
        </w:tc>
        <w:tc>
          <w:tcPr>
            <w:tcW w:type="dxa" w:w="5256"/>
            <w:shd w:fill="FFFFFF"/>
            <w:tcMar>
              <w:top w:w="90" w:type="dxa"/>
              <w:bottom w:w="90" w:type="dxa"/>
              <w:left w:w="90" w:type="dxa"/>
              <w:right w:w="90" w:type="dxa"/>
            </w:tcMar>
          </w:tcPr>
          <w:p>
            <w:pPr>
              <w:spacing w:after="60" w:before="20"/>
            </w:pPr>
            <w:r>
              <w:rPr>
                <w:b w:val="0"/>
                <w:color w:val="17242D"/>
                <w:sz w:val="19"/>
              </w:rPr>
              <w:t>No new calls; history retained</w:t>
            </w:r>
          </w:p>
        </w:tc>
      </w:tr>
    </w:tbl>
    <w:p>
      <w:pPr>
        <w:spacing w:after="20"/>
      </w:pPr>
    </w:p>
    <w:p>
      <w:r>
        <w:t>The tables describe allowed core paths. States named in a resource schema but not linked here are reserved dispositions and must not be entered through an undocumented transition. Late results after cancellation are retained as evidence and handled by explicit reconciliation; they do not automatically restart cancelled care actions.</w:t>
      </w:r>
    </w:p>
    <w:p>
      <w:pPr>
        <w:pStyle w:val="Heading1"/>
      </w:pPr>
      <w:r>
        <w:t>Question assembly and reuse</w:t>
      </w:r>
    </w:p>
    <w:p>
      <w:r>
        <w:t>1. Load active programme packs and the person’s permitted episode context. Expand only rules whose eligibility inputs are known; an unknown input creates a question rather than false eligibility.</w:t>
      </w:r>
    </w:p>
    <w:p>
      <w:r>
        <w:t>2. Create requirement keys from concept system and code, person, episode, effective-time rule, unit dimension, source and verification requirement. Merge only questions declared equivalent by an approved mapping.</w:t>
      </w:r>
    </w:p>
    <w:p>
      <w:r>
        <w:t>3. Search confirmed observations within each rule’s freshness interval. Preserve original measurement time. Convert compatible units through a versioned tested conversion and retain both the original and normalised representation.</w:t>
      </w:r>
    </w:p>
    <w:p>
      <w:r>
        <w:t>4. Reject a candidate that is stale, disputed, wrong-episode, unverified or outside the permitted purpose. Present multiple clinically distinct observations separately.</w:t>
      </w:r>
    </w:p>
    <w:p>
      <w:r>
        <w:t>5. Ask unresolved shared questions once. Retain programme-specific attestations and any required per-programme review. On amendment, recompute impacted eligibility and pending action snapshots.</w:t>
      </w:r>
    </w:p>
    <w:p>
      <w:pPr>
        <w:pStyle w:val="Heading1"/>
      </w:pPr>
      <w:r>
        <w:t>Plan approval and execution</w:t>
      </w:r>
    </w:p>
    <w:p>
      <w:r>
        <w:t>An approval binds tenant, person, encounter revision, action IDs, exact input resource versions, payload hashes, recipient IDs, purpose, model or connector versions and expiry. Canonical JSON uses deterministic key ordering and a defined number representation; hash the canonical bytes using SHA-256. Hashes are integrity references, not anonymisation. The executor independently checks both the hash and current policy.</w:t>
      </w:r>
    </w:p>
    <w:p>
      <w:r>
        <w:t>1. The planner can request only registered tools with closed schemas. Validate its output, allowed action classes and dependency graph; reject cycles and unknown tools.</w:t>
      </w:r>
    </w:p>
    <w:p>
      <w:r>
        <w:t>2. Calculate the minimum fields and authority per action. Prepare the disclosure and cost preview. A routine read may run under an existing permitted workflow; a consequential write requires the configured approval.</w:t>
      </w:r>
    </w:p>
    <w:p>
      <w:r>
        <w:t>3. Persist approval against the snapshot. Before each dispatch, re-resolve assignment, person link, authority, model status, source freshness and remaining budget.</w:t>
      </w:r>
    </w:p>
    <w:p>
      <w:r>
        <w:t>4. If any binding changed, mark the action blocked for renewed review. Do not silently substitute recipients or provider versions.</w:t>
      </w:r>
    </w:p>
    <w:p>
      <w:r>
        <w:t>5. Persist the action checkpoint before calling a provider or destination. Use stable logical action identity and record every attempt. Resume only unfinished steps; preserve already accepted external effects.</w:t>
      </w:r>
    </w:p>
    <w:p>
      <w:pPr>
        <w:pStyle w:val="Heading1"/>
      </w:pPr>
      <w:r>
        <w:t>AI broker algorithm</w:t>
      </w:r>
    </w:p>
    <w:p>
      <w:r>
        <w:t>Admission intersects deployment activation, intended use, population, input quality, actor scope, authority, region and budget. The broker pins a manifest and provider release. It reserves a maximum permitted charge in a ledger transaction; actual settlement and release of unused reservation are idempotent. Timeouts retain the charge uncertainty until the provider contract resolves it.</w:t>
      </w:r>
    </w:p>
    <w:p>
      <w:r>
        <w:t>1. Build a minimal input from confirmed resource revisions. Remove direct identifiers unless the approved capability contract explicitly requires them. Record fields sent and the authority snapshot.</w:t>
      </w:r>
    </w:p>
    <w:p>
      <w:r>
        <w:t>2. Dispatch under per-provider concurrency and a deadline. For asynchronous results, authenticate the callback and check timestamp, replay token, request correlation, provider version and payload hash.</w:t>
      </w:r>
    </w:p>
    <w:p>
      <w:r>
        <w:t>3. Validate the output against the pinned schema and intended-use result vocabulary. Distinguish quality failure, unable to assess, clinical finding and transport failure.</w:t>
      </w:r>
    </w:p>
    <w:p>
      <w:r>
        <w:t>4. Store independent results and their limitations. Disagreement creates a human review task. A composition rule must have its own approved evidence before producing a combined clinical recommendation.</w:t>
      </w:r>
    </w:p>
    <w:p>
      <w:r>
        <w:t>5. Settle the invocation state and budget once. Duplicate callbacks have no duplicate clinical or financial effects. Suspension blocks new calls and identifies unfinished dependent plans.</w:t>
      </w:r>
    </w:p>
    <w:p>
      <w:pPr>
        <w:pStyle w:val="Heading1"/>
      </w:pPr>
      <w:r>
        <w:t>Destination adapter and reconciliation</w:t>
      </w:r>
    </w:p>
    <w:p>
      <w:pPr>
        <w:spacing w:after="0"/>
      </w:pPr>
      <w:r>
        <w:rPr>
          <w:rFonts w:ascii="Consolas" w:hAnsi="Consolas"/>
          <w:sz w:val="18"/>
        </w:rPr>
        <w:t>dispatch(action):</w:t>
      </w:r>
    </w:p>
    <w:p>
      <w:pPr>
        <w:spacing w:after="0"/>
      </w:pPr>
      <w:r>
        <w:rPr>
          <w:rFonts w:ascii="Consolas" w:hAnsi="Consolas"/>
          <w:sz w:val="18"/>
        </w:rPr>
        <w:t xml:space="preserve">  lock_and_lease(action)</w:t>
      </w:r>
    </w:p>
    <w:p>
      <w:pPr>
        <w:spacing w:after="0"/>
      </w:pPr>
      <w:r>
        <w:rPr>
          <w:rFonts w:ascii="Consolas" w:hAnsi="Consolas"/>
          <w:sz w:val="18"/>
        </w:rPr>
        <w:t xml:space="preserve">  revalidate_policy_approval_inputs_and_mapping()</w:t>
      </w:r>
    </w:p>
    <w:p>
      <w:pPr>
        <w:spacing w:after="0"/>
      </w:pPr>
      <w:r>
        <w:rPr>
          <w:rFonts w:ascii="Consolas" w:hAnsi="Consolas"/>
          <w:sz w:val="18"/>
        </w:rPr>
        <w:t xml:space="preserve">  payload = transform_and_validate_exact_snapshot()</w:t>
      </w:r>
    </w:p>
    <w:p>
      <w:pPr>
        <w:spacing w:after="0"/>
      </w:pPr>
      <w:r>
        <w:rPr>
          <w:rFonts w:ascii="Consolas" w:hAnsi="Consolas"/>
          <w:sz w:val="18"/>
        </w:rPr>
        <w:t xml:space="preserve">  checkpoint_attempt_with_stable_logical_reference()</w:t>
      </w:r>
    </w:p>
    <w:p>
      <w:pPr>
        <w:spacing w:after="0"/>
      </w:pPr>
      <w:r>
        <w:rPr>
          <w:rFonts w:ascii="Consolas" w:hAnsi="Consolas"/>
          <w:sz w:val="18"/>
        </w:rPr>
        <w:t xml:space="preserve">  response = destination.send(payload)</w:t>
      </w:r>
    </w:p>
    <w:p>
      <w:pPr>
        <w:spacing w:after="0"/>
      </w:pPr>
      <w:r>
        <w:rPr>
          <w:rFonts w:ascii="Consolas" w:hAnsi="Consolas"/>
          <w:sz w:val="18"/>
        </w:rPr>
        <w:t xml:space="preserve">  if verified_business_receipt(response): accept()</w:t>
      </w:r>
    </w:p>
    <w:p>
      <w:pPr>
        <w:spacing w:after="0"/>
      </w:pPr>
      <w:r>
        <w:rPr>
          <w:rFonts w:ascii="Consolas" w:hAnsi="Consolas"/>
          <w:sz w:val="18"/>
        </w:rPr>
        <w:t xml:space="preserve">  elif definitive_business_rejection(response): reject()</w:t>
      </w:r>
    </w:p>
    <w:p>
      <w:pPr>
        <w:spacing w:after="0"/>
      </w:pPr>
      <w:r>
        <w:rPr>
          <w:rFonts w:ascii="Consolas" w:hAnsi="Consolas"/>
          <w:sz w:val="18"/>
        </w:rPr>
        <w:t xml:space="preserve">  else: mark_uncertain_and_schedule_lookup()</w:t>
      </w:r>
    </w:p>
    <w:p>
      <w:pPr>
        <w:spacing w:after="0"/>
      </w:pPr>
      <w:r>
        <w:rPr>
          <w:rFonts w:ascii="Consolas" w:hAnsi="Consolas"/>
          <w:sz w:val="18"/>
        </w:rPr>
      </w:r>
    </w:p>
    <w:p>
      <w:pPr>
        <w:spacing w:after="0"/>
      </w:pPr>
      <w:r>
        <w:rPr>
          <w:rFonts w:ascii="Consolas" w:hAnsi="Consolas"/>
          <w:sz w:val="18"/>
        </w:rPr>
        <w:t>reconcile(action):</w:t>
      </w:r>
    </w:p>
    <w:p>
      <w:pPr>
        <w:spacing w:after="0"/>
      </w:pPr>
      <w:r>
        <w:rPr>
          <w:rFonts w:ascii="Consolas" w:hAnsi="Consolas"/>
          <w:sz w:val="18"/>
        </w:rPr>
        <w:t xml:space="preserve">  evidence = destination.lookup(action.logical_reference)</w:t>
      </w:r>
    </w:p>
    <w:p>
      <w:pPr>
        <w:spacing w:after="0"/>
      </w:pPr>
      <w:r>
        <w:rPr>
          <w:rFonts w:ascii="Consolas" w:hAnsi="Consolas"/>
          <w:sz w:val="18"/>
        </w:rPr>
        <w:t xml:space="preserve">  if verified_acceptance(evidence): accept_without_resending()</w:t>
      </w:r>
    </w:p>
    <w:p>
      <w:pPr>
        <w:spacing w:after="0"/>
      </w:pPr>
      <w:r>
        <w:rPr>
          <w:rFonts w:ascii="Consolas" w:hAnsi="Consolas"/>
          <w:sz w:val="18"/>
        </w:rPr>
        <w:t xml:space="preserve">  elif proven_nonacceptance(evidence): revalidate_then_queue()</w:t>
      </w:r>
    </w:p>
    <w:p>
      <w:pPr>
        <w:spacing w:after="0"/>
      </w:pPr>
      <w:r>
        <w:rPr>
          <w:rFonts w:ascii="Consolas" w:hAnsi="Consolas"/>
          <w:sz w:val="18"/>
        </w:rPr>
        <w:t xml:space="preserve">  else: keep_uncertain_and_assign_manual_owner()</w:t>
      </w:r>
    </w:p>
    <w:p>
      <w:r>
        <w:t>Worker lease expiry does not itself permit another external write. A new worker first inspects the previous attempt and reconciles any possible side effect. A destination without reliable lookup or idempotent write semantics is ineligible for unattended replay. Business correction creates a new payload revision and appropriate approval; it does not overwrite the original receipt.</w:t>
      </w:r>
    </w:p>
    <w:p>
      <w:pPr>
        <w:pStyle w:val="Heading1"/>
      </w:pPr>
      <w:r>
        <w:t>Offline lease and synchronisation</w:t>
      </w:r>
    </w:p>
    <w:p>
      <w:r>
        <w:t>Store the device encryption key using supported platform key protection. A server-signed lease limits person scope, actions, purpose, policy version and expiry. The client uses a trusted elapsed-time anchor as well as server time; suspicious time rollback or reboot without a trusted anchor locks private content until renewal. Remote revocation takes effect on the server immediately and on a disconnected device when it reconnects or its lease expires; do not claim instant offline revocation.</w:t>
      </w:r>
    </w:p>
    <w:p>
      <w:r>
        <w:t>1. Commit a local draft, command and dependency record atomically before reporting Saved on device. Media uses resumable chunks and a final digest; incomplete uploads cannot enter a clinical AI call.</w:t>
      </w:r>
    </w:p>
    <w:p>
      <w:r>
        <w:t>2. Sync a bounded batch with stable command IDs, device sequence, base version, payload digest and dependencies. Reject cross-device or cross-tenant payload references.</w:t>
      </w:r>
    </w:p>
    <w:p>
      <w:r>
        <w:t>3. Process valid causal predecessors first. Return accepted, duplicate, conflict, rejected or dependency_pending for each item. A failed item does not erase accepted siblings.</w:t>
      </w:r>
    </w:p>
    <w:p>
      <w:r>
        <w:t>4. Recheck current server authority before external disclosure. An expired lease may permit an authorised recovery process for existing drafts, but cannot authorise stale AI or destination actions.</w:t>
      </w:r>
    </w:p>
    <w:p>
      <w:r>
        <w:t>5. Retain local records until their durable server receipt is committed locally. Clean up only acknowledged eligible media under retention policy. A full disk blocks new capture with clear recovery instructions.</w:t>
      </w:r>
    </w:p>
    <w:p>
      <w:pPr>
        <w:pStyle w:val="Heading1"/>
      </w:pPr>
      <w:r>
        <w:t>Conflict and identity correction</w:t>
      </w:r>
    </w:p>
    <w:p>
      <w:r>
        <w:t>Optimistic concurrency protects mutable resource pointers. Confirmed facts use immutable revisions. A concurrent candidate that differs in meaning or effective time can be retained as a separate observation; competing corrections to the same fact create a conflict requiring an accountable reviewer. Last writer wins is prohibited for patient identity, confirmed facts, authority and action approvals.</w:t>
      </w:r>
    </w:p>
    <w:p>
      <w:r>
        <w:t>Correcting an identifier link supersedes it rather than merging persons automatically. Freeze affected pending disclosures, enumerate dependent records and external actions, ask a steward to confirm ownership, and create destination-specific repair work. Restrict exposure during investigation. The history keeps the original attribution and the correction reason.</w:t>
      </w:r>
    </w:p>
    <w:p>
      <w:pPr>
        <w:pStyle w:val="Heading1"/>
      </w:pPr>
      <w:r>
        <w:t>Projection and audit consumers</w:t>
      </w:r>
    </w:p>
    <w:p>
      <w:r>
        <w:t>The outbox publisher delivers at least once. Consumers insert a unique tenant plus consumer plus event ID receipt in the same transaction as their projection change. Track aggregate version and defer an event that requires a missing predecessor. Rebuild projections from retained revisions or a versioned event snapshot; reconcile against source receipts before showing a report as complete.</w:t>
      </w:r>
    </w:p>
    <w:p>
      <w:r>
        <w:t>Audit events record actor, action, resource revision, purpose, policy result, correlation and evidence references. Clinical payload is stored only in the authorised record store. Hash chaining or signed periodic manifests may support tamper detection, but does not replace append-only runtime access, separated storage permissions and restoration checks.</w:t>
      </w:r>
    </w:p>
    <w:p>
      <w:pPr>
        <w:pStyle w:val="Heading1"/>
      </w:pPr>
      <w:r>
        <w:t>Implementation limits</w:t>
      </w:r>
    </w:p>
    <w:p>
      <w:r>
        <w:t>The reference checks exercise policy and state invariants in memory. They do not implement the database transaction, device key custody, real cryptography, provider billing, clinical protocol or network adapter. Native PostgreSQL execution, full OpenAPI toolchain validation and deployment-specific FHIR validation remain engineering gates. Administrative workforce lifecycle uses the chosen institutional identity provider; its provisioning contract must be pinned during WP01.</w:t>
      </w:r>
    </w:p>
    <w:p>
      <w:pPr>
        <w:pStyle w:val="Heading1"/>
      </w:pPr>
      <w:r>
        <w:t>Sources and related artefacts</w:t>
      </w:r>
    </w:p>
    <w:p>
      <w:r>
        <w:rPr>
          <w:b/>
        </w:rPr>
        <w:t xml:space="preserve">S01 BRD v1.1 </w:t>
      </w:r>
      <w:r>
        <w:t>Health-AI-Orchestration-Platform-BRD-v1.1.docx — Product source of authority; 176 requirements and 12 journeys</w:t>
      </w:r>
    </w:p>
    <w:p>
      <w:r>
        <w:rPr>
          <w:b/>
        </w:rPr>
        <w:t xml:space="preserve">S03 OpenAPI Specification 3.1.1 </w:t>
      </w:r>
      <w:r>
        <w:t>https://spec.openapis.org/oas/v3.1.1.html — Selected contract format for this pack, not a claim to use the newest OAS release</w:t>
      </w:r>
    </w:p>
    <w:p>
      <w:r>
        <w:rPr>
          <w:b/>
        </w:rPr>
        <w:t xml:space="preserve">S04 PostgreSQL row security </w:t>
      </w:r>
      <w:r>
        <w:t>https://www.postgresql.org/docs/current/ddl-rowsecurity.html — Database row security is defence in depth; trusted service role and record-level policy remain necessary</w:t>
      </w:r>
    </w:p>
    <w:p>
      <w:r>
        <w:t>Companion workbook: Health-AI-Delivery-Control-Workbook-v1.0.xlsx. Machine-readable contracts and reference checks: engineering folder. Requirements and test IDs are stable across the pack. Open decisions remain in the Decisions sheet; no document changes their approval status.</w:t>
      </w:r>
    </w:p>
    <w:sectPr w:rsidR="00FC693F" w:rsidRPr="0006063C" w:rsidSect="00034616">
      <w:headerReference w:type="default" r:id="rId9"/>
      <w:footerReference w:type="default" r:id="rId10"/>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HAO 03  |  v1.0  |  Proposed baseline</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36D"/>
        <w:sz w:val="16"/>
      </w:rPr>
      <w:t>HEALTH AI ORCHESTRATION PLATFORM  /  SPECIFICATION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Level Design</dc:title>
  <dc:subject>Health AI Orchestration Platform</dc:subject>
  <dc:creator>Product and engineering working draft</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