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Runbooks</w:t>
      </w:r>
    </w:p>
    <w:p>
      <w:r>
        <w:t>Actionable procedures for support, integration uncertainty, safety response and continuity.</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09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Operating responsibilities</w:t>
      </w:r>
    </w:p>
    <w:p>
      <w:r>
        <w:t>Each live deployment names an operations lead, integration on-call contact, clinical safety lead, privacy lead, identity steward and system-owner escalation contact. The workbook names roles only; production must bind them to real people and duty coverage. Support begins with redacted correlation IDs. Access to record content requires a separate time-bound grant with purpose, scope and approver.</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5040"/>
        <w:gridCol w:w="3600"/>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Priority</w:t>
            </w:r>
          </w:p>
        </w:tc>
        <w:tc>
          <w:tcPr>
            <w:tcW w:type="dxa" w:w="5040"/>
            <w:shd w:fill="173A50"/>
            <w:tcMar>
              <w:top w:w="90" w:type="dxa"/>
              <w:bottom w:w="90" w:type="dxa"/>
              <w:left w:w="90" w:type="dxa"/>
              <w:right w:w="90" w:type="dxa"/>
            </w:tcMar>
          </w:tcPr>
          <w:p>
            <w:pPr>
              <w:spacing w:after="60" w:before="20"/>
            </w:pPr>
            <w:r>
              <w:rPr>
                <w:b/>
                <w:color w:val="FFFFFF"/>
                <w:sz w:val="19"/>
              </w:rPr>
              <w:t>Trigger</w:t>
            </w:r>
          </w:p>
        </w:tc>
        <w:tc>
          <w:tcPr>
            <w:tcW w:type="dxa" w:w="3600"/>
            <w:shd w:fill="173A50"/>
            <w:tcMar>
              <w:top w:w="90" w:type="dxa"/>
              <w:bottom w:w="90" w:type="dxa"/>
              <w:left w:w="90" w:type="dxa"/>
              <w:right w:w="90" w:type="dxa"/>
            </w:tcMar>
          </w:tcPr>
          <w:p>
            <w:pPr>
              <w:spacing w:after="60" w:before="20"/>
            </w:pPr>
            <w:r>
              <w:rPr>
                <w:b/>
                <w:color w:val="FFFFFF"/>
                <w:sz w:val="19"/>
              </w:rPr>
              <w:t>Immediate ownership</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Critical</w:t>
            </w:r>
          </w:p>
        </w:tc>
        <w:tc>
          <w:tcPr>
            <w:tcW w:type="dxa" w:w="5040"/>
            <w:shd w:fill="FFFFFF"/>
            <w:tcMar>
              <w:top w:w="90" w:type="dxa"/>
              <w:bottom w:w="90" w:type="dxa"/>
              <w:left w:w="90" w:type="dxa"/>
              <w:right w:w="90" w:type="dxa"/>
            </w:tcMar>
          </w:tcPr>
          <w:p>
            <w:pPr>
              <w:spacing w:after="60" w:before="20"/>
            </w:pPr>
            <w:r>
              <w:rPr>
                <w:b w:val="0"/>
                <w:color w:val="17242D"/>
                <w:sz w:val="19"/>
              </w:rPr>
              <w:t>Suspected serious clinical harm, broad disclosure, wrong-person action or material data loss</w:t>
            </w:r>
          </w:p>
        </w:tc>
        <w:tc>
          <w:tcPr>
            <w:tcW w:type="dxa" w:w="3600"/>
            <w:shd w:fill="FFFFFF"/>
            <w:tcMar>
              <w:top w:w="90" w:type="dxa"/>
              <w:bottom w:w="90" w:type="dxa"/>
              <w:left w:w="90" w:type="dxa"/>
              <w:right w:w="90" w:type="dxa"/>
            </w:tcMar>
          </w:tcPr>
          <w:p>
            <w:pPr>
              <w:spacing w:after="60" w:before="20"/>
            </w:pPr>
            <w:r>
              <w:rPr>
                <w:b w:val="0"/>
                <w:color w:val="17242D"/>
                <w:sz w:val="19"/>
              </w:rPr>
              <w:t>Clinical or security incident lead plus operations; use approved urgent escalation</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High</w:t>
            </w:r>
          </w:p>
        </w:tc>
        <w:tc>
          <w:tcPr>
            <w:tcW w:type="dxa" w:w="5040"/>
            <w:shd w:fill="F2F6F8"/>
            <w:tcMar>
              <w:top w:w="90" w:type="dxa"/>
              <w:bottom w:w="90" w:type="dxa"/>
              <w:left w:w="90" w:type="dxa"/>
              <w:right w:w="90" w:type="dxa"/>
            </w:tcMar>
          </w:tcPr>
          <w:p>
            <w:pPr>
              <w:spacing w:after="60" w:before="20"/>
            </w:pPr>
            <w:r>
              <w:rPr>
                <w:b w:val="0"/>
                <w:color w:val="17242D"/>
                <w:sz w:val="19"/>
              </w:rPr>
              <w:t>Core workflow unavailable, growing uncertain writes, widespread sync failure</w:t>
            </w:r>
          </w:p>
        </w:tc>
        <w:tc>
          <w:tcPr>
            <w:tcW w:type="dxa" w:w="3600"/>
            <w:shd w:fill="F2F6F8"/>
            <w:tcMar>
              <w:top w:w="90" w:type="dxa"/>
              <w:bottom w:w="90" w:type="dxa"/>
              <w:left w:w="90" w:type="dxa"/>
              <w:right w:w="90" w:type="dxa"/>
            </w:tcMar>
          </w:tcPr>
          <w:p>
            <w:pPr>
              <w:spacing w:after="60" w:before="20"/>
            </w:pPr>
            <w:r>
              <w:rPr>
                <w:b w:val="0"/>
                <w:color w:val="17242D"/>
                <w:sz w:val="19"/>
              </w:rPr>
              <w:t>Operations and relevant connector/mobile owner</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Normal</w:t>
            </w:r>
          </w:p>
        </w:tc>
        <w:tc>
          <w:tcPr>
            <w:tcW w:type="dxa" w:w="5040"/>
            <w:shd w:fill="FFFFFF"/>
            <w:tcMar>
              <w:top w:w="90" w:type="dxa"/>
              <w:bottom w:w="90" w:type="dxa"/>
              <w:left w:w="90" w:type="dxa"/>
              <w:right w:w="90" w:type="dxa"/>
            </w:tcMar>
          </w:tcPr>
          <w:p>
            <w:pPr>
              <w:spacing w:after="60" w:before="20"/>
            </w:pPr>
            <w:r>
              <w:rPr>
                <w:b w:val="0"/>
                <w:color w:val="17242D"/>
                <w:sz w:val="19"/>
              </w:rPr>
              <w:t>Isolated recoverable failure with safe care continuity</w:t>
            </w:r>
          </w:p>
        </w:tc>
        <w:tc>
          <w:tcPr>
            <w:tcW w:type="dxa" w:w="3600"/>
            <w:shd w:fill="FFFFFF"/>
            <w:tcMar>
              <w:top w:w="90" w:type="dxa"/>
              <w:bottom w:w="90" w:type="dxa"/>
              <w:left w:w="90" w:type="dxa"/>
              <w:right w:w="90" w:type="dxa"/>
            </w:tcMar>
          </w:tcPr>
          <w:p>
            <w:pPr>
              <w:spacing w:after="60" w:before="20"/>
            </w:pPr>
            <w:r>
              <w:rPr>
                <w:b w:val="0"/>
                <w:color w:val="17242D"/>
                <w:sz w:val="19"/>
              </w:rPr>
              <w:t>Assigned support queue with monitored age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Service request</w:t>
            </w:r>
          </w:p>
        </w:tc>
        <w:tc>
          <w:tcPr>
            <w:tcW w:type="dxa" w:w="5040"/>
            <w:shd w:fill="F2F6F8"/>
            <w:tcMar>
              <w:top w:w="90" w:type="dxa"/>
              <w:bottom w:w="90" w:type="dxa"/>
              <w:left w:w="90" w:type="dxa"/>
              <w:right w:w="90" w:type="dxa"/>
            </w:tcMar>
          </w:tcPr>
          <w:p>
            <w:pPr>
              <w:spacing w:after="60" w:before="20"/>
            </w:pPr>
            <w:r>
              <w:rPr>
                <w:b w:val="0"/>
                <w:color w:val="17242D"/>
                <w:sz w:val="19"/>
              </w:rPr>
              <w:t>Configuration, access or training need</w:t>
            </w:r>
          </w:p>
        </w:tc>
        <w:tc>
          <w:tcPr>
            <w:tcW w:type="dxa" w:w="3600"/>
            <w:shd w:fill="F2F6F8"/>
            <w:tcMar>
              <w:top w:w="90" w:type="dxa"/>
              <w:bottom w:w="90" w:type="dxa"/>
              <w:left w:w="90" w:type="dxa"/>
              <w:right w:w="90" w:type="dxa"/>
            </w:tcMar>
          </w:tcPr>
          <w:p>
            <w:pPr>
              <w:spacing w:after="60" w:before="20"/>
            </w:pPr>
            <w:r>
              <w:rPr>
                <w:b w:val="0"/>
                <w:color w:val="17242D"/>
                <w:sz w:val="19"/>
              </w:rPr>
              <w:t>Institutional owner and standard approval workflow</w:t>
            </w:r>
          </w:p>
        </w:tc>
      </w:tr>
    </w:tbl>
    <w:p>
      <w:pPr>
        <w:spacing w:after="20"/>
      </w:pPr>
    </w:p>
    <w:p>
      <w:r>
        <w:t>Actual response-time commitments follow the BRD targets and the deployment support contract. Alarm thresholds require a measured baseline and an owner; do not deploy unowned alerts or infer that an unacknowledged alarm is resolved.</w:t>
      </w:r>
    </w:p>
    <w:p>
      <w:pPr>
        <w:pStyle w:val="Heading1"/>
      </w:pPr>
      <w:r>
        <w:t>Monitoring and routine checks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880"/>
        <w:gridCol w:w="3960"/>
        <w:gridCol w:w="3240"/>
      </w:tblGrid>
      <w:tr>
        <w:trPr>
          <w:tblHeader/>
          <w:cantSplit/>
        </w:trPr>
        <w:tc>
          <w:tcPr>
            <w:tcW w:type="dxa" w:w="2880"/>
            <w:shd w:fill="173A50"/>
            <w:tcMar>
              <w:top w:w="90" w:type="dxa"/>
              <w:bottom w:w="90" w:type="dxa"/>
              <w:left w:w="90" w:type="dxa"/>
              <w:right w:w="90" w:type="dxa"/>
            </w:tcMar>
          </w:tcPr>
          <w:p>
            <w:pPr>
              <w:spacing w:after="60" w:before="20"/>
            </w:pPr>
            <w:r>
              <w:rPr>
                <w:b/>
                <w:color w:val="FFFFFF"/>
                <w:sz w:val="19"/>
              </w:rPr>
              <w:t>Signal</w:t>
            </w:r>
          </w:p>
        </w:tc>
        <w:tc>
          <w:tcPr>
            <w:tcW w:type="dxa" w:w="3960"/>
            <w:shd w:fill="173A50"/>
            <w:tcMar>
              <w:top w:w="90" w:type="dxa"/>
              <w:bottom w:w="90" w:type="dxa"/>
              <w:left w:w="90" w:type="dxa"/>
              <w:right w:w="90" w:type="dxa"/>
            </w:tcMar>
          </w:tcPr>
          <w:p>
            <w:pPr>
              <w:spacing w:after="60" w:before="20"/>
            </w:pPr>
            <w:r>
              <w:rPr>
                <w:b/>
                <w:color w:val="FFFFFF"/>
                <w:sz w:val="19"/>
              </w:rPr>
              <w:t>Interpretation</w:t>
            </w:r>
          </w:p>
        </w:tc>
        <w:tc>
          <w:tcPr>
            <w:tcW w:type="dxa" w:w="3240"/>
            <w:shd w:fill="173A50"/>
            <w:tcMar>
              <w:top w:w="90" w:type="dxa"/>
              <w:bottom w:w="90" w:type="dxa"/>
              <w:left w:w="90" w:type="dxa"/>
              <w:right w:w="90" w:type="dxa"/>
            </w:tcMar>
          </w:tcPr>
          <w:p>
            <w:pPr>
              <w:spacing w:after="60" w:before="20"/>
            </w:pPr>
            <w:r>
              <w:rPr>
                <w:b/>
                <w:color w:val="FFFFFF"/>
                <w:sz w:val="19"/>
              </w:rPr>
              <w:t>Action</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Oldest uncertain submission</w:t>
            </w:r>
          </w:p>
        </w:tc>
        <w:tc>
          <w:tcPr>
            <w:tcW w:type="dxa" w:w="3960"/>
            <w:shd w:fill="FFFFFF"/>
            <w:tcMar>
              <w:top w:w="90" w:type="dxa"/>
              <w:bottom w:w="90" w:type="dxa"/>
              <w:left w:w="90" w:type="dxa"/>
              <w:right w:w="90" w:type="dxa"/>
            </w:tcMar>
          </w:tcPr>
          <w:p>
            <w:pPr>
              <w:spacing w:after="60" w:before="20"/>
            </w:pPr>
            <w:r>
              <w:rPr>
                <w:b w:val="0"/>
                <w:color w:val="17242D"/>
                <w:sz w:val="19"/>
              </w:rPr>
              <w:t>Potential external side effect awaiting proof</w:t>
            </w:r>
          </w:p>
        </w:tc>
        <w:tc>
          <w:tcPr>
            <w:tcW w:type="dxa" w:w="3240"/>
            <w:shd w:fill="FFFFFF"/>
            <w:tcMar>
              <w:top w:w="90" w:type="dxa"/>
              <w:bottom w:w="90" w:type="dxa"/>
              <w:left w:w="90" w:type="dxa"/>
              <w:right w:w="90" w:type="dxa"/>
            </w:tcMar>
          </w:tcPr>
          <w:p>
            <w:pPr>
              <w:spacing w:after="60" w:before="20"/>
            </w:pPr>
            <w:r>
              <w:rPr>
                <w:b w:val="0"/>
                <w:color w:val="17242D"/>
                <w:sz w:val="19"/>
              </w:rPr>
              <w:t>Run RB01; escalate by destination and care impact</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Queue age by destination and AI capability</w:t>
            </w:r>
          </w:p>
        </w:tc>
        <w:tc>
          <w:tcPr>
            <w:tcW w:type="dxa" w:w="3960"/>
            <w:shd w:fill="F2F6F8"/>
            <w:tcMar>
              <w:top w:w="90" w:type="dxa"/>
              <w:bottom w:w="90" w:type="dxa"/>
              <w:left w:w="90" w:type="dxa"/>
              <w:right w:w="90" w:type="dxa"/>
            </w:tcMar>
          </w:tcPr>
          <w:p>
            <w:pPr>
              <w:spacing w:after="60" w:before="20"/>
            </w:pPr>
            <w:r>
              <w:rPr>
                <w:b w:val="0"/>
                <w:color w:val="17242D"/>
                <w:sz w:val="19"/>
              </w:rPr>
              <w:t>Local backlog distinct from partner processing</w:t>
            </w:r>
          </w:p>
        </w:tc>
        <w:tc>
          <w:tcPr>
            <w:tcW w:type="dxa" w:w="3240"/>
            <w:shd w:fill="F2F6F8"/>
            <w:tcMar>
              <w:top w:w="90" w:type="dxa"/>
              <w:bottom w:w="90" w:type="dxa"/>
              <w:left w:w="90" w:type="dxa"/>
              <w:right w:w="90" w:type="dxa"/>
            </w:tcMar>
          </w:tcPr>
          <w:p>
            <w:pPr>
              <w:spacing w:after="60" w:before="20"/>
            </w:pPr>
            <w:r>
              <w:rPr>
                <w:b w:val="0"/>
                <w:color w:val="17242D"/>
                <w:sz w:val="19"/>
              </w:rPr>
              <w:t>Check workers, quotas, authority expiry and circuit state</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Unable to assess and schema rejection rate</w:t>
            </w:r>
          </w:p>
        </w:tc>
        <w:tc>
          <w:tcPr>
            <w:tcW w:type="dxa" w:w="3960"/>
            <w:shd w:fill="FFFFFF"/>
            <w:tcMar>
              <w:top w:w="90" w:type="dxa"/>
              <w:bottom w:w="90" w:type="dxa"/>
              <w:left w:w="90" w:type="dxa"/>
              <w:right w:w="90" w:type="dxa"/>
            </w:tcMar>
          </w:tcPr>
          <w:p>
            <w:pPr>
              <w:spacing w:after="60" w:before="20"/>
            </w:pPr>
            <w:r>
              <w:rPr>
                <w:b w:val="0"/>
                <w:color w:val="17242D"/>
                <w:sz w:val="19"/>
              </w:rPr>
              <w:t>Quality or contract change, not disease prevalence</w:t>
            </w:r>
          </w:p>
        </w:tc>
        <w:tc>
          <w:tcPr>
            <w:tcW w:type="dxa" w:w="3240"/>
            <w:shd w:fill="FFFFFF"/>
            <w:tcMar>
              <w:top w:w="90" w:type="dxa"/>
              <w:bottom w:w="90" w:type="dxa"/>
              <w:left w:w="90" w:type="dxa"/>
              <w:right w:w="90" w:type="dxa"/>
            </w:tcMar>
          </w:tcPr>
          <w:p>
            <w:pPr>
              <w:spacing w:after="60" w:before="20"/>
            </w:pPr>
            <w:r>
              <w:rPr>
                <w:b w:val="0"/>
                <w:color w:val="17242D"/>
                <w:sz w:val="19"/>
              </w:rPr>
              <w:t>Review capability version and input conditions</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Offline lease and pending sync age</w:t>
            </w:r>
          </w:p>
        </w:tc>
        <w:tc>
          <w:tcPr>
            <w:tcW w:type="dxa" w:w="3960"/>
            <w:shd w:fill="F2F6F8"/>
            <w:tcMar>
              <w:top w:w="90" w:type="dxa"/>
              <w:bottom w:w="90" w:type="dxa"/>
              <w:left w:w="90" w:type="dxa"/>
              <w:right w:w="90" w:type="dxa"/>
            </w:tcMar>
          </w:tcPr>
          <w:p>
            <w:pPr>
              <w:spacing w:after="60" w:before="20"/>
            </w:pPr>
            <w:r>
              <w:rPr>
                <w:b w:val="0"/>
                <w:color w:val="17242D"/>
                <w:sz w:val="19"/>
              </w:rPr>
              <w:t>Device exposure and untransmitted work</w:t>
            </w:r>
          </w:p>
        </w:tc>
        <w:tc>
          <w:tcPr>
            <w:tcW w:type="dxa" w:w="3240"/>
            <w:shd w:fill="F2F6F8"/>
            <w:tcMar>
              <w:top w:w="90" w:type="dxa"/>
              <w:bottom w:w="90" w:type="dxa"/>
              <w:left w:w="90" w:type="dxa"/>
              <w:right w:w="90" w:type="dxa"/>
            </w:tcMar>
          </w:tcPr>
          <w:p>
            <w:pPr>
              <w:spacing w:after="60" w:before="20"/>
            </w:pPr>
            <w:r>
              <w:rPr>
                <w:b w:val="0"/>
                <w:color w:val="17242D"/>
                <w:sz w:val="19"/>
              </w:rPr>
              <w:t>Contact support through redacted device case</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Referral overdue state</w:t>
            </w:r>
          </w:p>
        </w:tc>
        <w:tc>
          <w:tcPr>
            <w:tcW w:type="dxa" w:w="3960"/>
            <w:shd w:fill="FFFFFF"/>
            <w:tcMar>
              <w:top w:w="90" w:type="dxa"/>
              <w:bottom w:w="90" w:type="dxa"/>
              <w:left w:w="90" w:type="dxa"/>
              <w:right w:w="90" w:type="dxa"/>
            </w:tcMar>
          </w:tcPr>
          <w:p>
            <w:pPr>
              <w:spacing w:after="60" w:before="20"/>
            </w:pPr>
            <w:r>
              <w:rPr>
                <w:b w:val="0"/>
                <w:color w:val="17242D"/>
                <w:sz w:val="19"/>
              </w:rPr>
              <w:t>Care may not have been completed</w:t>
            </w:r>
          </w:p>
        </w:tc>
        <w:tc>
          <w:tcPr>
            <w:tcW w:type="dxa" w:w="3240"/>
            <w:shd w:fill="FFFFFF"/>
            <w:tcMar>
              <w:top w:w="90" w:type="dxa"/>
              <w:bottom w:w="90" w:type="dxa"/>
              <w:left w:w="90" w:type="dxa"/>
              <w:right w:w="90" w:type="dxa"/>
            </w:tcMar>
          </w:tcPr>
          <w:p>
            <w:pPr>
              <w:spacing w:after="60" w:before="20"/>
            </w:pPr>
            <w:r>
              <w:rPr>
                <w:b w:val="0"/>
                <w:color w:val="17242D"/>
                <w:sz w:val="19"/>
              </w:rPr>
              <w:t>Assign approved programme escalation</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Audit or outbox continuity gaps</w:t>
            </w:r>
          </w:p>
        </w:tc>
        <w:tc>
          <w:tcPr>
            <w:tcW w:type="dxa" w:w="3960"/>
            <w:shd w:fill="F2F6F8"/>
            <w:tcMar>
              <w:top w:w="90" w:type="dxa"/>
              <w:bottom w:w="90" w:type="dxa"/>
              <w:left w:w="90" w:type="dxa"/>
              <w:right w:w="90" w:type="dxa"/>
            </w:tcMar>
          </w:tcPr>
          <w:p>
            <w:pPr>
              <w:spacing w:after="60" w:before="20"/>
            </w:pPr>
            <w:r>
              <w:rPr>
                <w:b w:val="0"/>
                <w:color w:val="17242D"/>
                <w:sz w:val="19"/>
              </w:rPr>
              <w:t>Possible integrity or processing failure</w:t>
            </w:r>
          </w:p>
        </w:tc>
        <w:tc>
          <w:tcPr>
            <w:tcW w:type="dxa" w:w="3240"/>
            <w:shd w:fill="F2F6F8"/>
            <w:tcMar>
              <w:top w:w="90" w:type="dxa"/>
              <w:bottom w:w="90" w:type="dxa"/>
              <w:left w:w="90" w:type="dxa"/>
              <w:right w:w="90" w:type="dxa"/>
            </w:tcMar>
          </w:tcPr>
          <w:p>
            <w:pPr>
              <w:spacing w:after="60" w:before="20"/>
            </w:pPr>
            <w:r>
              <w:rPr>
                <w:b w:val="0"/>
                <w:color w:val="17242D"/>
                <w:sz w:val="19"/>
              </w:rPr>
              <w:t>Stop affected automation until consistency verified</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Backup restore recency</w:t>
            </w:r>
          </w:p>
        </w:tc>
        <w:tc>
          <w:tcPr>
            <w:tcW w:type="dxa" w:w="3960"/>
            <w:shd w:fill="FFFFFF"/>
            <w:tcMar>
              <w:top w:w="90" w:type="dxa"/>
              <w:bottom w:w="90" w:type="dxa"/>
              <w:left w:w="90" w:type="dxa"/>
              <w:right w:w="90" w:type="dxa"/>
            </w:tcMar>
          </w:tcPr>
          <w:p>
            <w:pPr>
              <w:spacing w:after="60" w:before="20"/>
            </w:pPr>
            <w:r>
              <w:rPr>
                <w:b w:val="0"/>
                <w:color w:val="17242D"/>
                <w:sz w:val="19"/>
              </w:rPr>
              <w:t>Recoverability evidence may be stale</w:t>
            </w:r>
          </w:p>
        </w:tc>
        <w:tc>
          <w:tcPr>
            <w:tcW w:type="dxa" w:w="3240"/>
            <w:shd w:fill="FFFFFF"/>
            <w:tcMar>
              <w:top w:w="90" w:type="dxa"/>
              <w:bottom w:w="90" w:type="dxa"/>
              <w:left w:w="90" w:type="dxa"/>
              <w:right w:w="90" w:type="dxa"/>
            </w:tcMar>
          </w:tcPr>
          <w:p>
            <w:pPr>
              <w:spacing w:after="60" w:before="20"/>
            </w:pPr>
            <w:r>
              <w:rPr>
                <w:b w:val="0"/>
                <w:color w:val="17242D"/>
                <w:sz w:val="19"/>
              </w:rPr>
              <w:t>Schedule authorised isolated restoration exercise</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Privileged access and export anomalies</w:t>
            </w:r>
          </w:p>
        </w:tc>
        <w:tc>
          <w:tcPr>
            <w:tcW w:type="dxa" w:w="3960"/>
            <w:shd w:fill="F2F6F8"/>
            <w:tcMar>
              <w:top w:w="90" w:type="dxa"/>
              <w:bottom w:w="90" w:type="dxa"/>
              <w:left w:w="90" w:type="dxa"/>
              <w:right w:w="90" w:type="dxa"/>
            </w:tcMar>
          </w:tcPr>
          <w:p>
            <w:pPr>
              <w:spacing w:after="60" w:before="20"/>
            </w:pPr>
            <w:r>
              <w:rPr>
                <w:b w:val="0"/>
                <w:color w:val="17242D"/>
                <w:sz w:val="19"/>
              </w:rPr>
              <w:t>Potential misuse or excess disclosure</w:t>
            </w:r>
          </w:p>
        </w:tc>
        <w:tc>
          <w:tcPr>
            <w:tcW w:type="dxa" w:w="3240"/>
            <w:shd w:fill="F2F6F8"/>
            <w:tcMar>
              <w:top w:w="90" w:type="dxa"/>
              <w:bottom w:w="90" w:type="dxa"/>
              <w:left w:w="90" w:type="dxa"/>
              <w:right w:w="90" w:type="dxa"/>
            </w:tcMar>
          </w:tcPr>
          <w:p>
            <w:pPr>
              <w:spacing w:after="60" w:before="20"/>
            </w:pPr>
            <w:r>
              <w:rPr>
                <w:b w:val="0"/>
                <w:color w:val="17242D"/>
                <w:sz w:val="19"/>
              </w:rPr>
              <w:t>Security and privacy review</w:t>
            </w:r>
          </w:p>
        </w:tc>
      </w:tr>
    </w:tbl>
    <w:p>
      <w:pPr>
        <w:spacing w:after="20"/>
      </w:pPr>
    </w:p>
    <w:p>
      <w:pPr>
        <w:pStyle w:val="Heading1"/>
      </w:pPr>
      <w:r>
        <w:t>Incident procedures</w:t>
      </w:r>
    </w:p>
    <w:p>
      <w:pPr>
        <w:pStyle w:val="Heading2"/>
      </w:pPr>
      <w:r>
        <w:t>RB01 Uncertain destination write</w:t>
      </w:r>
    </w:p>
    <w:p>
      <w:r>
        <w:rPr>
          <w:b/>
        </w:rPr>
        <w:t xml:space="preserve">Trigger </w:t>
      </w:r>
      <w:r>
        <w:t>A submission times out or its worker dies after a possible send</w:t>
      </w:r>
    </w:p>
    <w:p>
      <w:r>
        <w:rPr>
          <w:b/>
        </w:rPr>
        <w:t xml:space="preserve">Accountable role </w:t>
      </w:r>
      <w:r>
        <w:t>Integration on call</w:t>
      </w:r>
    </w:p>
    <w:p>
      <w:r>
        <w:t>1. Stop automated resends for the logical action. Preserve source revisions, mapping, payload hash, attempt ID and correlation.</w:t>
      </w:r>
    </w:p>
    <w:p>
      <w:r>
        <w:t>2. Look up the action using the destination-approved stable reference. Validate that the receipt matches person, action and payload.</w:t>
      </w:r>
    </w:p>
    <w:p>
      <w:r>
        <w:t>3. If accepted, attach the verified receipt and mark accepted without another send. If definitively absent, recheck current authority and approval before queueing.</w:t>
      </w:r>
    </w:p>
    <w:p>
      <w:r>
        <w:t>4. If neither can be proven, keep uncertain and assign the system owner or authorised operator. Show unresolved status to the worker.</w:t>
      </w:r>
    </w:p>
    <w:p>
      <w:r>
        <w:rPr>
          <w:b/>
        </w:rPr>
        <w:t xml:space="preserve">Closure evidence </w:t>
      </w:r>
      <w:r>
        <w:t>Close only with verified acceptance, verified rejection or a documented unresolved disposition and owner. Do not use transport success as business acceptance.</w:t>
      </w:r>
    </w:p>
    <w:p>
      <w:pPr>
        <w:pStyle w:val="Heading2"/>
      </w:pPr>
      <w:r>
        <w:t>RB02 AI provider outage or drift</w:t>
      </w:r>
    </w:p>
    <w:p>
      <w:r>
        <w:rPr>
          <w:b/>
        </w:rPr>
        <w:t xml:space="preserve">Trigger </w:t>
      </w:r>
      <w:r>
        <w:t>Timeout rate, malformed result or undeclared release change</w:t>
      </w:r>
    </w:p>
    <w:p>
      <w:r>
        <w:rPr>
          <w:b/>
        </w:rPr>
        <w:t xml:space="preserve">Accountable role </w:t>
      </w:r>
      <w:r>
        <w:t>AI operations and governance</w:t>
      </w:r>
    </w:p>
    <w:p>
      <w:r>
        <w:t>1. Open the provider-specific circuit and pause new affected calls. Keep ordinary capture and approved clinical pathways available.</w:t>
      </w:r>
    </w:p>
    <w:p>
      <w:r>
        <w:t>2. Record manifest and provider release, request IDs, failure codes and budget reservations without exposing payloads.</w:t>
      </w:r>
    </w:p>
    <w:p>
      <w:r>
        <w:t>3. Contact the contracted provider channel and establish failure scope. Do not substitute a different model without equivalent approved scope.</w:t>
      </w:r>
    </w:p>
    <w:p>
      <w:r>
        <w:t>4. Reconcile in-flight requests and charges. Validate corrected contract and representative failures in the permitted environment.</w:t>
      </w:r>
    </w:p>
    <w:p>
      <w:r>
        <w:t>5. Reactivate only after the incident owner and required clinical reviewer accept the evidence.</w:t>
      </w:r>
    </w:p>
    <w:p>
      <w:r>
        <w:rPr>
          <w:b/>
        </w:rPr>
        <w:t xml:space="preserve">Closure evidence </w:t>
      </w:r>
      <w:r>
        <w:t>Attach incident, affected-request disposition, version proof and reactivation approval. No failed call may appear as a negative clinical result.</w:t>
      </w:r>
    </w:p>
    <w:p>
      <w:pPr>
        <w:pStyle w:val="Heading2"/>
      </w:pPr>
      <w:r>
        <w:t>RB03 Lost device or account compromise</w:t>
      </w:r>
    </w:p>
    <w:p>
      <w:r>
        <w:rPr>
          <w:b/>
        </w:rPr>
        <w:t xml:space="preserve">Trigger </w:t>
      </w:r>
      <w:r>
        <w:t>Device loss, suspicious login or unauthorised access report</w:t>
      </w:r>
    </w:p>
    <w:p>
      <w:r>
        <w:rPr>
          <w:b/>
        </w:rPr>
        <w:t xml:space="preserve">Accountable role </w:t>
      </w:r>
      <w:r>
        <w:t>Security and deployment support</w:t>
      </w:r>
    </w:p>
    <w:p>
      <w:r>
        <w:t>1. Revoke sessions, device registration and future lease renewal; suspend affected credentials and notify the responsible institution.</w:t>
      </w:r>
    </w:p>
    <w:p>
      <w:r>
        <w:t>2. Identify cached scope, lease expiry and server actions since the last trusted event. A disconnected device may remain readable until lock or expiry; record that limitation.</w:t>
      </w:r>
    </w:p>
    <w:p>
      <w:r>
        <w:t>3. Use supported device-management controls where enrolled. Never rely on remote wipe as the only protection.</w:t>
      </w:r>
    </w:p>
    <w:p>
      <w:r>
        <w:t>4. Restore workforce access through institutional verification on an approved device. Reconcile unsynced work through an authorised recovery process.</w:t>
      </w:r>
    </w:p>
    <w:p>
      <w:r>
        <w:rPr>
          <w:b/>
        </w:rPr>
        <w:t xml:space="preserve">Closure evidence </w:t>
      </w:r>
      <w:r>
        <w:t>Record exposure assessment, patient-care continuity, credential rotation and recovered or unresolved work. Follow the approved notification obligations.</w:t>
      </w:r>
    </w:p>
    <w:p>
      <w:pPr>
        <w:pStyle w:val="Heading2"/>
      </w:pPr>
      <w:r>
        <w:t>RB04 Wrong patient identity link</w:t>
      </w:r>
    </w:p>
    <w:p>
      <w:r>
        <w:rPr>
          <w:b/>
        </w:rPr>
        <w:t xml:space="preserve">Trigger </w:t>
      </w:r>
      <w:r>
        <w:t>Worker or destination reports a mislinked record</w:t>
      </w:r>
    </w:p>
    <w:p>
      <w:r>
        <w:rPr>
          <w:b/>
        </w:rPr>
        <w:t xml:space="preserve">Accountable role </w:t>
      </w:r>
      <w:r>
        <w:t>Identity steward and clinical lead</w:t>
      </w:r>
    </w:p>
    <w:p>
      <w:r>
        <w:t>1. Pause affected disclosures and flag disputed links without erasing evidence. Establish the two person contexts with authorised comparison data.</w:t>
      </w:r>
    </w:p>
    <w:p>
      <w:r>
        <w:t>2. Enumerate observations, plans, AI calls, destination submissions and referrals using the disputed link.</w:t>
      </w:r>
    </w:p>
    <w:p>
      <w:r>
        <w:t>3. Approve a superseding link correction and identify which records belong to each person. Do not auto-merge clinical histories.</w:t>
      </w:r>
    </w:p>
    <w:p>
      <w:r>
        <w:t>4. Create owner-authorised external corrections for every accepted destination action and clinical review for any affected decision.</w:t>
      </w:r>
    </w:p>
    <w:p>
      <w:r>
        <w:rPr>
          <w:b/>
        </w:rPr>
        <w:t xml:space="preserve">Closure evidence </w:t>
      </w:r>
      <w:r>
        <w:t>Close only after accountable owners accept person attribution and downstream repair or a recorded unresolved exception.</w:t>
      </w:r>
    </w:p>
    <w:p>
      <w:pPr>
        <w:pStyle w:val="Heading2"/>
      </w:pPr>
      <w:r>
        <w:t>RB05 Consent or authority revoked</w:t>
      </w:r>
    </w:p>
    <w:p>
      <w:r>
        <w:rPr>
          <w:b/>
        </w:rPr>
        <w:t xml:space="preserve">Trigger </w:t>
      </w:r>
      <w:r>
        <w:t>Verified withdrawal, expiry or changed processing basis</w:t>
      </w:r>
    </w:p>
    <w:p>
      <w:r>
        <w:rPr>
          <w:b/>
        </w:rPr>
        <w:t xml:space="preserve">Accountable role </w:t>
      </w:r>
      <w:r>
        <w:t>Privacy operations</w:t>
      </w:r>
    </w:p>
    <w:p>
      <w:r>
        <w:t>1. Record the authoritative change with time and scope. Stop new affected disclosure and invalidate queued approvals.</w:t>
      </w:r>
    </w:p>
    <w:p>
      <w:r>
        <w:t>2. Classify actions as not sent, in flight, accepted or uncertain. Cancel not-sent work; reconcile in-flight outcomes.</w:t>
      </w:r>
    </w:p>
    <w:p>
      <w:r>
        <w:t>3. Apply recipient and retention processes according to the approved basis. Do not promise erasure of already accepted clinical records without a lawful custody decision.</w:t>
      </w:r>
    </w:p>
    <w:p>
      <w:r>
        <w:t>4. Refresh device scopes at next contact and allow leases to enforce the defined offline limit.</w:t>
      </w:r>
    </w:p>
    <w:p>
      <w:r>
        <w:rPr>
          <w:b/>
        </w:rPr>
        <w:t xml:space="preserve">Closure evidence </w:t>
      </w:r>
      <w:r>
        <w:t>Evidence shows blocked new disclosures, actual external effects and accountable retention or recipient actions.</w:t>
      </w:r>
    </w:p>
    <w:p>
      <w:pPr>
        <w:pStyle w:val="Heading2"/>
      </w:pPr>
      <w:r>
        <w:t>RB06 Clinical safety event</w:t>
      </w:r>
    </w:p>
    <w:p>
      <w:r>
        <w:rPr>
          <w:b/>
        </w:rPr>
        <w:t xml:space="preserve">Trigger </w:t>
      </w:r>
      <w:r>
        <w:t>Suspected harm, near miss, misleading guidance or missed escalation</w:t>
      </w:r>
    </w:p>
    <w:p>
      <w:r>
        <w:rPr>
          <w:b/>
        </w:rPr>
        <w:t xml:space="preserve">Accountable role </w:t>
      </w:r>
      <w:r>
        <w:t>Clinical safety lead</w:t>
      </w:r>
    </w:p>
    <w:p>
      <w:r>
        <w:t>1. Use the established care escalation route immediately. Technical investigation must not delay clinical response.</w:t>
      </w:r>
    </w:p>
    <w:p>
      <w:r>
        <w:t>2. Suspend the affected optional automation or pack where directed; preserve the last safe manual pathway.</w:t>
      </w:r>
    </w:p>
    <w:p>
      <w:r>
        <w:t>3. Capture input revisions, provider/pack versions, user decisions and external receipts in a restricted safety case.</w:t>
      </w:r>
    </w:p>
    <w:p>
      <w:r>
        <w:t>4. Find potentially affected cases and assign qualified follow-up. Assess human factors, protocol, data and model contributions.</w:t>
      </w:r>
    </w:p>
    <w:p>
      <w:r>
        <w:t>5. Release corrective action after independent evidence review and communicate relevant changes to users.</w:t>
      </w:r>
    </w:p>
    <w:p>
      <w:r>
        <w:rPr>
          <w:b/>
        </w:rPr>
        <w:t xml:space="preserve">Closure evidence </w:t>
      </w:r>
      <w:r>
        <w:t>Clinical owner accepts affected-case follow-up, residual risk, communication and release evidence. Avoid unreviewed causal claims.</w:t>
      </w:r>
    </w:p>
    <w:p>
      <w:pPr>
        <w:pStyle w:val="Heading2"/>
      </w:pPr>
      <w:r>
        <w:t>RB07 Offline sync backlog or storage pressure</w:t>
      </w:r>
    </w:p>
    <w:p>
      <w:r>
        <w:rPr>
          <w:b/>
        </w:rPr>
        <w:t xml:space="preserve">Trigger </w:t>
      </w:r>
      <w:r>
        <w:t>Pending queue age, repeated conflict or insufficient device space</w:t>
      </w:r>
    </w:p>
    <w:p>
      <w:r>
        <w:rPr>
          <w:b/>
        </w:rPr>
        <w:t xml:space="preserve">Accountable role </w:t>
      </w:r>
      <w:r>
        <w:t>Mobile support</w:t>
      </w:r>
    </w:p>
    <w:p>
      <w:r>
        <w:t>1. Confirm whether each record is saved locally, accepted by the server or accepted by a destination. Preserve unacknowledged records.</w:t>
      </w:r>
    </w:p>
    <w:p>
      <w:r>
        <w:t>2. Inspect redacted lease, sequence, dependency and storage diagnostics. Renew authority through the valid online workflow if allowed.</w:t>
      </w:r>
    </w:p>
    <w:p>
      <w:r>
        <w:t>3. Resume bounded sync and review per-item results. Assign semantic conflicts to the correct reviewer; do not clear the queue to force success.</w:t>
      </w:r>
    </w:p>
    <w:p>
      <w:r>
        <w:t>4. Remove only eligible acknowledged cache or completed uploads under policy. Recover interrupted media by digest-verified chunks.</w:t>
      </w:r>
    </w:p>
    <w:p>
      <w:r>
        <w:rPr>
          <w:b/>
        </w:rPr>
        <w:t xml:space="preserve">Closure evidence </w:t>
      </w:r>
      <w:r>
        <w:t>Every acknowledged local record has a durable server receipt or a named unresolved recovery case; pending work is not silently discarded.</w:t>
      </w:r>
    </w:p>
    <w:p>
      <w:pPr>
        <w:pStyle w:val="Heading2"/>
      </w:pPr>
      <w:r>
        <w:t>RB08 Backup restore and regional outage</w:t>
      </w:r>
    </w:p>
    <w:p>
      <w:r>
        <w:rPr>
          <w:b/>
        </w:rPr>
        <w:t xml:space="preserve">Trigger </w:t>
      </w:r>
      <w:r>
        <w:t>Loss of primary service or scheduled recovery exercise</w:t>
      </w:r>
    </w:p>
    <w:p>
      <w:r>
        <w:rPr>
          <w:b/>
        </w:rPr>
        <w:t xml:space="preserve">Accountable role </w:t>
      </w:r>
      <w:r>
        <w:t>Reliability and custody owners</w:t>
      </w:r>
    </w:p>
    <w:p>
      <w:r>
        <w:t>1. Declare incident scope and recovery objective; prevent unsafe concurrent writes. Record last confirmed event and backup/key versions.</w:t>
      </w:r>
    </w:p>
    <w:p>
      <w:r>
        <w:t>2. Restore into an isolated environment with authorised keys and restricted egress. Verify tenant boundaries, revisions, audit, outbox and receipt consistency.</w:t>
      </w:r>
    </w:p>
    <w:p>
      <w:r>
        <w:t>3. Reconcile external actions that may have completed after the restore point. Do not replay uncertain destination writes blindly.</w:t>
      </w:r>
    </w:p>
    <w:p>
      <w:r>
        <w:t>4. Run critical synthetic journeys, verify current authorities and open care tasks, then obtain the accountable traffic-switch approval.</w:t>
      </w:r>
    </w:p>
    <w:p>
      <w:r>
        <w:rPr>
          <w:b/>
        </w:rPr>
        <w:t xml:space="preserve">Closure evidence </w:t>
      </w:r>
      <w:r>
        <w:t>Capture actual recovery time and data-loss window against BRD NFRs, reconciliation results and custody checks before closing.</w:t>
      </w:r>
    </w:p>
    <w:p>
      <w:pPr>
        <w:pStyle w:val="Heading2"/>
      </w:pPr>
      <w:r>
        <w:t>RB09 Controlled release and rollback</w:t>
      </w:r>
    </w:p>
    <w:p>
      <w:r>
        <w:rPr>
          <w:b/>
        </w:rPr>
        <w:t xml:space="preserve">Trigger </w:t>
      </w:r>
      <w:r>
        <w:t>Approved change or regression after deployment</w:t>
      </w:r>
    </w:p>
    <w:p>
      <w:r>
        <w:rPr>
          <w:b/>
        </w:rPr>
        <w:t xml:space="preserve">Accountable role </w:t>
      </w:r>
      <w:r>
        <w:t>Release manager</w:t>
      </w:r>
    </w:p>
    <w:p>
      <w:r>
        <w:t>1. Validate signed or otherwise authenticated build and configuration manifests, compatibility and test evidence. Keep the previous compatible release available.</w:t>
      </w:r>
    </w:p>
    <w:p>
      <w:r>
        <w:t>2. Deploy to synthetic/test, then an approved limited cohort. Observe errors, uncertain queue age, clinical workflow failures and data integrity.</w:t>
      </w:r>
    </w:p>
    <w:p>
      <w:r>
        <w:t>3. If a rollback trigger is reached, pause affected actions and restore compatible code/configuration. Preserve new records and versions.</w:t>
      </w:r>
    </w:p>
    <w:p>
      <w:r>
        <w:t>4. Reconcile work accepted during the rollout and communicate any changed steps. Reopen gates if evidence or clinical scope changed.</w:t>
      </w:r>
    </w:p>
    <w:p>
      <w:r>
        <w:rPr>
          <w:b/>
        </w:rPr>
        <w:t xml:space="preserve">Closure evidence </w:t>
      </w:r>
      <w:r>
        <w:t>Release record includes versions, approvals, monitored results, rollback decision and unresolved work ownership.</w:t>
      </w:r>
    </w:p>
    <w:p>
      <w:pPr>
        <w:pStyle w:val="Heading2"/>
      </w:pPr>
      <w:r>
        <w:t>RB10 Deployment exit and data handover</w:t>
      </w:r>
    </w:p>
    <w:p>
      <w:r>
        <w:rPr>
          <w:b/>
        </w:rPr>
        <w:t xml:space="preserve">Trigger </w:t>
      </w:r>
      <w:r>
        <w:t>Contract end, programme closure or transfer of custody</w:t>
      </w:r>
    </w:p>
    <w:p>
      <w:r>
        <w:rPr>
          <w:b/>
        </w:rPr>
        <w:t xml:space="preserve">Accountable role </w:t>
      </w:r>
      <w:r>
        <w:t>Buyer and privacy/custody owners</w:t>
      </w:r>
    </w:p>
    <w:p>
      <w:r>
        <w:t>1. Agree authorised recipients, record scope, open care responsibilities and a final operating date. Freeze unneeded new integrations.</w:t>
      </w:r>
    </w:p>
    <w:p>
      <w:r>
        <w:t>2. Export versioned records, provenance, receipts and unresolved work with counts, checksums and a readable manifest.</w:t>
      </w:r>
    </w:p>
    <w:p>
      <w:r>
        <w:t>3. Verify receipt and usability with the new custodian. Keep urgent and open referrals assigned through the transition.</w:t>
      </w:r>
    </w:p>
    <w:p>
      <w:r>
        <w:t>4. Revoke users, providers and secrets in the approved order. Apply retention, holds, backup expiry and deletion evidence.</w:t>
      </w:r>
    </w:p>
    <w:p>
      <w:r>
        <w:rPr>
          <w:b/>
        </w:rPr>
        <w:t xml:space="preserve">Closure evidence </w:t>
      </w:r>
      <w:r>
        <w:t>Named custodian accepts the records and outstanding care/work queues; exit does not strand pending work or imply unjustified deletion.</w:t>
      </w:r>
    </w:p>
    <w:p>
      <w:pPr>
        <w:pStyle w:val="Heading1"/>
      </w:pPr>
      <w:r>
        <w:t>Support case minimum record</w:t>
      </w:r>
    </w:p>
    <w:p>
      <w:r>
        <w:t>Record case ID, severity, affected tenant and environment, safe correlation IDs, observed behaviour, expected behaviour, first occurrence, source/build versions, containment, owner, next review time and evidence link. Never paste raw clinical narratives, media, tokens or patient identifiers into unrestricted support tools. A clinical complaint routes to the safety process even if it first arrives as a support ticket.</w:t>
      </w:r>
    </w:p>
    <w:p>
      <w:pPr>
        <w:pStyle w:val="Heading1"/>
      </w:pPr>
      <w:r>
        <w:t>Recovery drill schedule</w:t>
      </w:r>
    </w:p>
    <w:p>
      <w:r>
        <w:t>Before G4, execute uncertain-write recovery, device loss, identity repair, authority withdrawal, clinical safety simulation, backup restore and rollback using the relevant test environment. Thereafter choose a risk-based recurring schedule with the buyer and operations lead, and repeat after material architecture, provider or custody changes. Record actual drill outcomes and remaining limitations; a tabletop discussion alone does not prove restore or data reconciliation.</w:t>
      </w:r>
    </w:p>
    <w:p>
      <w:pPr>
        <w:pStyle w:val="Heading1"/>
      </w:pPr>
      <w:r>
        <w:t>Sources and related artefacts</w:t>
      </w:r>
    </w:p>
    <w:p>
      <w:r>
        <w:rPr>
          <w:b/>
        </w:rPr>
        <w:t xml:space="preserve">S01 BRD v1.1 </w:t>
      </w:r>
      <w:r>
        <w:t>Health-AI-Orchestration-Platform-BRD-v1.1.docx — Product source of authority; 176 requirements and 12 journeys</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09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Runbooks</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