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5B2D8E"/>
          <w:sz w:val="28"/>
        </w:rPr>
        <w:t>Exon Rental — Parcel-Aware Housing Compliance Assistant</w:t>
      </w:r>
    </w:p>
    <w:p>
      <w:pPr>
        <w:spacing w:after="120"/>
      </w:pPr>
      <w:r>
        <w:rPr>
          <w:i/>
          <w:color w:val="444444"/>
          <w:sz w:val="17"/>
        </w:rPr>
        <w:t>Leadership overview  ·  AI/ML capstone  ·  Demo city: Palo Alto, CA</w:t>
      </w:r>
    </w:p>
    <w:p>
      <w:pPr>
        <w:keepNext/>
        <w:spacing w:before="120" w:after="40"/>
      </w:pPr>
      <w:r>
        <w:rPr>
          <w:rFonts w:ascii="Calibri" w:hAnsi="Calibri"/>
          <w:b/>
          <w:color w:val="5B2D8E"/>
          <w:sz w:val="18"/>
        </w:rPr>
        <w:t>1. WHAT IS RENT STABILIZATION?</w:t>
      </w:r>
    </w:p>
    <w:p>
      <w:pPr>
        <w:spacing w:after="70"/>
      </w:pPr>
      <w:r>
        <w:rPr>
          <w:b w:val="0"/>
        </w:rPr>
        <w:t xml:space="preserve">Local law that caps rent increases and defines what a landlord owes a tenant when a tenancy ends through no fault of the tenant. Around 200 US cities have it, mostly in CA, NY, NJ, OR and MD. The obligation that matters in practice is </w:t>
      </w:r>
      <w:r>
        <w:rPr>
          <w:b/>
        </w:rPr>
        <w:t>relocation assistance</w:t>
      </w:r>
      <w:r>
        <w:rPr>
          <w:b w:val="0"/>
        </w:rPr>
        <w:t xml:space="preserve"> — a payment to the displaced tenant — and it is </w:t>
      </w:r>
      <w:r>
        <w:rPr>
          <w:b/>
        </w:rPr>
        <w:t>not a single number</w:t>
      </w:r>
      <w:r>
        <w:rPr>
          <w:b w:val="0"/>
        </w:rPr>
        <w:t>. It depends on a physical fact about the building:</w:t>
      </w:r>
    </w:p>
    <w:p>
      <w:pPr>
        <w:pStyle w:val="ListBullet"/>
        <w:spacing w:after="20" w:line="240" w:lineRule="auto"/>
        <w:ind w:left="288" w:hanging="173"/>
      </w:pPr>
      <w:r>
        <w:rPr>
          <w:b w:val="0"/>
          <w:sz w:val="18"/>
        </w:rPr>
      </w:r>
      <w:r>
        <w:rPr>
          <w:b/>
          <w:sz w:val="18"/>
        </w:rPr>
        <w:t>10 or more</w:t>
      </w:r>
      <w:r>
        <w:rPr>
          <w:b w:val="0"/>
          <w:sz w:val="18"/>
        </w:rPr>
        <w:t xml:space="preserve"> rental units → a fixed schedule: </w:t>
      </w:r>
      <w:r>
        <w:rPr>
          <w:b/>
          <w:sz w:val="18"/>
        </w:rPr>
        <w:t>$13,000</w:t>
      </w:r>
      <w:r>
        <w:rPr>
          <w:b w:val="0"/>
          <w:sz w:val="18"/>
        </w:rPr>
        <w:t xml:space="preserve"> for a 2-bedroom, paid in two instalments, plus $3,000 for a low-income, elderly, disabled or minor household.</w:t>
      </w:r>
    </w:p>
    <w:p>
      <w:pPr>
        <w:pStyle w:val="ListBullet"/>
        <w:spacing w:after="20" w:line="240" w:lineRule="auto"/>
        <w:ind w:left="288" w:hanging="173"/>
      </w:pPr>
      <w:r>
        <w:rPr>
          <w:b w:val="0"/>
          <w:sz w:val="18"/>
        </w:rPr>
      </w:r>
      <w:r>
        <w:rPr>
          <w:b/>
          <w:sz w:val="18"/>
        </w:rPr>
        <w:t>Under</w:t>
      </w:r>
      <w:r>
        <w:rPr>
          <w:b w:val="0"/>
          <w:sz w:val="18"/>
        </w:rPr>
        <w:t xml:space="preserve"> that threshold → </w:t>
      </w:r>
      <w:r>
        <w:rPr>
          <w:b/>
          <w:sz w:val="18"/>
        </w:rPr>
        <w:t>one month's rent</w:t>
      </w:r>
      <w:r>
        <w:rPr>
          <w:b w:val="0"/>
          <w:sz w:val="18"/>
        </w:rPr>
        <w:t xml:space="preserve"> instead.</w:t>
      </w:r>
    </w:p>
    <w:p>
      <w:pPr>
        <w:spacing w:after="70"/>
      </w:pPr>
      <w:r>
        <w:rPr>
          <w:b w:val="0"/>
        </w:rPr>
        <w:t>The same question therefore has two different, equally correct answers depending on which building you are standing in front of. That is the entire reason this project exists.</w:t>
      </w:r>
    </w:p>
    <w:p>
      <w:pPr>
        <w:keepNext/>
        <w:spacing w:before="120" w:after="40"/>
      </w:pPr>
      <w:r>
        <w:rPr>
          <w:rFonts w:ascii="Calibri" w:hAnsi="Calibri"/>
          <w:b/>
          <w:color w:val="5B2D8E"/>
          <w:sz w:val="18"/>
        </w:rPr>
        <w:t>2. WHAT WE FED IT</w:t>
      </w:r>
    </w:p>
    <w:p>
      <w:pPr>
        <w:spacing w:after="70"/>
      </w:pPr>
      <w:r>
        <w:rPr>
          <w:b w:val="0"/>
        </w:rPr>
        <w:t xml:space="preserve">The </w:t>
      </w:r>
      <w:r>
        <w:rPr>
          <w:b/>
        </w:rPr>
        <w:t>Palo Alto Municipal Code, Chapter 9.68 — Residential Rental Housing Ordinance</w:t>
      </w:r>
      <w:r>
        <w:rPr>
          <w:b w:val="0"/>
        </w:rPr>
        <w:t xml:space="preserve">: a 7-page PDF, 9 numbered sections, ingested as-is with no hand-cleaning. It is split </w:t>
      </w:r>
      <w:r>
        <w:rPr>
          <w:b/>
        </w:rPr>
        <w:t>section by section</w:t>
      </w:r>
      <w:r>
        <w:rPr>
          <w:b w:val="0"/>
        </w:rPr>
        <w:t xml:space="preserve"> rather than by page, because a legal rule must never be separated from its own exemptions. Section 9.68.060 alone breaks into 7 pieces, which are stitched back together before answering — so the dollar table can never arrive without the clause limiting it to 10+ unit buildings. TXT, CSV and Excel work the same way.</w:t>
      </w:r>
    </w:p>
    <w:p>
      <w:pPr>
        <w:keepNext/>
        <w:spacing w:before="120" w:after="40"/>
      </w:pPr>
      <w:r>
        <w:rPr>
          <w:rFonts w:ascii="Calibri" w:hAnsi="Calibri"/>
          <w:b/>
          <w:color w:val="5B2D8E"/>
          <w:sz w:val="18"/>
        </w:rPr>
        <w:t>3. WHY AI?</w:t>
      </w:r>
    </w:p>
    <w:p>
      <w:pPr>
        <w:spacing w:after="70"/>
      </w:pPr>
      <w:r>
        <w:rPr>
          <w:b w:val="0"/>
        </w:rPr>
        <w:t xml:space="preserve">Today a person does this: read the ordinance, find the section, look the property up in a separate GIS or permit system, cross-reference the unit count, decide. Minutes to hours, inconsistent between staff, and every enquiry costs the same again. AI fits for one specific reason: </w:t>
      </w:r>
      <w:r>
        <w:rPr>
          <w:b/>
        </w:rPr>
        <w:t>the question arrives in plain English and the answer lives in legal prose</w:t>
      </w:r>
      <w:r>
        <w:rPr>
          <w:b w:val="0"/>
        </w:rPr>
        <w:t xml:space="preserve"> — neither end is structured, so no query, form or report can bridge it. We automate the reading, cross-referencing and citing, not the judgement.</w:t>
      </w:r>
    </w:p>
    <w:p>
      <w:pPr>
        <w:keepNext/>
        <w:spacing w:before="120" w:after="40"/>
      </w:pPr>
      <w:r>
        <w:rPr>
          <w:rFonts w:ascii="Calibri" w:hAnsi="Calibri"/>
          <w:b/>
          <w:color w:val="5B2D8E"/>
          <w:sz w:val="18"/>
        </w:rPr>
        <w:t>4. PLAIN RAG VS. WHAT WE BUILT</w:t>
      </w:r>
    </w:p>
    <w:p>
      <w:pPr>
        <w:spacing w:after="60"/>
      </w:pPr>
      <w:r>
        <w:rPr>
          <w:b w:val="0"/>
        </w:rPr>
      </w:r>
      <w:r>
        <w:rPr>
          <w:b/>
        </w:rPr>
        <w:t>RAG</w:t>
      </w:r>
      <w:r>
        <w:rPr>
          <w:b w:val="0"/>
        </w:rPr>
        <w:t xml:space="preserve"> (Retrieval-Augmented Generation) = search the document, hand the best passages to a language model, have it answer from those only. It stops the model inventing law. It is now commodity technology — a document chatbot.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979"/>
          </w:tcPr>
          <w:p>
            <w:pPr>
              <w:spacing w:after="0" w:line="240" w:lineRule="auto"/>
            </w:pPr>
            <w:r/>
            <w:r>
              <w:rPr>
                <w:b/>
                <w:color w:val="5B2D8E"/>
                <w:sz w:val="16"/>
              </w:rPr>
            </w:r>
          </w:p>
        </w:tc>
        <w:tc>
          <w:tcPr>
            <w:tcW w:type="dxa" w:w="4176"/>
          </w:tcPr>
          <w:p>
            <w:pPr>
              <w:spacing w:after="0" w:line="240" w:lineRule="auto"/>
            </w:pPr>
            <w:r/>
            <w:r>
              <w:rPr>
                <w:b/>
                <w:color w:val="5B2D8E"/>
                <w:sz w:val="16"/>
              </w:rPr>
              <w:t>Plain RAG (commodity)</w:t>
            </w:r>
          </w:p>
        </w:tc>
        <w:tc>
          <w:tcPr>
            <w:tcW w:type="dxa" w:w="5213"/>
          </w:tcPr>
          <w:p>
            <w:pPr>
              <w:spacing w:after="0" w:line="240" w:lineRule="auto"/>
            </w:pPr>
            <w:r/>
            <w:r>
              <w:rPr>
                <w:b/>
                <w:color w:val="5B2D8E"/>
                <w:sz w:val="16"/>
              </w:rPr>
              <w:t>Exon Rental (this project)</w:t>
            </w:r>
          </w:p>
        </w:tc>
      </w:tr>
      <w:tr>
        <w:tc>
          <w:tcPr>
            <w:tcW w:type="dxa" w:w="979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Retrieval</w:t>
            </w:r>
          </w:p>
        </w:tc>
        <w:tc>
          <w:tcPr>
            <w:tcW w:type="dxa" w:w="4176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Searches once and answers, good result or not.</w:t>
            </w:r>
          </w:p>
        </w:tc>
        <w:tc>
          <w:tcPr>
            <w:tcW w:type="dxa" w:w="5213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Judges its own retrieval</w:t>
            </w:r>
            <w:r>
              <w:rPr>
                <w:b w:val="0"/>
                <w:sz w:val="16"/>
              </w:rPr>
              <w:t xml:space="preserve"> and re-searches with better wording, up to 2 retries.</w:t>
            </w:r>
          </w:p>
        </w:tc>
      </w:tr>
      <w:tr>
        <w:tc>
          <w:tcPr>
            <w:tcW w:type="dxa" w:w="979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Wording</w:t>
            </w:r>
          </w:p>
        </w:tc>
        <w:tc>
          <w:tcPr>
            <w:tcW w:type="dxa" w:w="4176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Your words verbatim — "kicked out" never matches "eviction without fault".</w:t>
            </w:r>
          </w:p>
        </w:tc>
        <w:tc>
          <w:tcPr>
            <w:tcW w:type="dxa" w:w="5213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Rewrites the question</w:t>
            </w:r>
            <w:r>
              <w:rPr>
                <w:b w:val="0"/>
                <w:sz w:val="16"/>
              </w:rPr>
              <w:t xml:space="preserve"> into the ordinance's vocabulary first.</w:t>
            </w:r>
          </w:p>
        </w:tc>
      </w:tr>
      <w:tr>
        <w:tc>
          <w:tcPr>
            <w:tcW w:type="dxa" w:w="979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Property data</w:t>
            </w:r>
          </w:p>
        </w:tc>
        <w:tc>
          <w:tcPr>
            <w:tcW w:type="dxa" w:w="4176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None. Knows nothing about your building.</w:t>
            </w:r>
          </w:p>
        </w:tc>
        <w:tc>
          <w:tcPr>
            <w:tcW w:type="dxa" w:w="5213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Reads the GIS parcel record</w:t>
            </w:r>
            <w:r>
              <w:rPr>
                <w:b w:val="0"/>
                <w:sz w:val="16"/>
              </w:rPr>
              <w:t xml:space="preserve"> and uses it to pick which rule applies.</w:t>
            </w:r>
          </w:p>
        </w:tc>
      </w:tr>
      <w:tr>
        <w:tc>
          <w:tcPr>
            <w:tcW w:type="dxa" w:w="979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Checking</w:t>
            </w:r>
          </w:p>
        </w:tc>
        <w:tc>
          <w:tcPr>
            <w:tcW w:type="dxa" w:w="4176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Trusts its own answer.</w:t>
            </w:r>
          </w:p>
        </w:tc>
        <w:tc>
          <w:tcPr>
            <w:tcW w:type="dxa" w:w="5213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 xml:space="preserve">A </w:t>
            </w:r>
            <w:r>
              <w:rPr>
                <w:b/>
                <w:sz w:val="16"/>
              </w:rPr>
              <w:t>separate validator</w:t>
            </w:r>
            <w:r>
              <w:rPr>
                <w:b w:val="0"/>
                <w:sz w:val="16"/>
              </w:rPr>
              <w:t xml:space="preserve"> re-checks every claim against the sources and flags any that do not trace back.</w:t>
            </w:r>
          </w:p>
        </w:tc>
      </w:tr>
      <w:tr>
        <w:tc>
          <w:tcPr>
            <w:tcW w:type="dxa" w:w="979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Result</w:t>
            </w:r>
          </w:p>
        </w:tc>
        <w:tc>
          <w:tcPr>
            <w:tcW w:type="dxa" w:w="4176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Quotes a figure for a rule that may not apply to you.</w:t>
            </w:r>
          </w:p>
        </w:tc>
        <w:tc>
          <w:tcPr>
            <w:tcW w:type="dxa" w:w="5213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 xml:space="preserve">Cites the rule that </w:t>
            </w:r>
            <w:r>
              <w:rPr>
                <w:b/>
                <w:sz w:val="16"/>
              </w:rPr>
              <w:t>does</w:t>
            </w:r>
            <w:r>
              <w:rPr>
                <w:b w:val="0"/>
                <w:sz w:val="16"/>
              </w:rPr>
              <w:t xml:space="preserve"> apply, and names the property fact that decided it.</w:t>
            </w:r>
          </w:p>
        </w:tc>
      </w:tr>
    </w:tbl>
    <w:p>
      <w:pPr>
        <w:spacing w:after="0" w:line="240" w:lineRule="auto"/>
      </w:pPr>
    </w:p>
    <w:p>
      <w:pPr>
        <w:keepNext/>
        <w:spacing w:before="120" w:after="40"/>
      </w:pPr>
      <w:r>
        <w:rPr>
          <w:rFonts w:ascii="Calibri" w:hAnsi="Calibri"/>
          <w:b/>
          <w:color w:val="5B2D8E"/>
          <w:sz w:val="18"/>
        </w:rPr>
        <w:t>5. THE DIFFERENTIATOR: LEGAL TEXT JOINED TO PROPERTY DATA</w:t>
      </w:r>
    </w:p>
    <w:p>
      <w:pPr>
        <w:spacing w:after="70"/>
      </w:pPr>
      <w:r>
        <w:rPr>
          <w:b w:val="0"/>
        </w:rPr>
        <w:t xml:space="preserve">The user clicks a parcel. Its attributes — unit count, zoning, land use, year built — travel with the question, and the reasoning changes accordingly. Click a </w:t>
      </w:r>
      <w:r>
        <w:rPr>
          <w:b/>
        </w:rPr>
        <w:t>30-unit</w:t>
      </w:r>
      <w:r>
        <w:rPr>
          <w:b w:val="0"/>
        </w:rPr>
        <w:t xml:space="preserve"> building and ask about a 2-bedroom eviction → </w:t>
      </w:r>
      <w:r>
        <w:rPr>
          <w:b/>
        </w:rPr>
        <w:t>$13,000</w:t>
      </w:r>
      <w:r>
        <w:rPr>
          <w:b w:val="0"/>
        </w:rPr>
        <w:t xml:space="preserve">, citing 9.68.060, stating "because this parcel has 30 units". Click the </w:t>
      </w:r>
      <w:r>
        <w:rPr>
          <w:b/>
        </w:rPr>
        <w:t>single-family house next door</w:t>
      </w:r>
      <w:r>
        <w:rPr>
          <w:b w:val="0"/>
        </w:rPr>
        <w:t xml:space="preserve">, identical question → </w:t>
      </w:r>
      <w:r>
        <w:rPr>
          <w:b/>
        </w:rPr>
        <w:t>one month's rent</w:t>
      </w:r>
      <w:r>
        <w:rPr>
          <w:b w:val="0"/>
        </w:rPr>
        <w:t xml:space="preserve">, citing 9.68.050. Same question, different answer, </w:t>
      </w:r>
      <w:r>
        <w:rPr>
          <w:b/>
        </w:rPr>
        <w:t>both correct, both cited</w:t>
      </w:r>
      <w:r>
        <w:rPr>
          <w:b w:val="0"/>
        </w:rPr>
        <w:t xml:space="preserve"> — which no document chatbot can do, because the deciding fact is not in the document. Every answer carries its sections, a verification badge, and an expandable trace.</w:t>
      </w:r>
    </w:p>
    <w:p>
      <w:pPr>
        <w:keepNext/>
        <w:spacing w:before="120" w:after="40"/>
      </w:pPr>
      <w:r>
        <w:rPr>
          <w:rFonts w:ascii="Calibri" w:hAnsi="Calibri"/>
          <w:b/>
          <w:color w:val="5B2D8E"/>
          <w:sz w:val="18"/>
        </w:rPr>
        <w:t>6. WHO THIS HELPS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088"/>
          </w:tcPr>
          <w:p>
            <w:pPr>
              <w:spacing w:after="0" w:line="240" w:lineRule="auto"/>
            </w:pPr>
            <w:r/>
            <w:r>
              <w:rPr>
                <w:b/>
                <w:color w:val="5B2D8E"/>
                <w:sz w:val="16"/>
              </w:rPr>
              <w:t>Stakeholder</w:t>
            </w:r>
          </w:p>
        </w:tc>
        <w:tc>
          <w:tcPr>
            <w:tcW w:type="dxa" w:w="8280"/>
          </w:tcPr>
          <w:p>
            <w:pPr>
              <w:spacing w:after="0" w:line="240" w:lineRule="auto"/>
            </w:pPr>
            <w:r/>
            <w:r>
              <w:rPr>
                <w:b/>
                <w:color w:val="5B2D8E"/>
                <w:sz w:val="16"/>
              </w:rPr>
              <w:t>What changes for them</w:t>
            </w:r>
          </w:p>
        </w:tc>
      </w:tr>
      <w:tr>
        <w:tc>
          <w:tcPr>
            <w:tcW w:type="dxa" w:w="208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Tenant / renter</w:t>
            </w:r>
          </w:p>
        </w:tc>
        <w:tc>
          <w:tcPr>
            <w:tcW w:type="dxa" w:w="8280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Asks in plain language, gets a cited figure in seconds — no municipal code, no callback.</w:t>
            </w:r>
          </w:p>
        </w:tc>
      </w:tr>
      <w:tr>
        <w:tc>
          <w:tcPr>
            <w:tcW w:type="dxa" w:w="208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Front-desk / housing staff</w:t>
            </w:r>
          </w:p>
        </w:tc>
        <w:tc>
          <w:tcPr>
            <w:tcW w:type="dxa" w:w="8280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First-line enquiries answered consistently without pulling a specialist off other work. Same question, same answer, every time — auditable.</w:t>
            </w:r>
          </w:p>
        </w:tc>
      </w:tr>
      <w:tr>
        <w:tc>
          <w:tcPr>
            <w:tcW w:type="dxa" w:w="208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Field inspector</w:t>
            </w:r>
          </w:p>
        </w:tc>
        <w:tc>
          <w:tcPr>
            <w:tcW w:type="dxa" w:w="8280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 xml:space="preserve">Taps the parcel on site and gets the obligations for </w:t>
            </w:r>
            <w:r>
              <w:rPr>
                <w:b/>
                <w:sz w:val="16"/>
              </w:rPr>
              <w:t>that</w:t>
            </w:r>
            <w:r>
              <w:rPr>
                <w:b w:val="0"/>
                <w:sz w:val="16"/>
              </w:rPr>
              <w:t xml:space="preserve"> building. No radio call, no separate lookup.</w:t>
            </w:r>
          </w:p>
        </w:tc>
      </w:tr>
      <w:tr>
        <w:tc>
          <w:tcPr>
            <w:tcW w:type="dxa" w:w="208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Landlord / manager</w:t>
            </w:r>
          </w:p>
        </w:tc>
        <w:tc>
          <w:tcPr>
            <w:tcW w:type="dxa" w:w="8280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Self-serves their exposure before issuing a notice, preventing the underpayment that becomes a dispute.</w:t>
            </w:r>
          </w:p>
        </w:tc>
      </w:tr>
      <w:tr>
        <w:tc>
          <w:tcPr>
            <w:tcW w:type="dxa" w:w="208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City attorney / legal aid</w:t>
            </w:r>
          </w:p>
        </w:tc>
        <w:tc>
          <w:tcPr>
            <w:tcW w:type="dxa" w:w="8280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Sources attached to every answer, so it is verified in seconds rather than re-researched.</w:t>
            </w:r>
          </w:p>
        </w:tc>
      </w:tr>
      <w:tr>
        <w:tc>
          <w:tcPr>
            <w:tcW w:type="dxa" w:w="208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Policy &amp; GIS teams</w:t>
            </w:r>
          </w:p>
        </w:tc>
        <w:tc>
          <w:tcPr>
            <w:tcW w:type="dxa" w:w="8280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The parcel layer becomes a decision-support asset, not just a map. New ordinance or city: upload and go.</w:t>
            </w:r>
          </w:p>
        </w:tc>
      </w:tr>
    </w:tbl>
    <w:p>
      <w:pPr>
        <w:spacing w:after="0" w:line="240" w:lineRule="auto"/>
      </w:pPr>
    </w:p>
    <w:p>
      <w:pPr>
        <w:keepNext/>
        <w:spacing w:before="120" w:after="40"/>
      </w:pPr>
      <w:r>
        <w:rPr>
          <w:rFonts w:ascii="Calibri" w:hAnsi="Calibri"/>
          <w:b/>
          <w:color w:val="5B2D8E"/>
          <w:sz w:val="18"/>
        </w:rPr>
        <w:t>7. DEMO SCRIPT</w:t>
      </w:r>
    </w:p>
    <w:p>
      <w:pPr>
        <w:spacing w:after="40"/>
      </w:pPr>
      <w:r>
        <w:rPr>
          <w:b w:val="0"/>
        </w:rPr>
        <w:t>Click a parcel first — its unit count shows in the popup — then ask.</w:t>
      </w:r>
    </w:p>
    <w:p>
      <w:pPr>
        <w:spacing w:after="40"/>
      </w:pPr>
      <w:r>
        <w:rPr>
          <w:b w:val="0"/>
        </w:rPr>
      </w:r>
      <w:r>
        <w:rPr>
          <w:b/>
        </w:rPr>
        <w:t>The core demonstration — one question, asked twice</w:t>
      </w:r>
      <w:r>
        <w:rPr>
          <w:b w:val="0"/>
        </w:rPr>
      </w:r>
    </w:p>
    <w:p>
      <w:pPr>
        <w:pStyle w:val="ListBullet"/>
        <w:spacing w:after="20" w:line="240" w:lineRule="auto"/>
        <w:ind w:left="288" w:hanging="173"/>
      </w:pPr>
      <w:r>
        <w:rPr>
          <w:b w:val="0"/>
          <w:sz w:val="18"/>
        </w:rPr>
        <w:t xml:space="preserve">On a </w:t>
      </w:r>
      <w:r>
        <w:rPr>
          <w:b/>
          <w:sz w:val="18"/>
        </w:rPr>
        <w:t>10+ unit</w:t>
      </w:r>
      <w:r>
        <w:rPr>
          <w:b w:val="0"/>
          <w:sz w:val="18"/>
        </w:rPr>
        <w:t xml:space="preserve"> parcel: "If a tenant with a 2-bedroom unit here is evicted without fault, how much relocation assistance is owed?" → </w:t>
      </w:r>
      <w:r>
        <w:rPr>
          <w:b/>
          <w:sz w:val="18"/>
        </w:rPr>
        <w:t>$13,000</w:t>
      </w:r>
      <w:r>
        <w:rPr>
          <w:b w:val="0"/>
          <w:sz w:val="18"/>
        </w:rPr>
        <w:t>, section 9.68.060, unit count named as the deciding fact, both instalments and the extra $3,000, verified badge.</w:t>
      </w:r>
    </w:p>
    <w:p>
      <w:pPr>
        <w:pStyle w:val="ListBullet"/>
        <w:spacing w:after="20" w:line="240" w:lineRule="auto"/>
        <w:ind w:left="288" w:hanging="173"/>
      </w:pPr>
      <w:r>
        <w:rPr>
          <w:b w:val="0"/>
          <w:sz w:val="18"/>
        </w:rPr>
        <w:t xml:space="preserve">On a </w:t>
      </w:r>
      <w:r>
        <w:rPr>
          <w:b/>
          <w:sz w:val="18"/>
        </w:rPr>
        <w:t>1-unit</w:t>
      </w:r>
      <w:r>
        <w:rPr>
          <w:b w:val="0"/>
          <w:sz w:val="18"/>
        </w:rPr>
        <w:t xml:space="preserve"> parcel, word for word the same question → </w:t>
      </w:r>
      <w:r>
        <w:rPr>
          <w:b/>
          <w:sz w:val="18"/>
        </w:rPr>
        <w:t>one month's rent</w:t>
      </w:r>
      <w:r>
        <w:rPr>
          <w:b w:val="0"/>
          <w:sz w:val="18"/>
        </w:rPr>
        <w:t>, section 9.68.050, because the parcel is below the threshold.</w:t>
      </w:r>
    </w:p>
    <w:p>
      <w:pPr>
        <w:spacing w:after="60"/>
      </w:pPr>
      <w:r>
        <w:rPr>
          <w:b w:val="0"/>
        </w:rPr>
        <w:t>Those two answers side by side are the value proposition. The rest is supporting evidence.</w:t>
      </w:r>
    </w:p>
    <w:p>
      <w:pPr>
        <w:spacing w:after="40"/>
      </w:pPr>
      <w:r>
        <w:rPr>
          <w:b w:val="0"/>
        </w:rPr>
      </w:r>
      <w:r>
        <w:rPr>
          <w:b/>
        </w:rPr>
        <w:t>Showing it checks its own work</w:t>
      </w:r>
      <w:r>
        <w:rPr>
          <w:b w:val="0"/>
        </w:rPr>
      </w:r>
    </w:p>
    <w:p>
      <w:pPr>
        <w:pStyle w:val="ListBullet"/>
        <w:spacing w:after="20" w:line="240" w:lineRule="auto"/>
        <w:ind w:left="288" w:hanging="173"/>
      </w:pPr>
      <w:r>
        <w:rPr>
          <w:b w:val="0"/>
          <w:sz w:val="18"/>
        </w:rPr>
        <w:t>"How much do I get if I'm kicked out?" → open the trace: rewritten to "relocation assistance eviction without fault" before searching.</w:t>
      </w:r>
    </w:p>
    <w:p>
      <w:pPr>
        <w:pStyle w:val="ListBullet"/>
        <w:spacing w:after="20" w:line="240" w:lineRule="auto"/>
        <w:ind w:left="288" w:hanging="173"/>
      </w:pPr>
      <w:r>
        <w:rPr>
          <w:b w:val="0"/>
          <w:sz w:val="18"/>
        </w:rPr>
        <w:t xml:space="preserve">"What about the money?" → first search judged insufficient, retries, then </w:t>
      </w:r>
      <w:r>
        <w:rPr>
          <w:b/>
          <w:sz w:val="18"/>
        </w:rPr>
        <w:t>asks which payment you mean</w:t>
      </w:r>
      <w:r>
        <w:rPr>
          <w:b w:val="0"/>
          <w:sz w:val="18"/>
        </w:rPr>
        <w:t xml:space="preserve"> rather than guessing.</w:t>
      </w:r>
    </w:p>
    <w:p>
      <w:pPr>
        <w:pStyle w:val="ListBullet"/>
        <w:spacing w:after="20" w:line="240" w:lineRule="auto"/>
        <w:ind w:left="288" w:hanging="173"/>
      </w:pPr>
      <w:r>
        <w:rPr>
          <w:b w:val="0"/>
          <w:sz w:val="18"/>
        </w:rPr>
        <w:t xml:space="preserve">"How many parking spaces are required per unit?" → </w:t>
      </w:r>
      <w:r>
        <w:rPr>
          <w:b/>
          <w:sz w:val="18"/>
        </w:rPr>
        <w:t>refuses</w:t>
      </w:r>
      <w:r>
        <w:rPr>
          <w:b w:val="0"/>
          <w:sz w:val="18"/>
        </w:rPr>
        <w:t>. Not in the ordinance, so no number is invented. The key moment for a compliance audience.</w:t>
      </w:r>
    </w:p>
    <w:p>
      <w:pPr>
        <w:pStyle w:val="ListBullet"/>
        <w:spacing w:after="20" w:line="240" w:lineRule="auto"/>
        <w:ind w:left="288" w:hanging="173"/>
      </w:pPr>
      <w:r>
        <w:rPr>
          <w:b w:val="0"/>
          <w:sz w:val="18"/>
        </w:rPr>
        <w:t xml:space="preserve">"Total owed for a 2-bedroom low-income household here?" → quotes $13,000 and $3,000 </w:t>
      </w:r>
      <w:r>
        <w:rPr>
          <w:b/>
          <w:sz w:val="18"/>
        </w:rPr>
        <w:t>separately</w:t>
      </w:r>
      <w:r>
        <w:rPr>
          <w:b w:val="0"/>
          <w:sz w:val="18"/>
        </w:rPr>
        <w:t>, refuses to add them. It may not do arithmetic on legal figures.</w:t>
      </w:r>
    </w:p>
    <w:p>
      <w:pPr>
        <w:pStyle w:val="ListBullet"/>
        <w:spacing w:after="20" w:line="240" w:lineRule="auto"/>
        <w:ind w:left="288" w:hanging="173"/>
      </w:pPr>
      <w:r>
        <w:rPr>
          <w:b w:val="0"/>
          <w:sz w:val="18"/>
        </w:rPr>
        <w:t xml:space="preserve">"How much is owed for a unit here?" → </w:t>
      </w:r>
      <w:r>
        <w:rPr>
          <w:b/>
          <w:sz w:val="18"/>
        </w:rPr>
        <w:t>asks for the bedroom count</w:t>
      </w:r>
      <w:r>
        <w:rPr>
          <w:b w:val="0"/>
          <w:sz w:val="18"/>
        </w:rPr>
        <w:t>. Parcel data has no bedroom field, so it requests the missing fact.</w:t>
      </w:r>
    </w:p>
    <w:p>
      <w:pPr>
        <w:keepNext/>
        <w:spacing w:before="120" w:after="40"/>
      </w:pPr>
      <w:r>
        <w:rPr>
          <w:rFonts w:ascii="Calibri" w:hAnsi="Calibri"/>
          <w:b/>
          <w:color w:val="5B2D8E"/>
          <w:sz w:val="18"/>
        </w:rPr>
        <w:t>8. THE LIMITS, SAID OUT LOUD</w:t>
      </w:r>
    </w:p>
    <w:p>
      <w:pPr>
        <w:pStyle w:val="ListBullet"/>
        <w:spacing w:after="20" w:line="240" w:lineRule="auto"/>
        <w:ind w:left="288" w:hanging="173"/>
      </w:pPr>
      <w:r>
        <w:rPr>
          <w:b w:val="0"/>
          <w:sz w:val="18"/>
        </w:rPr>
      </w:r>
      <w:r>
        <w:rPr>
          <w:b/>
          <w:sz w:val="18"/>
        </w:rPr>
        <w:t>Unit counts in this demo are synthetic.</w:t>
      </w:r>
      <w:r>
        <w:rPr>
          <w:b w:val="0"/>
          <w:sz w:val="18"/>
        </w:rPr>
        <w:t xml:space="preserve"> Our parcel layer carries no unit count, so the demo generates a stable stand-in per parcel. The reasoning and citations are real; the unit number is placeholder input. A data-sourcing task, not an engineering one.</w:t>
      </w:r>
    </w:p>
    <w:p>
      <w:pPr>
        <w:pStyle w:val="ListBullet"/>
        <w:spacing w:after="20" w:line="240" w:lineRule="auto"/>
        <w:ind w:left="288" w:hanging="173"/>
      </w:pPr>
      <w:r>
        <w:rPr>
          <w:b w:val="0"/>
          <w:sz w:val="18"/>
        </w:rPr>
      </w:r>
      <w:r>
        <w:rPr>
          <w:b/>
          <w:sz w:val="18"/>
        </w:rPr>
        <w:t>Validated end-to-end on one city.</w:t>
      </w:r>
      <w:r>
        <w:rPr>
          <w:b w:val="0"/>
          <w:sz w:val="18"/>
        </w:rPr>
        <w:t xml:space="preserve"> Architecture is city-agnostic; two other ordinances were tested through ingestion, one needing a parser change — the next feature on the list.</w:t>
      </w:r>
    </w:p>
    <w:p>
      <w:pPr>
        <w:pStyle w:val="ListBullet"/>
        <w:spacing w:after="20" w:line="240" w:lineRule="auto"/>
        <w:ind w:left="288" w:hanging="173"/>
      </w:pPr>
      <w:r>
        <w:rPr>
          <w:b w:val="0"/>
          <w:sz w:val="18"/>
        </w:rPr>
      </w:r>
      <w:r>
        <w:rPr>
          <w:b/>
          <w:sz w:val="18"/>
        </w:rPr>
        <w:t>Informational, not legal advice</w:t>
      </w:r>
      <w:r>
        <w:rPr>
          <w:b w:val="0"/>
          <w:sz w:val="18"/>
        </w:rPr>
        <w:t xml:space="preserve">, and ordinances are amended — production needs a disclaimer and a "last indexed" date. Answers take </w:t>
      </w:r>
      <w:r>
        <w:rPr>
          <w:b/>
          <w:sz w:val="18"/>
        </w:rPr>
        <w:t>6–10 seconds</w:t>
      </w:r>
      <w:r>
        <w:rPr>
          <w:b w:val="0"/>
          <w:sz w:val="18"/>
        </w:rPr>
        <w:t>: four model calls, three of them the self-checking. That is the cost of not being wrong.</w:t>
      </w:r>
    </w:p>
    <w:p>
      <w:pPr>
        <w:spacing w:before="120"/>
        <w:jc w:val="center"/>
      </w:pPr>
      <w:r>
        <w:rPr>
          <w:i/>
          <w:color w:val="444444"/>
          <w:sz w:val="16"/>
        </w:rPr>
        <w:t>The defensible claim is not "RAG over PDFs" — that is commodity. It is joining unstructured legal text to structured property data, so the answer depends on the parcel in front of you.</w:t>
      </w:r>
    </w:p>
    <w:sectPr w:rsidR="00FC693F" w:rsidRPr="0006063C" w:rsidSect="00034616"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40" w:lineRule="auto"/>
    </w:pPr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