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8D5" w:rsidRDefault="00DE0BAB" w:rsidP="00DE0BAB">
      <w:pPr>
        <w:pStyle w:val="Heading1"/>
      </w:pPr>
      <w:r>
        <w:t>Part 1: Bollinger Band Strategy</w:t>
      </w:r>
    </w:p>
    <w:p w:rsidR="00DE0BAB" w:rsidRDefault="00DE0BAB" w:rsidP="00DE0BAB"/>
    <w:p w:rsidR="00DE0BAB" w:rsidRDefault="00DE0BAB" w:rsidP="00DE0BAB">
      <w:pPr>
        <w:spacing w:line="240" w:lineRule="auto"/>
        <w:contextualSpacing/>
      </w:pPr>
      <w:proofErr w:type="spellStart"/>
      <w:r>
        <w:t>stock_symbol</w:t>
      </w:r>
      <w:proofErr w:type="spellEnd"/>
      <w:r>
        <w:t xml:space="preserve"> = 'IBM'</w:t>
      </w:r>
    </w:p>
    <w:p w:rsidR="00DE0BAB" w:rsidRDefault="00DE0BAB" w:rsidP="00DE0BAB">
      <w:pPr>
        <w:spacing w:line="240" w:lineRule="auto"/>
        <w:contextualSpacing/>
      </w:pPr>
      <w:proofErr w:type="spellStart"/>
      <w:r>
        <w:t>start_date</w:t>
      </w:r>
      <w:proofErr w:type="spellEnd"/>
      <w:r>
        <w:t xml:space="preserve"> = '2007-12-31'</w:t>
      </w:r>
      <w:bookmarkStart w:id="0" w:name="_GoBack"/>
      <w:bookmarkEnd w:id="0"/>
    </w:p>
    <w:p w:rsidR="00DE0BAB" w:rsidRDefault="00DE0BAB" w:rsidP="00DE0BAB">
      <w:pPr>
        <w:spacing w:line="240" w:lineRule="auto"/>
        <w:contextualSpacing/>
      </w:pPr>
      <w:proofErr w:type="spellStart"/>
      <w:r>
        <w:t>end_date</w:t>
      </w:r>
      <w:proofErr w:type="spellEnd"/>
      <w:r>
        <w:t xml:space="preserve"> = '2009-12-31'</w:t>
      </w:r>
    </w:p>
    <w:p w:rsidR="00DE0BAB" w:rsidRDefault="00DE0BAB" w:rsidP="00DE0BAB">
      <w:pPr>
        <w:spacing w:line="240" w:lineRule="auto"/>
        <w:contextualSpacing/>
      </w:pPr>
      <w:proofErr w:type="spellStart"/>
      <w:r>
        <w:t>start_val</w:t>
      </w:r>
      <w:proofErr w:type="spellEnd"/>
      <w:r>
        <w:t xml:space="preserve"> = 10000</w:t>
      </w:r>
    </w:p>
    <w:p w:rsidR="00DE0BAB" w:rsidRDefault="00DE0BAB" w:rsidP="00DE0BAB">
      <w:pPr>
        <w:spacing w:line="240" w:lineRule="auto"/>
        <w:contextualSpacing/>
      </w:pPr>
    </w:p>
    <w:p w:rsidR="00DE0BAB" w:rsidRDefault="00DE0BAB" w:rsidP="00DE0BAB">
      <w:pPr>
        <w:spacing w:line="240" w:lineRule="auto"/>
        <w:contextualSpacing/>
      </w:pPr>
    </w:p>
    <w:p w:rsidR="00DE0BAB" w:rsidRDefault="00DE0BAB" w:rsidP="00DE0BAB">
      <w:pPr>
        <w:pStyle w:val="Heading3"/>
      </w:pPr>
      <w:r>
        <w:t>Result</w:t>
      </w:r>
    </w:p>
    <w:p w:rsidR="00DE0BAB" w:rsidRDefault="00DE0BAB" w:rsidP="00DE0BAB">
      <w:pPr>
        <w:spacing w:line="240" w:lineRule="auto"/>
        <w:contextualSpacing/>
      </w:pPr>
    </w:p>
    <w:p w:rsidR="00DE0BAB" w:rsidRDefault="00DE0BAB" w:rsidP="00DE0BAB">
      <w:pPr>
        <w:spacing w:line="240" w:lineRule="auto"/>
        <w:contextualSpacing/>
      </w:pPr>
      <w:r>
        <w:t>Data Range: 2007-12-31 to 2009-12-31</w:t>
      </w:r>
    </w:p>
    <w:p w:rsidR="00DE0BAB" w:rsidRDefault="00DE0BAB" w:rsidP="00DE0BAB">
      <w:pPr>
        <w:spacing w:line="240" w:lineRule="auto"/>
        <w:contextualSpacing/>
      </w:pPr>
    </w:p>
    <w:p w:rsidR="00DE0BAB" w:rsidRDefault="00DE0BAB" w:rsidP="00DE0BAB">
      <w:pPr>
        <w:spacing w:line="240" w:lineRule="auto"/>
        <w:contextualSpacing/>
      </w:pPr>
      <w:r>
        <w:t>Sharpe Ratio of Fund: 0.977668660132</w:t>
      </w:r>
    </w:p>
    <w:p w:rsidR="00DE0BAB" w:rsidRDefault="00DE0BAB" w:rsidP="00DE0BAB">
      <w:pPr>
        <w:spacing w:line="240" w:lineRule="auto"/>
        <w:contextualSpacing/>
      </w:pPr>
      <w:r>
        <w:t>Sharpe Ratio of $SPX: -0.21996865409</w:t>
      </w:r>
    </w:p>
    <w:p w:rsidR="00DE0BAB" w:rsidRDefault="00DE0BAB" w:rsidP="00DE0BAB">
      <w:pPr>
        <w:spacing w:line="240" w:lineRule="auto"/>
        <w:contextualSpacing/>
      </w:pPr>
    </w:p>
    <w:p w:rsidR="00DE0BAB" w:rsidRDefault="00DE0BAB" w:rsidP="00DE0BAB">
      <w:pPr>
        <w:spacing w:line="240" w:lineRule="auto"/>
        <w:contextualSpacing/>
      </w:pPr>
      <w:r>
        <w:t>Cumulative Return of Fund: 0.3615</w:t>
      </w:r>
    </w:p>
    <w:p w:rsidR="00DE0BAB" w:rsidRDefault="00DE0BAB" w:rsidP="00DE0BAB">
      <w:pPr>
        <w:spacing w:line="240" w:lineRule="auto"/>
        <w:contextualSpacing/>
      </w:pPr>
      <w:r>
        <w:t>Cumulative Return of $SPX: -0.240581328829</w:t>
      </w:r>
    </w:p>
    <w:p w:rsidR="00DE0BAB" w:rsidRDefault="00DE0BAB" w:rsidP="00DE0BAB">
      <w:pPr>
        <w:spacing w:line="240" w:lineRule="auto"/>
        <w:contextualSpacing/>
      </w:pPr>
    </w:p>
    <w:p w:rsidR="00DE0BAB" w:rsidRDefault="00DE0BAB" w:rsidP="00DE0BAB">
      <w:pPr>
        <w:spacing w:line="240" w:lineRule="auto"/>
        <w:contextualSpacing/>
      </w:pPr>
      <w:r>
        <w:t>Standard Deviation of Fund: 0.0108802895522</w:t>
      </w:r>
    </w:p>
    <w:p w:rsidR="00DE0BAB" w:rsidRDefault="00DE0BAB" w:rsidP="00DE0BAB">
      <w:pPr>
        <w:spacing w:line="240" w:lineRule="auto"/>
        <w:contextualSpacing/>
      </w:pPr>
      <w:r>
        <w:t>Standard Deviation of $SPX: 0.0219524869863</w:t>
      </w:r>
    </w:p>
    <w:p w:rsidR="00DE0BAB" w:rsidRDefault="00DE0BAB" w:rsidP="00DE0BAB">
      <w:pPr>
        <w:spacing w:line="240" w:lineRule="auto"/>
        <w:contextualSpacing/>
      </w:pPr>
    </w:p>
    <w:p w:rsidR="00DE0BAB" w:rsidRDefault="00DE0BAB" w:rsidP="00DE0BAB">
      <w:pPr>
        <w:spacing w:line="240" w:lineRule="auto"/>
        <w:contextualSpacing/>
      </w:pPr>
      <w:r>
        <w:t>Average Daily Return of Fund: 0.000670088055509</w:t>
      </w:r>
    </w:p>
    <w:p w:rsidR="00DE0BAB" w:rsidRDefault="00DE0BAB" w:rsidP="00DE0BAB">
      <w:pPr>
        <w:spacing w:line="240" w:lineRule="auto"/>
        <w:contextualSpacing/>
      </w:pPr>
      <w:r>
        <w:t>Average Daily Return of $SPX: -0.000304189525556</w:t>
      </w:r>
    </w:p>
    <w:p w:rsidR="00DE0BAB" w:rsidRDefault="00DE0BAB" w:rsidP="00DE0BAB">
      <w:pPr>
        <w:spacing w:line="240" w:lineRule="auto"/>
        <w:contextualSpacing/>
      </w:pPr>
    </w:p>
    <w:p w:rsidR="00DE0BAB" w:rsidRDefault="00DE0BAB" w:rsidP="00DE0BAB">
      <w:pPr>
        <w:spacing w:line="240" w:lineRule="auto"/>
        <w:contextualSpacing/>
      </w:pPr>
      <w:r>
        <w:t>Final Portfolio Value: 13615.0</w:t>
      </w:r>
    </w:p>
    <w:p w:rsidR="00DE0BAB" w:rsidRDefault="00DE0BAB" w:rsidP="00DE0BAB"/>
    <w:p w:rsidR="00DE0BAB" w:rsidRDefault="00DE0BAB" w:rsidP="00DE0BAB">
      <w:r>
        <w:rPr>
          <w:noProof/>
        </w:rPr>
        <w:lastRenderedPageBreak/>
        <w:drawing>
          <wp:inline distT="0" distB="0" distL="0" distR="0" wp14:anchorId="696B68E4" wp14:editId="247B8DE8">
            <wp:extent cx="4966138" cy="3730948"/>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5198" cy="3737755"/>
                    </a:xfrm>
                    <a:prstGeom prst="rect">
                      <a:avLst/>
                    </a:prstGeom>
                  </pic:spPr>
                </pic:pic>
              </a:graphicData>
            </a:graphic>
          </wp:inline>
        </w:drawing>
      </w:r>
    </w:p>
    <w:p w:rsidR="00DE0BAB" w:rsidRDefault="00DE0BAB" w:rsidP="00DE0BAB">
      <w:r>
        <w:rPr>
          <w:noProof/>
        </w:rPr>
        <w:drawing>
          <wp:inline distT="0" distB="0" distL="0" distR="0" wp14:anchorId="73DD1F18" wp14:editId="3C486C86">
            <wp:extent cx="4967785" cy="372148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7270" cy="3728587"/>
                    </a:xfrm>
                    <a:prstGeom prst="rect">
                      <a:avLst/>
                    </a:prstGeom>
                  </pic:spPr>
                </pic:pic>
              </a:graphicData>
            </a:graphic>
          </wp:inline>
        </w:drawing>
      </w:r>
    </w:p>
    <w:p w:rsidR="00EF5264" w:rsidRDefault="00EF5264">
      <w:r>
        <w:br w:type="page"/>
      </w:r>
    </w:p>
    <w:p w:rsidR="00DE0BAB" w:rsidRDefault="00C728E9" w:rsidP="00EF5264">
      <w:pPr>
        <w:pStyle w:val="Heading1"/>
      </w:pPr>
      <w:r>
        <w:lastRenderedPageBreak/>
        <w:br/>
      </w:r>
      <w:r w:rsidR="00EF5264">
        <w:t>Part 2: My Strategy</w:t>
      </w:r>
    </w:p>
    <w:p w:rsidR="00DD27B6" w:rsidRDefault="00DD27B6" w:rsidP="00C728E9">
      <w:pPr>
        <w:spacing w:line="240" w:lineRule="auto"/>
        <w:contextualSpacing/>
      </w:pPr>
      <w:r>
        <w:br/>
        <w:t xml:space="preserve">My strategy is similar to basic Bollinger Band strategy, with small alteration which I believe makes it much safer and also outperforms the basic Bollinger Band strategy. </w:t>
      </w:r>
    </w:p>
    <w:p w:rsidR="00EF5264" w:rsidRDefault="00DD27B6" w:rsidP="00DD27B6">
      <w:r>
        <w:t xml:space="preserve">Thought is that a lot of time with Basic Bollinger band </w:t>
      </w:r>
      <w:r w:rsidR="00FD2FE9">
        <w:t xml:space="preserve">strategy, after entering short/long position the exit </w:t>
      </w:r>
      <w:r w:rsidR="006755BA">
        <w:t>signal usually takes long time to come</w:t>
      </w:r>
      <w:r w:rsidR="00FD2FE9">
        <w:t xml:space="preserve">. And in the mean time before the stock price crosses Simple Moving Average (SMA); exit </w:t>
      </w:r>
      <w:r w:rsidR="006755BA">
        <w:t>point</w:t>
      </w:r>
      <w:r w:rsidR="00FD2FE9">
        <w:t xml:space="preserve">; it </w:t>
      </w:r>
      <w:r w:rsidR="00C728E9">
        <w:t>oscillates</w:t>
      </w:r>
      <w:r w:rsidR="00FD2FE9">
        <w:t xml:space="preserve"> multiple times between the Bollinger Band and SMA. These </w:t>
      </w:r>
      <w:r w:rsidR="006755BA">
        <w:t xml:space="preserve">would </w:t>
      </w:r>
      <w:r w:rsidR="00FD2FE9">
        <w:t>all</w:t>
      </w:r>
      <w:r w:rsidR="006755BA">
        <w:t xml:space="preserve"> be</w:t>
      </w:r>
      <w:r w:rsidR="00FD2FE9">
        <w:t xml:space="preserve"> trading opportunities missed. </w:t>
      </w:r>
      <w:r w:rsidR="006755BA">
        <w:t xml:space="preserve">We need more frequently occurring exit points. </w:t>
      </w:r>
    </w:p>
    <w:p w:rsidR="00FD2FE9" w:rsidRDefault="00FD2FE9" w:rsidP="00DD27B6">
      <w:r>
        <w:t xml:space="preserve">But more than missing trading opportunities to make </w:t>
      </w:r>
      <w:r w:rsidR="006755BA">
        <w:t>more money, in my opinion it is more imp</w:t>
      </w:r>
      <w:r w:rsidR="00585CE4">
        <w:t xml:space="preserve">ortant for strategy to be safe. </w:t>
      </w:r>
      <w:r w:rsidR="006755BA">
        <w:t>Basic Bollinger strategy performs poorly with stocks that are rising or dipping over time. For example, AAPL consistently grew over past years. Bollinger Band strategy would lose money in this case because after coming down from upper band it would short the stock, and the</w:t>
      </w:r>
      <w:r w:rsidR="00585CE4">
        <w:t>n the</w:t>
      </w:r>
      <w:r w:rsidR="006755BA">
        <w:t xml:space="preserve"> exit position would not come for many months since the stock is rising. And when exit position finally comes the </w:t>
      </w:r>
      <w:r w:rsidR="00585CE4">
        <w:t xml:space="preserve">stock </w:t>
      </w:r>
      <w:r w:rsidR="006755BA">
        <w:t xml:space="preserve">price will have </w:t>
      </w:r>
      <w:proofErr w:type="gramStart"/>
      <w:r w:rsidR="006755BA">
        <w:t>risen</w:t>
      </w:r>
      <w:proofErr w:type="gramEnd"/>
      <w:r w:rsidR="006755BA">
        <w:t xml:space="preserve"> a lot making you lose money. This is another reason for having shorter and more frequently occurring exit points.</w:t>
      </w:r>
    </w:p>
    <w:p w:rsidR="00585CE4" w:rsidRDefault="00585CE4" w:rsidP="00DD27B6"/>
    <w:p w:rsidR="00585CE4" w:rsidRDefault="00C728E9" w:rsidP="00585CE4">
      <w:pPr>
        <w:rPr>
          <w:rStyle w:val="Heading3Char"/>
        </w:rPr>
      </w:pPr>
      <w:r>
        <w:rPr>
          <w:rStyle w:val="Heading3Char"/>
        </w:rPr>
        <w:br/>
      </w:r>
      <w:r w:rsidR="00FD2FE9" w:rsidRPr="00585CE4">
        <w:rPr>
          <w:rStyle w:val="Heading3Char"/>
        </w:rPr>
        <w:t>My strategy entry exit points as below:</w:t>
      </w:r>
    </w:p>
    <w:p w:rsidR="00585CE4" w:rsidRDefault="00FD2FE9" w:rsidP="00585CE4">
      <w:pPr>
        <w:spacing w:line="240" w:lineRule="auto"/>
        <w:contextualSpacing/>
      </w:pPr>
      <w:r>
        <w:br/>
      </w:r>
      <w:r w:rsidR="00585CE4">
        <w:t>20 Day Simple Moving Average (SMA)</w:t>
      </w:r>
    </w:p>
    <w:p w:rsidR="00585CE4" w:rsidRDefault="00585CE4" w:rsidP="00585CE4">
      <w:pPr>
        <w:spacing w:line="240" w:lineRule="auto"/>
        <w:contextualSpacing/>
      </w:pPr>
      <w:r>
        <w:t>Upper Band = SMA + 20 day standard deviation.</w:t>
      </w:r>
    </w:p>
    <w:p w:rsidR="00585CE4" w:rsidRDefault="00585CE4" w:rsidP="00585CE4">
      <w:pPr>
        <w:spacing w:line="240" w:lineRule="auto"/>
        <w:contextualSpacing/>
      </w:pPr>
      <w:r>
        <w:t>Upper Band 2 = SMA + 2 * 20 day standard deviation.</w:t>
      </w:r>
    </w:p>
    <w:p w:rsidR="00585CE4" w:rsidRDefault="00585CE4" w:rsidP="00585CE4">
      <w:pPr>
        <w:spacing w:line="240" w:lineRule="auto"/>
        <w:contextualSpacing/>
      </w:pPr>
      <w:r>
        <w:t>Lower Band = SMA - 20 day standard deviation.</w:t>
      </w:r>
    </w:p>
    <w:p w:rsidR="00585CE4" w:rsidRDefault="00585CE4" w:rsidP="00585CE4">
      <w:pPr>
        <w:spacing w:line="240" w:lineRule="auto"/>
        <w:contextualSpacing/>
      </w:pPr>
      <w:r>
        <w:t>Lower Band 2 = SMA - 2 * 20 day standard deviation.</w:t>
      </w:r>
    </w:p>
    <w:p w:rsidR="00585CE4" w:rsidRDefault="00585CE4" w:rsidP="00585CE4">
      <w:pPr>
        <w:spacing w:line="240" w:lineRule="auto"/>
        <w:contextualSpacing/>
      </w:pPr>
    </w:p>
    <w:p w:rsidR="00585CE4" w:rsidRDefault="00585CE4" w:rsidP="00585CE4">
      <w:pPr>
        <w:spacing w:line="240" w:lineRule="auto"/>
        <w:contextualSpacing/>
      </w:pPr>
      <w:r>
        <w:t>There are two potential entries, long and short. The long entry is made when the price transitions from below the Lower Band 2 to above the Lower Band 2. This indicates that the stock price has moved substantially away from the moving average, but is now moving back towards the moving average. When this entry signal criteria is met, buy the stock and hold it until the exit. The exit signal occurs when the price moves from below the Lower Band to above it.</w:t>
      </w:r>
    </w:p>
    <w:p w:rsidR="00585CE4" w:rsidRDefault="00585CE4" w:rsidP="00585CE4">
      <w:pPr>
        <w:spacing w:line="240" w:lineRule="auto"/>
        <w:contextualSpacing/>
      </w:pPr>
    </w:p>
    <w:p w:rsidR="00FD2FE9" w:rsidRDefault="00585CE4" w:rsidP="00585CE4">
      <w:pPr>
        <w:spacing w:line="240" w:lineRule="auto"/>
        <w:contextualSpacing/>
      </w:pPr>
      <w:r>
        <w:t>The short entry and exit are mirrors of the long entry and exit: The short entry is made when the price transitions from above the Upper Band 2 to below the Upper Band 2. This indicates that the stock price has moved substantially away from the moving average, but is now moving back towards the moving average. When this entry signal criteria is met, short the stock and hold it until the exit. The exit signal occurs when the price moves from above the Upper Band to below it.</w:t>
      </w:r>
    </w:p>
    <w:p w:rsidR="00585CE4" w:rsidRDefault="00585CE4" w:rsidP="00585CE4"/>
    <w:p w:rsidR="00C728E9" w:rsidRDefault="00C728E9">
      <w:r>
        <w:br w:type="page"/>
      </w:r>
    </w:p>
    <w:p w:rsidR="00C728E9" w:rsidRDefault="00C728E9" w:rsidP="00C728E9">
      <w:pPr>
        <w:pStyle w:val="Heading5"/>
      </w:pPr>
      <w:r>
        <w:lastRenderedPageBreak/>
        <w:br/>
        <w:t xml:space="preserve">My strategy is able to outperform with IBM 2008-2009 by taking advantage of price oscillation between traditional Bollinger Band and SMA. </w:t>
      </w:r>
    </w:p>
    <w:p w:rsidR="00C728E9" w:rsidRPr="00C728E9" w:rsidRDefault="00C728E9" w:rsidP="00C728E9"/>
    <w:p w:rsidR="00C728E9" w:rsidRDefault="00C728E9" w:rsidP="00C728E9">
      <w:pPr>
        <w:spacing w:line="240" w:lineRule="auto"/>
        <w:contextualSpacing/>
      </w:pPr>
      <w:proofErr w:type="spellStart"/>
      <w:r>
        <w:t>stock_symbol</w:t>
      </w:r>
      <w:proofErr w:type="spellEnd"/>
      <w:r>
        <w:t xml:space="preserve"> = 'IBM'</w:t>
      </w:r>
    </w:p>
    <w:p w:rsidR="00C728E9" w:rsidRDefault="00C728E9" w:rsidP="00C728E9">
      <w:pPr>
        <w:spacing w:line="240" w:lineRule="auto"/>
        <w:contextualSpacing/>
      </w:pPr>
      <w:proofErr w:type="spellStart"/>
      <w:r>
        <w:t>start_date</w:t>
      </w:r>
      <w:proofErr w:type="spellEnd"/>
      <w:r>
        <w:t xml:space="preserve"> = '2007-12-31'</w:t>
      </w:r>
    </w:p>
    <w:p w:rsidR="00C728E9" w:rsidRDefault="00C728E9" w:rsidP="00C728E9">
      <w:pPr>
        <w:spacing w:line="240" w:lineRule="auto"/>
        <w:contextualSpacing/>
      </w:pPr>
      <w:proofErr w:type="spellStart"/>
      <w:r>
        <w:t>end_date</w:t>
      </w:r>
      <w:proofErr w:type="spellEnd"/>
      <w:r>
        <w:t xml:space="preserve"> = '2009-12-31'</w:t>
      </w:r>
    </w:p>
    <w:p w:rsidR="00C728E9" w:rsidRDefault="00C728E9" w:rsidP="00C728E9">
      <w:pPr>
        <w:spacing w:line="240" w:lineRule="auto"/>
        <w:contextualSpacing/>
      </w:pPr>
      <w:proofErr w:type="spellStart"/>
      <w:r>
        <w:t>start_val</w:t>
      </w:r>
      <w:proofErr w:type="spellEnd"/>
      <w:r>
        <w:t xml:space="preserve"> = 10000</w:t>
      </w:r>
    </w:p>
    <w:p w:rsidR="00C728E9" w:rsidRDefault="00C728E9" w:rsidP="00C728E9">
      <w:pPr>
        <w:spacing w:line="240" w:lineRule="auto"/>
        <w:contextualSpacing/>
      </w:pPr>
    </w:p>
    <w:p w:rsidR="00C728E9" w:rsidRDefault="00C728E9" w:rsidP="00C728E9">
      <w:pPr>
        <w:spacing w:line="240" w:lineRule="auto"/>
        <w:contextualSpacing/>
      </w:pPr>
    </w:p>
    <w:p w:rsidR="00C728E9" w:rsidRDefault="00C728E9" w:rsidP="00C728E9">
      <w:pPr>
        <w:pStyle w:val="Heading3"/>
      </w:pPr>
      <w:r>
        <w:t>Result</w:t>
      </w:r>
    </w:p>
    <w:p w:rsidR="00C728E9" w:rsidRDefault="00C728E9" w:rsidP="00C728E9">
      <w:pPr>
        <w:spacing w:line="240" w:lineRule="auto"/>
        <w:contextualSpacing/>
      </w:pPr>
    </w:p>
    <w:p w:rsidR="00C728E9" w:rsidRDefault="00C728E9" w:rsidP="00C728E9">
      <w:pPr>
        <w:spacing w:line="240" w:lineRule="auto"/>
        <w:contextualSpacing/>
      </w:pPr>
      <w:r>
        <w:t>Data Range: 2007-12-31 to 2009-12-31</w:t>
      </w:r>
    </w:p>
    <w:p w:rsidR="00C728E9" w:rsidRDefault="00C728E9" w:rsidP="00C728E9">
      <w:pPr>
        <w:spacing w:line="240" w:lineRule="auto"/>
        <w:contextualSpacing/>
      </w:pPr>
    </w:p>
    <w:p w:rsidR="00C728E9" w:rsidRDefault="00C728E9" w:rsidP="00C728E9">
      <w:pPr>
        <w:spacing w:line="240" w:lineRule="auto"/>
        <w:contextualSpacing/>
      </w:pPr>
      <w:r>
        <w:t>Sharpe Ratio of Fund: 1.7535739339</w:t>
      </w:r>
    </w:p>
    <w:p w:rsidR="00C728E9" w:rsidRDefault="00C728E9" w:rsidP="00C728E9">
      <w:pPr>
        <w:spacing w:line="240" w:lineRule="auto"/>
        <w:contextualSpacing/>
      </w:pPr>
      <w:r>
        <w:t>Sharpe Ratio of $SPX: -0.21996865409</w:t>
      </w:r>
    </w:p>
    <w:p w:rsidR="00C728E9" w:rsidRDefault="00C728E9" w:rsidP="00C728E9">
      <w:pPr>
        <w:spacing w:line="240" w:lineRule="auto"/>
        <w:contextualSpacing/>
      </w:pPr>
    </w:p>
    <w:p w:rsidR="00C728E9" w:rsidRDefault="00C728E9" w:rsidP="00C728E9">
      <w:pPr>
        <w:spacing w:line="240" w:lineRule="auto"/>
        <w:contextualSpacing/>
      </w:pPr>
      <w:r>
        <w:t>Cumulative Return of Fund: 0.386</w:t>
      </w:r>
    </w:p>
    <w:p w:rsidR="00C728E9" w:rsidRDefault="00C728E9" w:rsidP="00C728E9">
      <w:pPr>
        <w:spacing w:line="240" w:lineRule="auto"/>
        <w:contextualSpacing/>
      </w:pPr>
      <w:r>
        <w:t>Cumulative Return of $SPX: -0.240581328829</w:t>
      </w:r>
    </w:p>
    <w:p w:rsidR="00C728E9" w:rsidRDefault="00C728E9" w:rsidP="00C728E9">
      <w:pPr>
        <w:spacing w:line="240" w:lineRule="auto"/>
        <w:contextualSpacing/>
      </w:pPr>
    </w:p>
    <w:p w:rsidR="00C728E9" w:rsidRDefault="00C728E9" w:rsidP="00C728E9">
      <w:pPr>
        <w:spacing w:line="240" w:lineRule="auto"/>
        <w:contextualSpacing/>
      </w:pPr>
      <w:r>
        <w:t>Standard Deviation of Fund: 0.00601537988286</w:t>
      </w:r>
    </w:p>
    <w:p w:rsidR="00C728E9" w:rsidRDefault="00C728E9" w:rsidP="00C728E9">
      <w:pPr>
        <w:spacing w:line="240" w:lineRule="auto"/>
        <w:contextualSpacing/>
      </w:pPr>
      <w:r>
        <w:t>Standard Deviation of $SPX: 0.0219524869863</w:t>
      </w:r>
    </w:p>
    <w:p w:rsidR="00C728E9" w:rsidRDefault="00C728E9" w:rsidP="00C728E9">
      <w:pPr>
        <w:spacing w:line="240" w:lineRule="auto"/>
        <w:contextualSpacing/>
      </w:pPr>
    </w:p>
    <w:p w:rsidR="00C728E9" w:rsidRDefault="00C728E9" w:rsidP="00C728E9">
      <w:pPr>
        <w:spacing w:line="240" w:lineRule="auto"/>
        <w:contextualSpacing/>
      </w:pPr>
      <w:r>
        <w:t>Average Daily Return of Fund: 0.000664487583103</w:t>
      </w:r>
    </w:p>
    <w:p w:rsidR="00C728E9" w:rsidRDefault="00C728E9" w:rsidP="00C728E9">
      <w:pPr>
        <w:spacing w:line="240" w:lineRule="auto"/>
        <w:contextualSpacing/>
      </w:pPr>
      <w:r>
        <w:t>Average Daily Return of $SPX: -0.000304189525556</w:t>
      </w:r>
    </w:p>
    <w:p w:rsidR="00C728E9" w:rsidRDefault="00C728E9" w:rsidP="00C728E9">
      <w:pPr>
        <w:spacing w:line="240" w:lineRule="auto"/>
        <w:contextualSpacing/>
      </w:pPr>
    </w:p>
    <w:p w:rsidR="00C728E9" w:rsidRDefault="00C728E9" w:rsidP="00C728E9">
      <w:pPr>
        <w:spacing w:line="240" w:lineRule="auto"/>
        <w:contextualSpacing/>
      </w:pPr>
      <w:r>
        <w:t>Final Portfolio Value: 13860.0</w:t>
      </w:r>
    </w:p>
    <w:p w:rsidR="00C728E9" w:rsidRDefault="00C728E9"/>
    <w:p w:rsidR="00C728E9" w:rsidRDefault="00C728E9"/>
    <w:p w:rsidR="00585CE4" w:rsidRDefault="00585CE4"/>
    <w:p w:rsidR="00EF5264" w:rsidRDefault="00EF5264" w:rsidP="00EF5264">
      <w:r>
        <w:rPr>
          <w:noProof/>
        </w:rPr>
        <w:lastRenderedPageBreak/>
        <w:drawing>
          <wp:inline distT="0" distB="0" distL="0" distR="0" wp14:anchorId="56179B36" wp14:editId="3AB0C092">
            <wp:extent cx="5486216" cy="41216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2458" cy="4126313"/>
                    </a:xfrm>
                    <a:prstGeom prst="rect">
                      <a:avLst/>
                    </a:prstGeom>
                  </pic:spPr>
                </pic:pic>
              </a:graphicData>
            </a:graphic>
          </wp:inline>
        </w:drawing>
      </w:r>
    </w:p>
    <w:p w:rsidR="00EF5264" w:rsidRPr="00EF5264" w:rsidRDefault="00EF5264" w:rsidP="00EF5264">
      <w:r>
        <w:rPr>
          <w:noProof/>
        </w:rPr>
        <w:drawing>
          <wp:inline distT="0" distB="0" distL="0" distR="0" wp14:anchorId="3FED4CDF" wp14:editId="6FB1BAAB">
            <wp:extent cx="5490495" cy="4067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0485" cy="4074433"/>
                    </a:xfrm>
                    <a:prstGeom prst="rect">
                      <a:avLst/>
                    </a:prstGeom>
                  </pic:spPr>
                </pic:pic>
              </a:graphicData>
            </a:graphic>
          </wp:inline>
        </w:drawing>
      </w:r>
    </w:p>
    <w:p w:rsidR="00DE0BAB" w:rsidRDefault="00DE0BAB" w:rsidP="00DE0BAB"/>
    <w:p w:rsidR="0002213B" w:rsidRDefault="006E1BE2" w:rsidP="0002213B">
      <w:pPr>
        <w:pStyle w:val="Heading2"/>
      </w:pPr>
      <w:r>
        <w:lastRenderedPageBreak/>
        <w:br/>
      </w:r>
      <w:r w:rsidR="0002213B">
        <w:t>Test using AAPL</w:t>
      </w:r>
    </w:p>
    <w:p w:rsidR="00C728E9" w:rsidRDefault="00C728E9" w:rsidP="00C728E9">
      <w:pPr>
        <w:pStyle w:val="Heading5"/>
      </w:pPr>
      <w:r>
        <w:t xml:space="preserve">Here is an example of how my strategy is safer than basic Bollinger Band strategy in the case where the stock is rising or dipping over time. This situation is bound to make you lose lots of money using basic Bollinger Band strategy. </w:t>
      </w:r>
    </w:p>
    <w:p w:rsidR="00DE0BAB" w:rsidRDefault="00600D8B" w:rsidP="00C728E9">
      <w:pPr>
        <w:pStyle w:val="Heading5"/>
      </w:pPr>
      <w:r>
        <w:t>Here is example using AAPL:</w:t>
      </w:r>
    </w:p>
    <w:p w:rsidR="00600D8B" w:rsidRDefault="00600D8B" w:rsidP="00600D8B">
      <w:pPr>
        <w:spacing w:line="240" w:lineRule="auto"/>
        <w:contextualSpacing/>
      </w:pPr>
      <w:proofErr w:type="spellStart"/>
      <w:r>
        <w:t>start_date</w:t>
      </w:r>
      <w:proofErr w:type="spellEnd"/>
      <w:r>
        <w:t xml:space="preserve"> = '2007-12-31'</w:t>
      </w:r>
    </w:p>
    <w:p w:rsidR="00600D8B" w:rsidRDefault="00600D8B" w:rsidP="00600D8B">
      <w:pPr>
        <w:spacing w:line="240" w:lineRule="auto"/>
        <w:contextualSpacing/>
      </w:pPr>
      <w:proofErr w:type="spellStart"/>
      <w:r>
        <w:t>end_date</w:t>
      </w:r>
      <w:proofErr w:type="spellEnd"/>
      <w:r>
        <w:t xml:space="preserve"> = '2009-12-31'</w:t>
      </w:r>
    </w:p>
    <w:p w:rsidR="00DE0BAB" w:rsidRDefault="00600D8B" w:rsidP="00600D8B">
      <w:pPr>
        <w:spacing w:line="240" w:lineRule="auto"/>
        <w:contextualSpacing/>
      </w:pPr>
      <w:proofErr w:type="spellStart"/>
      <w:r>
        <w:t>start_val</w:t>
      </w:r>
      <w:proofErr w:type="spellEnd"/>
      <w:r>
        <w:t xml:space="preserve"> = 10000</w:t>
      </w:r>
    </w:p>
    <w:p w:rsidR="00DE0BAB" w:rsidRDefault="00DE0BAB" w:rsidP="00DE0BAB">
      <w:pPr>
        <w:spacing w:line="240" w:lineRule="auto"/>
        <w:contextualSpacing/>
      </w:pPr>
    </w:p>
    <w:p w:rsidR="00DE0BAB" w:rsidRDefault="00600D8B" w:rsidP="00600D8B">
      <w:pPr>
        <w:pStyle w:val="Heading4"/>
      </w:pPr>
      <w:r>
        <w:t>Bollinger Band Strategy:</w:t>
      </w:r>
    </w:p>
    <w:p w:rsidR="00600D8B" w:rsidRDefault="00600D8B" w:rsidP="00600D8B">
      <w:pPr>
        <w:spacing w:line="240" w:lineRule="auto"/>
        <w:contextualSpacing/>
      </w:pPr>
      <w:r>
        <w:t>Data Range: 2007-12-31 to 2009-12-31</w:t>
      </w:r>
    </w:p>
    <w:p w:rsidR="00600D8B" w:rsidRDefault="00600D8B" w:rsidP="00600D8B">
      <w:pPr>
        <w:spacing w:line="240" w:lineRule="auto"/>
        <w:contextualSpacing/>
      </w:pPr>
    </w:p>
    <w:p w:rsidR="00600D8B" w:rsidRDefault="00600D8B" w:rsidP="00600D8B">
      <w:pPr>
        <w:spacing w:line="240" w:lineRule="auto"/>
        <w:contextualSpacing/>
      </w:pPr>
      <w:r>
        <w:t>Sharpe Ratio of Fund: -0.54976902235</w:t>
      </w:r>
    </w:p>
    <w:p w:rsidR="00600D8B" w:rsidRDefault="00600D8B" w:rsidP="00600D8B">
      <w:pPr>
        <w:spacing w:line="240" w:lineRule="auto"/>
        <w:contextualSpacing/>
      </w:pPr>
      <w:r>
        <w:t>Sharpe Ratio of $SPX: -0.21996865409</w:t>
      </w:r>
    </w:p>
    <w:p w:rsidR="00600D8B" w:rsidRDefault="00600D8B" w:rsidP="00600D8B">
      <w:pPr>
        <w:spacing w:line="240" w:lineRule="auto"/>
        <w:contextualSpacing/>
      </w:pPr>
    </w:p>
    <w:p w:rsidR="00600D8B" w:rsidRDefault="00600D8B" w:rsidP="00600D8B">
      <w:pPr>
        <w:spacing w:line="240" w:lineRule="auto"/>
        <w:contextualSpacing/>
      </w:pPr>
      <w:r>
        <w:t>Cumulative Return of Fund: -0.4938</w:t>
      </w:r>
    </w:p>
    <w:p w:rsidR="00600D8B" w:rsidRDefault="00600D8B" w:rsidP="00600D8B">
      <w:pPr>
        <w:spacing w:line="240" w:lineRule="auto"/>
        <w:contextualSpacing/>
      </w:pPr>
      <w:r>
        <w:t>Cumulative Return of $SPX: -0.240581328829</w:t>
      </w:r>
    </w:p>
    <w:p w:rsidR="00600D8B" w:rsidRDefault="00600D8B" w:rsidP="00600D8B">
      <w:pPr>
        <w:spacing w:line="240" w:lineRule="auto"/>
        <w:contextualSpacing/>
      </w:pPr>
    </w:p>
    <w:p w:rsidR="00600D8B" w:rsidRDefault="00600D8B" w:rsidP="00600D8B">
      <w:pPr>
        <w:spacing w:line="240" w:lineRule="auto"/>
        <w:contextualSpacing/>
      </w:pPr>
      <w:r>
        <w:t>Standard Deviation of Fund: 0.0278530657376</w:t>
      </w:r>
    </w:p>
    <w:p w:rsidR="00600D8B" w:rsidRDefault="00600D8B" w:rsidP="00600D8B">
      <w:pPr>
        <w:spacing w:line="240" w:lineRule="auto"/>
        <w:contextualSpacing/>
      </w:pPr>
      <w:r>
        <w:t>Standard Deviation of $SPX: 0.0219524869863</w:t>
      </w:r>
    </w:p>
    <w:p w:rsidR="00600D8B" w:rsidRDefault="00600D8B" w:rsidP="00600D8B">
      <w:pPr>
        <w:spacing w:line="240" w:lineRule="auto"/>
        <w:contextualSpacing/>
      </w:pPr>
    </w:p>
    <w:p w:rsidR="00600D8B" w:rsidRDefault="00600D8B" w:rsidP="00600D8B">
      <w:pPr>
        <w:spacing w:line="240" w:lineRule="auto"/>
        <w:contextualSpacing/>
      </w:pPr>
      <w:r>
        <w:t>Average Daily Return of Fund: -0.000964612752024</w:t>
      </w:r>
    </w:p>
    <w:p w:rsidR="00600D8B" w:rsidRDefault="00600D8B" w:rsidP="00600D8B">
      <w:pPr>
        <w:spacing w:line="240" w:lineRule="auto"/>
        <w:contextualSpacing/>
      </w:pPr>
      <w:r>
        <w:t>Average Daily Return of $SPX: -0.000304189525556</w:t>
      </w:r>
    </w:p>
    <w:p w:rsidR="00600D8B" w:rsidRDefault="00600D8B" w:rsidP="00600D8B">
      <w:pPr>
        <w:spacing w:line="240" w:lineRule="auto"/>
        <w:contextualSpacing/>
      </w:pPr>
    </w:p>
    <w:p w:rsidR="00DE0BAB" w:rsidRDefault="00600D8B" w:rsidP="00600D8B">
      <w:pPr>
        <w:spacing w:line="240" w:lineRule="auto"/>
        <w:contextualSpacing/>
      </w:pPr>
      <w:r>
        <w:t>Final Portfolio Value: 5062.0</w:t>
      </w:r>
    </w:p>
    <w:p w:rsidR="00DE0BAB" w:rsidRDefault="00DE0BAB" w:rsidP="00DE0BAB">
      <w:pPr>
        <w:spacing w:line="240" w:lineRule="auto"/>
        <w:contextualSpacing/>
      </w:pPr>
    </w:p>
    <w:p w:rsidR="00600D8B" w:rsidRDefault="00600D8B" w:rsidP="00600D8B">
      <w:pPr>
        <w:spacing w:line="240" w:lineRule="auto"/>
        <w:contextualSpacing/>
      </w:pPr>
      <w:r w:rsidRPr="00600D8B">
        <w:rPr>
          <w:rStyle w:val="Heading4Char"/>
        </w:rPr>
        <w:t>My Strategy</w:t>
      </w:r>
      <w:proofErr w:type="gramStart"/>
      <w:r w:rsidRPr="00600D8B">
        <w:rPr>
          <w:rStyle w:val="Heading4Char"/>
        </w:rPr>
        <w:t>:</w:t>
      </w:r>
      <w:proofErr w:type="gramEnd"/>
      <w:r>
        <w:br/>
      </w:r>
      <w:r>
        <w:t>Data Range: 2007-12-31 to 2009-12-31</w:t>
      </w:r>
    </w:p>
    <w:p w:rsidR="00600D8B" w:rsidRDefault="00600D8B" w:rsidP="00600D8B">
      <w:pPr>
        <w:spacing w:line="240" w:lineRule="auto"/>
        <w:contextualSpacing/>
      </w:pPr>
    </w:p>
    <w:p w:rsidR="00600D8B" w:rsidRDefault="00600D8B" w:rsidP="00600D8B">
      <w:pPr>
        <w:spacing w:line="240" w:lineRule="auto"/>
        <w:contextualSpacing/>
      </w:pPr>
      <w:r>
        <w:t>Sharpe Ratio of Fund: -0.295198266208</w:t>
      </w:r>
    </w:p>
    <w:p w:rsidR="00600D8B" w:rsidRDefault="00600D8B" w:rsidP="00600D8B">
      <w:pPr>
        <w:spacing w:line="240" w:lineRule="auto"/>
        <w:contextualSpacing/>
      </w:pPr>
      <w:r>
        <w:t>Sharpe Ratio of $SPX: -0.21996865409</w:t>
      </w:r>
    </w:p>
    <w:p w:rsidR="00600D8B" w:rsidRDefault="00600D8B" w:rsidP="00600D8B">
      <w:pPr>
        <w:spacing w:line="240" w:lineRule="auto"/>
        <w:contextualSpacing/>
      </w:pPr>
    </w:p>
    <w:p w:rsidR="00600D8B" w:rsidRDefault="00600D8B" w:rsidP="00600D8B">
      <w:pPr>
        <w:spacing w:line="240" w:lineRule="auto"/>
        <w:contextualSpacing/>
      </w:pPr>
      <w:r>
        <w:t>Cumulative Return of Fund: -0.2587</w:t>
      </w:r>
    </w:p>
    <w:p w:rsidR="00600D8B" w:rsidRDefault="00600D8B" w:rsidP="00600D8B">
      <w:pPr>
        <w:spacing w:line="240" w:lineRule="auto"/>
        <w:contextualSpacing/>
      </w:pPr>
      <w:r>
        <w:t>Cumulative Return of $SPX: -0.240581328829</w:t>
      </w:r>
    </w:p>
    <w:p w:rsidR="00600D8B" w:rsidRDefault="00600D8B" w:rsidP="00600D8B">
      <w:pPr>
        <w:spacing w:line="240" w:lineRule="auto"/>
        <w:contextualSpacing/>
      </w:pPr>
    </w:p>
    <w:p w:rsidR="00600D8B" w:rsidRDefault="00600D8B" w:rsidP="00600D8B">
      <w:pPr>
        <w:spacing w:line="240" w:lineRule="auto"/>
        <w:contextualSpacing/>
      </w:pPr>
      <w:r>
        <w:t>Standard Deviation of Fund: 0.0205723989585</w:t>
      </w:r>
    </w:p>
    <w:p w:rsidR="00600D8B" w:rsidRDefault="00600D8B" w:rsidP="00600D8B">
      <w:pPr>
        <w:spacing w:line="240" w:lineRule="auto"/>
        <w:contextualSpacing/>
      </w:pPr>
      <w:r>
        <w:t>Standard Deviation of $SPX: 0.0219524869863</w:t>
      </w:r>
    </w:p>
    <w:p w:rsidR="00600D8B" w:rsidRDefault="00600D8B" w:rsidP="00600D8B">
      <w:pPr>
        <w:spacing w:line="240" w:lineRule="auto"/>
        <w:contextualSpacing/>
      </w:pPr>
    </w:p>
    <w:p w:rsidR="00600D8B" w:rsidRDefault="00600D8B" w:rsidP="00600D8B">
      <w:pPr>
        <w:spacing w:line="240" w:lineRule="auto"/>
        <w:contextualSpacing/>
      </w:pPr>
      <w:r>
        <w:t>Average Daily Return of Fund: -0.000382559040909</w:t>
      </w:r>
    </w:p>
    <w:p w:rsidR="00600D8B" w:rsidRDefault="00600D8B" w:rsidP="00600D8B">
      <w:pPr>
        <w:spacing w:line="240" w:lineRule="auto"/>
        <w:contextualSpacing/>
      </w:pPr>
      <w:r>
        <w:t>Average Daily Return of $SPX: -0.000304189525556</w:t>
      </w:r>
    </w:p>
    <w:p w:rsidR="00600D8B" w:rsidRDefault="00600D8B" w:rsidP="00600D8B">
      <w:pPr>
        <w:spacing w:line="240" w:lineRule="auto"/>
        <w:contextualSpacing/>
      </w:pPr>
    </w:p>
    <w:p w:rsidR="00600D8B" w:rsidRDefault="00600D8B" w:rsidP="00600D8B">
      <w:pPr>
        <w:spacing w:line="240" w:lineRule="auto"/>
        <w:contextualSpacing/>
      </w:pPr>
      <w:r>
        <w:t>Final Portfolio Value: 7413.0</w:t>
      </w:r>
      <w:r>
        <w:br/>
      </w:r>
    </w:p>
    <w:p w:rsidR="0002213B" w:rsidRDefault="0002213B" w:rsidP="0002213B">
      <w:pPr>
        <w:pStyle w:val="Heading5"/>
      </w:pPr>
    </w:p>
    <w:p w:rsidR="00600D8B" w:rsidRDefault="0002213B" w:rsidP="0002213B">
      <w:pPr>
        <w:pStyle w:val="Heading5"/>
      </w:pPr>
      <w:r>
        <w:t>In this case,</w:t>
      </w:r>
      <w:r w:rsidR="00600D8B">
        <w:t xml:space="preserve"> because of the more frequently occurring exit points we do not lose nearly as much money as basic Bollinger Band strategy making my strategy much safer. </w:t>
      </w:r>
    </w:p>
    <w:p w:rsidR="008D2111" w:rsidRPr="008D2111" w:rsidRDefault="008D2111" w:rsidP="0002213B">
      <w:pPr>
        <w:pStyle w:val="Heading5"/>
      </w:pPr>
      <w:r>
        <w:t xml:space="preserve">From the below charts you will notice that with basic Bollinger Band strategy, most of the money is lost by </w:t>
      </w:r>
      <w:r w:rsidR="001E57A7">
        <w:t>entering a short position</w:t>
      </w:r>
      <w:r>
        <w:t xml:space="preserve"> at</w:t>
      </w:r>
      <w:r w:rsidR="001E57A7">
        <w:t xml:space="preserve"> March 19,</w:t>
      </w:r>
      <w:r>
        <w:t xml:space="preserve"> 2008</w:t>
      </w:r>
      <w:r w:rsidR="001E57A7">
        <w:t xml:space="preserve"> and not being able to exit until May 21, 2008 because the stock was rising</w:t>
      </w:r>
      <w:r w:rsidR="0002213B">
        <w:t xml:space="preserve"> causing us to lose a lot of money</w:t>
      </w:r>
      <w:r w:rsidR="001E57A7">
        <w:t xml:space="preserve">. </w:t>
      </w:r>
      <w:r w:rsidR="0002213B">
        <w:t xml:space="preserve">And same with the short position at March 19, 2009 which it exits on May 12, 2009. </w:t>
      </w:r>
    </w:p>
    <w:p w:rsidR="00DE0BAB" w:rsidRDefault="0002213B" w:rsidP="0002213B">
      <w:pPr>
        <w:pStyle w:val="Heading5"/>
      </w:pPr>
      <w:r>
        <w:t xml:space="preserve">In these scenarios, my strategy is able to outperform basic Bollinger Band strategy by utilizing shorter exit intervals to get out of bad positions quickly. </w:t>
      </w:r>
    </w:p>
    <w:p w:rsidR="008D2111" w:rsidRDefault="008D2111">
      <w:pPr>
        <w:rPr>
          <w:rFonts w:asciiTheme="majorHAnsi" w:eastAsiaTheme="majorEastAsia" w:hAnsiTheme="majorHAnsi" w:cstheme="majorBidi"/>
          <w:b/>
          <w:bCs/>
          <w:color w:val="4F81BD" w:themeColor="accent1"/>
        </w:rPr>
      </w:pPr>
      <w:r>
        <w:br w:type="page"/>
      </w:r>
    </w:p>
    <w:p w:rsidR="00DE0BAB" w:rsidRDefault="008D2111" w:rsidP="008D2111">
      <w:pPr>
        <w:pStyle w:val="Heading3"/>
      </w:pPr>
      <w:r>
        <w:lastRenderedPageBreak/>
        <w:br/>
        <w:t>Bollinger Band Strategy, AAPL:</w:t>
      </w:r>
    </w:p>
    <w:p w:rsidR="00DE0BAB" w:rsidRDefault="00DE0BAB" w:rsidP="00DE0BAB">
      <w:pPr>
        <w:spacing w:line="240" w:lineRule="auto"/>
        <w:contextualSpacing/>
      </w:pPr>
    </w:p>
    <w:p w:rsidR="00DE0BAB" w:rsidRDefault="008D2111" w:rsidP="00DE0BAB">
      <w:pPr>
        <w:spacing w:line="240" w:lineRule="auto"/>
        <w:contextualSpacing/>
      </w:pPr>
      <w:r>
        <w:rPr>
          <w:noProof/>
        </w:rPr>
        <w:drawing>
          <wp:inline distT="0" distB="0" distL="0" distR="0" wp14:anchorId="2A146A11" wp14:editId="6C35D92D">
            <wp:extent cx="4940490" cy="382544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4793" cy="3828781"/>
                    </a:xfrm>
                    <a:prstGeom prst="rect">
                      <a:avLst/>
                    </a:prstGeom>
                  </pic:spPr>
                </pic:pic>
              </a:graphicData>
            </a:graphic>
          </wp:inline>
        </w:drawing>
      </w:r>
    </w:p>
    <w:p w:rsidR="008D2111" w:rsidRDefault="008D2111" w:rsidP="00DE0BAB">
      <w:pPr>
        <w:spacing w:line="240" w:lineRule="auto"/>
        <w:contextualSpacing/>
      </w:pPr>
    </w:p>
    <w:p w:rsidR="00DE0BAB" w:rsidRDefault="008D2111" w:rsidP="00DE0BAB">
      <w:pPr>
        <w:spacing w:line="240" w:lineRule="auto"/>
        <w:contextualSpacing/>
      </w:pPr>
      <w:r>
        <w:rPr>
          <w:noProof/>
        </w:rPr>
        <w:drawing>
          <wp:inline distT="0" distB="0" distL="0" distR="0" wp14:anchorId="69B79D20" wp14:editId="441E45A0">
            <wp:extent cx="4940490" cy="3739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2174" cy="3748282"/>
                    </a:xfrm>
                    <a:prstGeom prst="rect">
                      <a:avLst/>
                    </a:prstGeom>
                  </pic:spPr>
                </pic:pic>
              </a:graphicData>
            </a:graphic>
          </wp:inline>
        </w:drawing>
      </w:r>
    </w:p>
    <w:p w:rsidR="008D2111" w:rsidRDefault="008D2111">
      <w:r>
        <w:br w:type="page"/>
      </w:r>
    </w:p>
    <w:p w:rsidR="008D2111" w:rsidRDefault="008D2111" w:rsidP="008D2111">
      <w:pPr>
        <w:pStyle w:val="Heading3"/>
      </w:pPr>
      <w:r>
        <w:lastRenderedPageBreak/>
        <w:br/>
        <w:t>My Strategy, AAPL:</w:t>
      </w:r>
    </w:p>
    <w:p w:rsidR="008D2111" w:rsidRDefault="008D2111" w:rsidP="008D2111"/>
    <w:p w:rsidR="008D2111" w:rsidRDefault="001E57A7" w:rsidP="008D2111">
      <w:r>
        <w:rPr>
          <w:noProof/>
        </w:rPr>
        <w:drawing>
          <wp:inline distT="0" distB="0" distL="0" distR="0" wp14:anchorId="2D05A6B9" wp14:editId="59234E80">
            <wp:extent cx="4869500" cy="368774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7842" cy="3694063"/>
                    </a:xfrm>
                    <a:prstGeom prst="rect">
                      <a:avLst/>
                    </a:prstGeom>
                  </pic:spPr>
                </pic:pic>
              </a:graphicData>
            </a:graphic>
          </wp:inline>
        </w:drawing>
      </w:r>
    </w:p>
    <w:p w:rsidR="001E57A7" w:rsidRPr="008D2111" w:rsidRDefault="001E57A7" w:rsidP="008D2111">
      <w:r>
        <w:rPr>
          <w:noProof/>
        </w:rPr>
        <w:drawing>
          <wp:inline distT="0" distB="0" distL="0" distR="0" wp14:anchorId="54EFE4D0" wp14:editId="6EB925B8">
            <wp:extent cx="4868843" cy="36877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3532" cy="3691296"/>
                    </a:xfrm>
                    <a:prstGeom prst="rect">
                      <a:avLst/>
                    </a:prstGeom>
                  </pic:spPr>
                </pic:pic>
              </a:graphicData>
            </a:graphic>
          </wp:inline>
        </w:drawing>
      </w:r>
    </w:p>
    <w:sectPr w:rsidR="001E57A7" w:rsidRPr="008D2111" w:rsidSect="00DE0BAB">
      <w:headerReference w:type="default" r:id="rId15"/>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90D" w:rsidRDefault="003A190D" w:rsidP="00DE0BAB">
      <w:pPr>
        <w:spacing w:after="0" w:line="240" w:lineRule="auto"/>
      </w:pPr>
      <w:r>
        <w:separator/>
      </w:r>
    </w:p>
  </w:endnote>
  <w:endnote w:type="continuationSeparator" w:id="0">
    <w:p w:rsidR="003A190D" w:rsidRDefault="003A190D" w:rsidP="00DE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90D" w:rsidRDefault="003A190D" w:rsidP="00DE0BAB">
      <w:pPr>
        <w:spacing w:after="0" w:line="240" w:lineRule="auto"/>
      </w:pPr>
      <w:r>
        <w:separator/>
      </w:r>
    </w:p>
  </w:footnote>
  <w:footnote w:type="continuationSeparator" w:id="0">
    <w:p w:rsidR="003A190D" w:rsidRDefault="003A190D" w:rsidP="00DE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BAB" w:rsidRDefault="00DE0BAB">
    <w:pPr>
      <w:pStyle w:val="Header"/>
    </w:pPr>
    <w:proofErr w:type="spellStart"/>
    <w:r>
      <w:t>Nakul</w:t>
    </w:r>
    <w:proofErr w:type="spellEnd"/>
    <w:r>
      <w:t xml:space="preserve"> Patel</w:t>
    </w:r>
  </w:p>
  <w:p w:rsidR="00DE0BAB" w:rsidRDefault="00DE0BAB">
    <w:pPr>
      <w:pStyle w:val="Header"/>
    </w:pPr>
    <w:r>
      <w:t>MC2-Proj2: Bollinger Bands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2A"/>
    <w:rsid w:val="00017F9E"/>
    <w:rsid w:val="0002213B"/>
    <w:rsid w:val="000519A5"/>
    <w:rsid w:val="00064CAC"/>
    <w:rsid w:val="0006545A"/>
    <w:rsid w:val="000C75B4"/>
    <w:rsid w:val="000F271C"/>
    <w:rsid w:val="00105DCD"/>
    <w:rsid w:val="001662EC"/>
    <w:rsid w:val="00186112"/>
    <w:rsid w:val="001910BB"/>
    <w:rsid w:val="00191761"/>
    <w:rsid w:val="001E57A7"/>
    <w:rsid w:val="00213CB0"/>
    <w:rsid w:val="002858D5"/>
    <w:rsid w:val="002C1D0F"/>
    <w:rsid w:val="002D450F"/>
    <w:rsid w:val="002E5648"/>
    <w:rsid w:val="00314FFE"/>
    <w:rsid w:val="00377271"/>
    <w:rsid w:val="003A190D"/>
    <w:rsid w:val="003A1B23"/>
    <w:rsid w:val="003F60B8"/>
    <w:rsid w:val="00401D5F"/>
    <w:rsid w:val="00456360"/>
    <w:rsid w:val="004631D7"/>
    <w:rsid w:val="004730EA"/>
    <w:rsid w:val="00477FA8"/>
    <w:rsid w:val="004E5DFF"/>
    <w:rsid w:val="0050140C"/>
    <w:rsid w:val="00511FA4"/>
    <w:rsid w:val="0052272A"/>
    <w:rsid w:val="00526B0F"/>
    <w:rsid w:val="0053707F"/>
    <w:rsid w:val="00585CE4"/>
    <w:rsid w:val="005F1BB1"/>
    <w:rsid w:val="00600D8B"/>
    <w:rsid w:val="0065018A"/>
    <w:rsid w:val="00653104"/>
    <w:rsid w:val="006538AA"/>
    <w:rsid w:val="00654A2D"/>
    <w:rsid w:val="006755BA"/>
    <w:rsid w:val="00690659"/>
    <w:rsid w:val="006C49F7"/>
    <w:rsid w:val="006E1BE2"/>
    <w:rsid w:val="00715B9B"/>
    <w:rsid w:val="00722D6D"/>
    <w:rsid w:val="00730D9B"/>
    <w:rsid w:val="007449BD"/>
    <w:rsid w:val="00775748"/>
    <w:rsid w:val="007861B6"/>
    <w:rsid w:val="007C22C2"/>
    <w:rsid w:val="007E136E"/>
    <w:rsid w:val="007E5E2E"/>
    <w:rsid w:val="00804727"/>
    <w:rsid w:val="00822823"/>
    <w:rsid w:val="0083390E"/>
    <w:rsid w:val="00844B0B"/>
    <w:rsid w:val="008A6D48"/>
    <w:rsid w:val="008C1878"/>
    <w:rsid w:val="008D2111"/>
    <w:rsid w:val="008E3FB0"/>
    <w:rsid w:val="00924CDC"/>
    <w:rsid w:val="00936376"/>
    <w:rsid w:val="00947EF5"/>
    <w:rsid w:val="0096624F"/>
    <w:rsid w:val="009662F4"/>
    <w:rsid w:val="0098050C"/>
    <w:rsid w:val="009A591A"/>
    <w:rsid w:val="009C7A00"/>
    <w:rsid w:val="009D0654"/>
    <w:rsid w:val="009D0C23"/>
    <w:rsid w:val="009E19B6"/>
    <w:rsid w:val="009E1E17"/>
    <w:rsid w:val="009E4412"/>
    <w:rsid w:val="009F3701"/>
    <w:rsid w:val="00A036E8"/>
    <w:rsid w:val="00A050B1"/>
    <w:rsid w:val="00A10099"/>
    <w:rsid w:val="00A16FBE"/>
    <w:rsid w:val="00A76AEA"/>
    <w:rsid w:val="00A9707D"/>
    <w:rsid w:val="00A97F76"/>
    <w:rsid w:val="00AD09CA"/>
    <w:rsid w:val="00B16B66"/>
    <w:rsid w:val="00B37482"/>
    <w:rsid w:val="00B442F2"/>
    <w:rsid w:val="00B527F2"/>
    <w:rsid w:val="00B5356B"/>
    <w:rsid w:val="00B61A22"/>
    <w:rsid w:val="00BA1A58"/>
    <w:rsid w:val="00BC0C51"/>
    <w:rsid w:val="00C00B14"/>
    <w:rsid w:val="00C13470"/>
    <w:rsid w:val="00C30ACA"/>
    <w:rsid w:val="00C468FC"/>
    <w:rsid w:val="00C5302B"/>
    <w:rsid w:val="00C539DE"/>
    <w:rsid w:val="00C56944"/>
    <w:rsid w:val="00C728E9"/>
    <w:rsid w:val="00C73C4F"/>
    <w:rsid w:val="00CD552D"/>
    <w:rsid w:val="00CD6873"/>
    <w:rsid w:val="00CE12B5"/>
    <w:rsid w:val="00D011F4"/>
    <w:rsid w:val="00D02FE6"/>
    <w:rsid w:val="00D84B2F"/>
    <w:rsid w:val="00D913D7"/>
    <w:rsid w:val="00D946FB"/>
    <w:rsid w:val="00DA3FDE"/>
    <w:rsid w:val="00DD27B6"/>
    <w:rsid w:val="00DE0BAB"/>
    <w:rsid w:val="00E273E6"/>
    <w:rsid w:val="00E51EF3"/>
    <w:rsid w:val="00E650EF"/>
    <w:rsid w:val="00E746B4"/>
    <w:rsid w:val="00E86C9B"/>
    <w:rsid w:val="00E92C91"/>
    <w:rsid w:val="00EC054B"/>
    <w:rsid w:val="00EC0AAA"/>
    <w:rsid w:val="00ED2C82"/>
    <w:rsid w:val="00ED33CC"/>
    <w:rsid w:val="00EF5264"/>
    <w:rsid w:val="00F4025F"/>
    <w:rsid w:val="00F402ED"/>
    <w:rsid w:val="00FD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0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C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28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2A"/>
    <w:rPr>
      <w:rFonts w:ascii="Tahoma" w:hAnsi="Tahoma" w:cs="Tahoma"/>
      <w:sz w:val="16"/>
      <w:szCs w:val="16"/>
    </w:rPr>
  </w:style>
  <w:style w:type="paragraph" w:styleId="Header">
    <w:name w:val="header"/>
    <w:basedOn w:val="Normal"/>
    <w:link w:val="HeaderChar"/>
    <w:uiPriority w:val="99"/>
    <w:unhideWhenUsed/>
    <w:rsid w:val="00DE0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BAB"/>
  </w:style>
  <w:style w:type="paragraph" w:styleId="Footer">
    <w:name w:val="footer"/>
    <w:basedOn w:val="Normal"/>
    <w:link w:val="FooterChar"/>
    <w:uiPriority w:val="99"/>
    <w:unhideWhenUsed/>
    <w:rsid w:val="00DE0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BAB"/>
  </w:style>
  <w:style w:type="character" w:customStyle="1" w:styleId="Heading1Char">
    <w:name w:val="Heading 1 Char"/>
    <w:basedOn w:val="DefaultParagraphFont"/>
    <w:link w:val="Heading1"/>
    <w:uiPriority w:val="9"/>
    <w:rsid w:val="00DE0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0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0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5C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28E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0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C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28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2A"/>
    <w:rPr>
      <w:rFonts w:ascii="Tahoma" w:hAnsi="Tahoma" w:cs="Tahoma"/>
      <w:sz w:val="16"/>
      <w:szCs w:val="16"/>
    </w:rPr>
  </w:style>
  <w:style w:type="paragraph" w:styleId="Header">
    <w:name w:val="header"/>
    <w:basedOn w:val="Normal"/>
    <w:link w:val="HeaderChar"/>
    <w:uiPriority w:val="99"/>
    <w:unhideWhenUsed/>
    <w:rsid w:val="00DE0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BAB"/>
  </w:style>
  <w:style w:type="paragraph" w:styleId="Footer">
    <w:name w:val="footer"/>
    <w:basedOn w:val="Normal"/>
    <w:link w:val="FooterChar"/>
    <w:uiPriority w:val="99"/>
    <w:unhideWhenUsed/>
    <w:rsid w:val="00DE0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BAB"/>
  </w:style>
  <w:style w:type="character" w:customStyle="1" w:styleId="Heading1Char">
    <w:name w:val="Heading 1 Char"/>
    <w:basedOn w:val="DefaultParagraphFont"/>
    <w:link w:val="Heading1"/>
    <w:uiPriority w:val="9"/>
    <w:rsid w:val="00DE0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0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0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5C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28E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78767">
      <w:bodyDiv w:val="1"/>
      <w:marLeft w:val="0"/>
      <w:marRight w:val="0"/>
      <w:marTop w:val="0"/>
      <w:marBottom w:val="0"/>
      <w:divBdr>
        <w:top w:val="none" w:sz="0" w:space="0" w:color="auto"/>
        <w:left w:val="none" w:sz="0" w:space="0" w:color="auto"/>
        <w:bottom w:val="none" w:sz="0" w:space="0" w:color="auto"/>
        <w:right w:val="none" w:sz="0" w:space="0" w:color="auto"/>
      </w:divBdr>
    </w:div>
    <w:div w:id="178457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Patel</dc:creator>
  <cp:lastModifiedBy>Nakul Patel</cp:lastModifiedBy>
  <cp:revision>4</cp:revision>
  <cp:lastPrinted>2015-11-07T04:46:00Z</cp:lastPrinted>
  <dcterms:created xsi:type="dcterms:W3CDTF">2015-11-07T01:24:00Z</dcterms:created>
  <dcterms:modified xsi:type="dcterms:W3CDTF">2015-11-07T04:46:00Z</dcterms:modified>
</cp:coreProperties>
</file>