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CEB7" w14:textId="77777777" w:rsidR="008877A1" w:rsidRPr="002A5F7A" w:rsidRDefault="008877A1">
      <w:pPr>
        <w:rPr>
          <w:rFonts w:ascii="Times New Roman" w:hAnsi="Times New Roman" w:cs="Times New Roman"/>
        </w:rPr>
      </w:pPr>
    </w:p>
    <w:p w14:paraId="1D7A320D" w14:textId="77777777" w:rsidR="008877A1" w:rsidRPr="002A5F7A" w:rsidRDefault="008877A1">
      <w:pPr>
        <w:rPr>
          <w:rFonts w:ascii="Times New Roman" w:hAnsi="Times New Roman" w:cs="Times New Roman"/>
        </w:rPr>
      </w:pPr>
    </w:p>
    <w:p w14:paraId="73DEE207"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32"/>
        </w:rPr>
        <w:t>MICROECONOMICS PRODUCT ASSIGNMENT</w:t>
      </w:r>
    </w:p>
    <w:p w14:paraId="4892276B" w14:textId="77777777" w:rsidR="008877A1" w:rsidRPr="002A5F7A" w:rsidRDefault="008877A1">
      <w:pPr>
        <w:rPr>
          <w:rFonts w:ascii="Times New Roman" w:hAnsi="Times New Roman" w:cs="Times New Roman"/>
        </w:rPr>
      </w:pPr>
    </w:p>
    <w:p w14:paraId="3B2AB4DB" w14:textId="77777777" w:rsidR="008877A1" w:rsidRPr="002A5F7A" w:rsidRDefault="008877A1">
      <w:pPr>
        <w:rPr>
          <w:rFonts w:ascii="Times New Roman" w:hAnsi="Times New Roman" w:cs="Times New Roman"/>
        </w:rPr>
      </w:pPr>
    </w:p>
    <w:p w14:paraId="70690727" w14:textId="77777777" w:rsidR="008877A1" w:rsidRPr="002A5F7A" w:rsidRDefault="008877A1">
      <w:pPr>
        <w:rPr>
          <w:rFonts w:ascii="Times New Roman" w:hAnsi="Times New Roman" w:cs="Times New Roman"/>
        </w:rPr>
      </w:pPr>
    </w:p>
    <w:p w14:paraId="08445BF5"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52"/>
        </w:rPr>
        <w:t>BUTTON</w:t>
      </w:r>
    </w:p>
    <w:p w14:paraId="418871FD" w14:textId="77777777" w:rsidR="008877A1" w:rsidRPr="002A5F7A" w:rsidRDefault="008877A1">
      <w:pPr>
        <w:rPr>
          <w:rFonts w:ascii="Times New Roman" w:hAnsi="Times New Roman" w:cs="Times New Roman"/>
        </w:rPr>
      </w:pPr>
    </w:p>
    <w:p w14:paraId="2A89C24A" w14:textId="77777777" w:rsidR="008877A1" w:rsidRPr="002A5F7A" w:rsidRDefault="008877A1">
      <w:pPr>
        <w:rPr>
          <w:rFonts w:ascii="Times New Roman" w:hAnsi="Times New Roman" w:cs="Times New Roman"/>
        </w:rPr>
      </w:pPr>
    </w:p>
    <w:p w14:paraId="01EF6063" w14:textId="77777777" w:rsidR="008877A1" w:rsidRPr="002A5F7A" w:rsidRDefault="00000000">
      <w:pPr>
        <w:jc w:val="center"/>
        <w:rPr>
          <w:rFonts w:ascii="Times New Roman" w:hAnsi="Times New Roman" w:cs="Times New Roman"/>
        </w:rPr>
      </w:pPr>
      <w:r w:rsidRPr="002A5F7A">
        <w:rPr>
          <w:rFonts w:ascii="Times New Roman" w:hAnsi="Times New Roman" w:cs="Times New Roman"/>
          <w:i/>
          <w:sz w:val="28"/>
        </w:rPr>
        <w:t>A Microeconomic Analysis of Production, Cost, Demand, and Market Dynamics</w:t>
      </w:r>
    </w:p>
    <w:p w14:paraId="57515EBA" w14:textId="77777777" w:rsidR="008877A1" w:rsidRPr="002A5F7A" w:rsidRDefault="008877A1">
      <w:pPr>
        <w:rPr>
          <w:rFonts w:ascii="Times New Roman" w:hAnsi="Times New Roman" w:cs="Times New Roman"/>
        </w:rPr>
      </w:pPr>
    </w:p>
    <w:p w14:paraId="67ABD837" w14:textId="77777777" w:rsidR="008877A1" w:rsidRPr="002A5F7A" w:rsidRDefault="008877A1">
      <w:pPr>
        <w:rPr>
          <w:rFonts w:ascii="Times New Roman" w:hAnsi="Times New Roman" w:cs="Times New Roman"/>
        </w:rPr>
      </w:pPr>
    </w:p>
    <w:p w14:paraId="4692B43C" w14:textId="77777777" w:rsidR="008877A1" w:rsidRPr="002A5F7A" w:rsidRDefault="008877A1">
      <w:pPr>
        <w:rPr>
          <w:rFonts w:ascii="Times New Roman" w:hAnsi="Times New Roman" w:cs="Times New Roman"/>
        </w:rPr>
      </w:pPr>
    </w:p>
    <w:p w14:paraId="5E721479" w14:textId="77777777" w:rsidR="008877A1" w:rsidRPr="002A5F7A" w:rsidRDefault="008877A1">
      <w:pPr>
        <w:rPr>
          <w:rFonts w:ascii="Times New Roman" w:hAnsi="Times New Roman" w:cs="Times New Roman"/>
        </w:rPr>
      </w:pPr>
    </w:p>
    <w:p w14:paraId="598856F3" w14:textId="77777777" w:rsidR="008877A1" w:rsidRPr="002A5F7A" w:rsidRDefault="008877A1">
      <w:pPr>
        <w:rPr>
          <w:rFonts w:ascii="Times New Roman" w:hAnsi="Times New Roman" w:cs="Times New Roman"/>
        </w:rPr>
      </w:pPr>
    </w:p>
    <w:p w14:paraId="5E7C7ED1"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24"/>
        </w:rPr>
        <w:t xml:space="preserve">Name: </w:t>
      </w:r>
      <w:r w:rsidRPr="002A5F7A">
        <w:rPr>
          <w:rFonts w:ascii="Times New Roman" w:hAnsi="Times New Roman" w:cs="Times New Roman"/>
          <w:sz w:val="24"/>
        </w:rPr>
        <w:t>Astha Agrawal</w:t>
      </w:r>
    </w:p>
    <w:p w14:paraId="691A1042"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24"/>
        </w:rPr>
        <w:t xml:space="preserve">Roll No: </w:t>
      </w:r>
      <w:r w:rsidRPr="002A5F7A">
        <w:rPr>
          <w:rFonts w:ascii="Times New Roman" w:hAnsi="Times New Roman" w:cs="Times New Roman"/>
          <w:sz w:val="24"/>
        </w:rPr>
        <w:t>HBM25002</w:t>
      </w:r>
    </w:p>
    <w:p w14:paraId="27EEA93E"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24"/>
        </w:rPr>
        <w:t xml:space="preserve">Class: </w:t>
      </w:r>
      <w:r w:rsidRPr="002A5F7A">
        <w:rPr>
          <w:rFonts w:ascii="Times New Roman" w:hAnsi="Times New Roman" w:cs="Times New Roman"/>
          <w:sz w:val="24"/>
        </w:rPr>
        <w:t>MMS Batch 2025-27</w:t>
      </w:r>
    </w:p>
    <w:p w14:paraId="09DF6D45"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24"/>
        </w:rPr>
        <w:t xml:space="preserve">Semester: </w:t>
      </w:r>
      <w:r w:rsidRPr="002A5F7A">
        <w:rPr>
          <w:rFonts w:ascii="Times New Roman" w:hAnsi="Times New Roman" w:cs="Times New Roman"/>
          <w:sz w:val="24"/>
        </w:rPr>
        <w:t>01st</w:t>
      </w:r>
    </w:p>
    <w:p w14:paraId="5B6F96F4" w14:textId="77777777" w:rsidR="008877A1" w:rsidRPr="002A5F7A" w:rsidRDefault="00000000">
      <w:pPr>
        <w:jc w:val="center"/>
        <w:rPr>
          <w:rFonts w:ascii="Times New Roman" w:hAnsi="Times New Roman" w:cs="Times New Roman"/>
        </w:rPr>
      </w:pPr>
      <w:r w:rsidRPr="002A5F7A">
        <w:rPr>
          <w:rFonts w:ascii="Times New Roman" w:hAnsi="Times New Roman" w:cs="Times New Roman"/>
          <w:b/>
          <w:sz w:val="24"/>
        </w:rPr>
        <w:t xml:space="preserve">Academic Year: </w:t>
      </w:r>
      <w:r w:rsidRPr="002A5F7A">
        <w:rPr>
          <w:rFonts w:ascii="Times New Roman" w:hAnsi="Times New Roman" w:cs="Times New Roman"/>
          <w:sz w:val="24"/>
        </w:rPr>
        <w:t>2025-2026</w:t>
      </w:r>
    </w:p>
    <w:p w14:paraId="533A6840" w14:textId="77777777" w:rsidR="00772A5A" w:rsidRPr="002A5F7A" w:rsidRDefault="00772A5A" w:rsidP="00772A5A">
      <w:pPr>
        <w:jc w:val="center"/>
        <w:rPr>
          <w:rFonts w:ascii="Times New Roman" w:hAnsi="Times New Roman" w:cs="Times New Roman"/>
        </w:rPr>
      </w:pPr>
      <w:r w:rsidRPr="002A5F7A">
        <w:rPr>
          <w:rFonts w:ascii="Times New Roman" w:hAnsi="Times New Roman" w:cs="Times New Roman"/>
          <w:b/>
          <w:sz w:val="24"/>
        </w:rPr>
        <w:t xml:space="preserve">Institute: </w:t>
      </w:r>
      <w:r w:rsidRPr="002A5F7A">
        <w:rPr>
          <w:rFonts w:ascii="Times New Roman" w:hAnsi="Times New Roman" w:cs="Times New Roman"/>
          <w:sz w:val="24"/>
        </w:rPr>
        <w:t>Sydenham Institute of Management Studies,</w:t>
      </w:r>
    </w:p>
    <w:p w14:paraId="57EC28C0" w14:textId="554528AD" w:rsidR="008877A1" w:rsidRPr="002A5F7A" w:rsidRDefault="00772A5A" w:rsidP="00772A5A">
      <w:pPr>
        <w:jc w:val="center"/>
        <w:rPr>
          <w:rFonts w:ascii="Times New Roman" w:hAnsi="Times New Roman" w:cs="Times New Roman"/>
        </w:rPr>
      </w:pPr>
      <w:r w:rsidRPr="002A5F7A">
        <w:rPr>
          <w:rFonts w:ascii="Times New Roman" w:hAnsi="Times New Roman" w:cs="Times New Roman"/>
          <w:sz w:val="24"/>
        </w:rPr>
        <w:t>Research and Entrepreneurship Education, Mumbai</w:t>
      </w:r>
      <w:r w:rsidRPr="002A5F7A">
        <w:rPr>
          <w:rFonts w:ascii="Times New Roman" w:hAnsi="Times New Roman" w:cs="Times New Roman"/>
        </w:rPr>
        <w:t xml:space="preserve"> </w:t>
      </w:r>
      <w:r w:rsidR="00000000" w:rsidRPr="002A5F7A">
        <w:rPr>
          <w:rFonts w:ascii="Times New Roman" w:hAnsi="Times New Roman" w:cs="Times New Roman"/>
        </w:rPr>
        <w:br w:type="page"/>
      </w:r>
    </w:p>
    <w:p w14:paraId="19E432D5" w14:textId="77777777" w:rsidR="008877A1" w:rsidRPr="002A5F7A" w:rsidRDefault="00000000">
      <w:pPr>
        <w:spacing w:before="240" w:after="120" w:line="360" w:lineRule="auto"/>
        <w:rPr>
          <w:rFonts w:ascii="Times New Roman" w:hAnsi="Times New Roman" w:cs="Times New Roman"/>
        </w:rPr>
      </w:pPr>
      <w:r w:rsidRPr="002A5F7A">
        <w:rPr>
          <w:rFonts w:ascii="Times New Roman" w:hAnsi="Times New Roman" w:cs="Times New Roman"/>
          <w:b/>
          <w:sz w:val="28"/>
        </w:rPr>
        <w:lastRenderedPageBreak/>
        <w:t>1. INTRODUCTION AND EVOLUTION</w:t>
      </w:r>
    </w:p>
    <w:p w14:paraId="627EE121"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1.1 Definition of Button as an Economic Product</w:t>
      </w:r>
    </w:p>
    <w:p w14:paraId="388FA154"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A button, in economic terms, represents a fundamental fastening mechanism employed in the garment and apparel industry, serving both functional and aesthetic purposes. From a microeconomic perspective, buttons constitute a derived demand product, meaning their demand is not autonomous but directly proportional to the demand for finished apparel. Despite their diminutive scale, typically ranging from 8 to 100 millimeters in diameter, buttons constitute a substantial market with complex production economics and intricate supply chain dynamics.</w:t>
      </w:r>
    </w:p>
    <w:p w14:paraId="792CF465"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global buttons for clothing market was valued at USD 2,126.29 million in 2024, with projections to reach USD 2,923.21 million by 2033, reflecting a compound annual growth rate (CAGR) of 3.6%. This market exists in direct correlation with apparel industry expansion, which was valued at USD 1.77 trillion in 2024 and is anticipated to reach USD 2.26 trillion by 2030, expanding at a CAGR of 4.2%. Global button production reached approximately 5,000 million units in 2024, compared to 4,200 million units in 2019, demonstrating consistent demand growth proportional to apparel consumption patterns across global markets.</w:t>
      </w:r>
    </w:p>
    <w:p w14:paraId="4CA8C193"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1.2 Historical Evolution of Buttons</w:t>
      </w:r>
    </w:p>
    <w:p w14:paraId="0116FA0D"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button industry's development reflects remarkable technological progression and material innovation spanning over a century. India's Mehsi region in East Champaran district established the world's first organized button manufacturing cluster in 1905, when sub-inspector Bhulawan Lal initiated handcrafted pearl button production using oyster shells from the Sikrahna river. By World War II, Mehsi housed 160 factories employing 10,000 skilled artisans directly, with output reaching approximately 24 lakh gross annually. The subsequent introduction of synthetic plastic buttons made from polyester and nylon in the 1950s-1960s fundamentally disrupted this traditional industry, demonstrating microeconomic principles of technological substitution and comparative advantage.</w:t>
      </w:r>
    </w:p>
    <w:p w14:paraId="6983696F"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1.3 Types of Buttons</w:t>
      </w:r>
    </w:p>
    <w:p w14:paraId="7170C7AD"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Contemporary button manufacturing encompasses diverse material categories, each serving specific market segments and price points:</w:t>
      </w:r>
    </w:p>
    <w:p w14:paraId="0EA922EC"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lastRenderedPageBreak/>
        <w:t>Table 1.1: Classification of Buttons by Material Type</w:t>
      </w:r>
    </w:p>
    <w:tbl>
      <w:tblPr>
        <w:tblStyle w:val="TableGrid"/>
        <w:tblW w:w="0" w:type="auto"/>
        <w:jc w:val="center"/>
        <w:tblLook w:val="04A0" w:firstRow="1" w:lastRow="0" w:firstColumn="1" w:lastColumn="0" w:noHBand="0" w:noVBand="1"/>
      </w:tblPr>
      <w:tblGrid>
        <w:gridCol w:w="2077"/>
        <w:gridCol w:w="2077"/>
        <w:gridCol w:w="2077"/>
        <w:gridCol w:w="2077"/>
      </w:tblGrid>
      <w:tr w:rsidR="008877A1" w:rsidRPr="002A5F7A" w14:paraId="60FF88F1" w14:textId="77777777">
        <w:trPr>
          <w:jc w:val="center"/>
        </w:trPr>
        <w:tc>
          <w:tcPr>
            <w:tcW w:w="2077" w:type="dxa"/>
            <w:shd w:val="clear" w:color="auto" w:fill="1F4E79"/>
          </w:tcPr>
          <w:p w14:paraId="09AD80F1"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Button Type</w:t>
            </w:r>
          </w:p>
        </w:tc>
        <w:tc>
          <w:tcPr>
            <w:tcW w:w="2077" w:type="dxa"/>
            <w:shd w:val="clear" w:color="auto" w:fill="1F4E79"/>
          </w:tcPr>
          <w:p w14:paraId="603862C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Material Composition</w:t>
            </w:r>
          </w:p>
        </w:tc>
        <w:tc>
          <w:tcPr>
            <w:tcW w:w="2077" w:type="dxa"/>
            <w:shd w:val="clear" w:color="auto" w:fill="1F4E79"/>
          </w:tcPr>
          <w:p w14:paraId="6E328C90"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Primary Application</w:t>
            </w:r>
          </w:p>
        </w:tc>
        <w:tc>
          <w:tcPr>
            <w:tcW w:w="2077" w:type="dxa"/>
            <w:shd w:val="clear" w:color="auto" w:fill="1F4E79"/>
          </w:tcPr>
          <w:p w14:paraId="24475E76"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Market Share</w:t>
            </w:r>
          </w:p>
        </w:tc>
      </w:tr>
      <w:tr w:rsidR="008877A1" w:rsidRPr="002A5F7A" w14:paraId="190FE5CD" w14:textId="77777777">
        <w:trPr>
          <w:jc w:val="center"/>
        </w:trPr>
        <w:tc>
          <w:tcPr>
            <w:tcW w:w="2077" w:type="dxa"/>
          </w:tcPr>
          <w:p w14:paraId="4635689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Polyester Buttons</w:t>
            </w:r>
          </w:p>
        </w:tc>
        <w:tc>
          <w:tcPr>
            <w:tcW w:w="2077" w:type="dxa"/>
          </w:tcPr>
          <w:p w14:paraId="09FAE11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Unsaturated polyester resin</w:t>
            </w:r>
          </w:p>
        </w:tc>
        <w:tc>
          <w:tcPr>
            <w:tcW w:w="2077" w:type="dxa"/>
          </w:tcPr>
          <w:p w14:paraId="789A26F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Mass-market shirts, casual wear</w:t>
            </w:r>
          </w:p>
        </w:tc>
        <w:tc>
          <w:tcPr>
            <w:tcW w:w="2077" w:type="dxa"/>
          </w:tcPr>
          <w:p w14:paraId="4CD4C17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~50%</w:t>
            </w:r>
          </w:p>
        </w:tc>
      </w:tr>
      <w:tr w:rsidR="008877A1" w:rsidRPr="002A5F7A" w14:paraId="121EC9E4" w14:textId="77777777">
        <w:trPr>
          <w:jc w:val="center"/>
        </w:trPr>
        <w:tc>
          <w:tcPr>
            <w:tcW w:w="2077" w:type="dxa"/>
            <w:shd w:val="clear" w:color="auto" w:fill="D6DCE4"/>
          </w:tcPr>
          <w:p w14:paraId="11EFB9F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ABS Plastic</w:t>
            </w:r>
          </w:p>
        </w:tc>
        <w:tc>
          <w:tcPr>
            <w:tcW w:w="2077" w:type="dxa"/>
            <w:shd w:val="clear" w:color="auto" w:fill="D6DCE4"/>
          </w:tcPr>
          <w:p w14:paraId="34BD55E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Acrylonitrile-Butadiene-Styrene</w:t>
            </w:r>
          </w:p>
        </w:tc>
        <w:tc>
          <w:tcPr>
            <w:tcW w:w="2077" w:type="dxa"/>
            <w:shd w:val="clear" w:color="auto" w:fill="D6DCE4"/>
          </w:tcPr>
          <w:p w14:paraId="5E95425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Premium garments, uniforms</w:t>
            </w:r>
          </w:p>
        </w:tc>
        <w:tc>
          <w:tcPr>
            <w:tcW w:w="2077" w:type="dxa"/>
            <w:shd w:val="clear" w:color="auto" w:fill="D6DCE4"/>
          </w:tcPr>
          <w:p w14:paraId="1F1F62D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w:t>
            </w:r>
          </w:p>
        </w:tc>
      </w:tr>
      <w:tr w:rsidR="008877A1" w:rsidRPr="002A5F7A" w14:paraId="7A455B4F" w14:textId="77777777">
        <w:trPr>
          <w:jc w:val="center"/>
        </w:trPr>
        <w:tc>
          <w:tcPr>
            <w:tcW w:w="2077" w:type="dxa"/>
          </w:tcPr>
          <w:p w14:paraId="4233DAC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Metal Buttons</w:t>
            </w:r>
          </w:p>
        </w:tc>
        <w:tc>
          <w:tcPr>
            <w:tcW w:w="2077" w:type="dxa"/>
          </w:tcPr>
          <w:p w14:paraId="5A5C47C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Brass, steel, zinc alloy</w:t>
            </w:r>
          </w:p>
        </w:tc>
        <w:tc>
          <w:tcPr>
            <w:tcW w:w="2077" w:type="dxa"/>
          </w:tcPr>
          <w:p w14:paraId="2139739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Denim, outerwear, formal wear</w:t>
            </w:r>
          </w:p>
        </w:tc>
        <w:tc>
          <w:tcPr>
            <w:tcW w:w="2077" w:type="dxa"/>
          </w:tcPr>
          <w:p w14:paraId="3413E50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w:t>
            </w:r>
          </w:p>
        </w:tc>
      </w:tr>
      <w:tr w:rsidR="008877A1" w:rsidRPr="002A5F7A" w14:paraId="75639390" w14:textId="77777777">
        <w:trPr>
          <w:jc w:val="center"/>
        </w:trPr>
        <w:tc>
          <w:tcPr>
            <w:tcW w:w="2077" w:type="dxa"/>
            <w:shd w:val="clear" w:color="auto" w:fill="D6DCE4"/>
          </w:tcPr>
          <w:p w14:paraId="51CCE0E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Natural Shell</w:t>
            </w:r>
          </w:p>
        </w:tc>
        <w:tc>
          <w:tcPr>
            <w:tcW w:w="2077" w:type="dxa"/>
            <w:shd w:val="clear" w:color="auto" w:fill="D6DCE4"/>
          </w:tcPr>
          <w:p w14:paraId="3BDC094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Mother-of-pearl, coconut shell</w:t>
            </w:r>
          </w:p>
        </w:tc>
        <w:tc>
          <w:tcPr>
            <w:tcW w:w="2077" w:type="dxa"/>
            <w:shd w:val="clear" w:color="auto" w:fill="D6DCE4"/>
          </w:tcPr>
          <w:p w14:paraId="035BE39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Luxury tailoring, ethnic wear</w:t>
            </w:r>
          </w:p>
        </w:tc>
        <w:tc>
          <w:tcPr>
            <w:tcW w:w="2077" w:type="dxa"/>
            <w:shd w:val="clear" w:color="auto" w:fill="D6DCE4"/>
          </w:tcPr>
          <w:p w14:paraId="7736338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w:t>
            </w:r>
          </w:p>
        </w:tc>
      </w:tr>
      <w:tr w:rsidR="008877A1" w:rsidRPr="002A5F7A" w14:paraId="25A44A90" w14:textId="77777777">
        <w:trPr>
          <w:jc w:val="center"/>
        </w:trPr>
        <w:tc>
          <w:tcPr>
            <w:tcW w:w="2077" w:type="dxa"/>
          </w:tcPr>
          <w:p w14:paraId="0820ED2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Wooden Buttons</w:t>
            </w:r>
          </w:p>
        </w:tc>
        <w:tc>
          <w:tcPr>
            <w:tcW w:w="2077" w:type="dxa"/>
          </w:tcPr>
          <w:p w14:paraId="7235E18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Hardwoods with resin composite</w:t>
            </w:r>
          </w:p>
        </w:tc>
        <w:tc>
          <w:tcPr>
            <w:tcW w:w="2077" w:type="dxa"/>
          </w:tcPr>
          <w:p w14:paraId="1819F06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Eco-conscious brands</w:t>
            </w:r>
          </w:p>
        </w:tc>
        <w:tc>
          <w:tcPr>
            <w:tcW w:w="2077" w:type="dxa"/>
          </w:tcPr>
          <w:p w14:paraId="3627884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w:t>
            </w:r>
          </w:p>
        </w:tc>
      </w:tr>
      <w:tr w:rsidR="008877A1" w:rsidRPr="002A5F7A" w14:paraId="3AE88EF5" w14:textId="77777777">
        <w:trPr>
          <w:jc w:val="center"/>
        </w:trPr>
        <w:tc>
          <w:tcPr>
            <w:tcW w:w="2077" w:type="dxa"/>
            <w:shd w:val="clear" w:color="auto" w:fill="D6DCE4"/>
          </w:tcPr>
          <w:p w14:paraId="2ACD3B5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Snap Buttons</w:t>
            </w:r>
          </w:p>
        </w:tc>
        <w:tc>
          <w:tcPr>
            <w:tcW w:w="2077" w:type="dxa"/>
            <w:shd w:val="clear" w:color="auto" w:fill="D6DCE4"/>
          </w:tcPr>
          <w:p w14:paraId="1E699DC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Metal with fabric covering</w:t>
            </w:r>
          </w:p>
        </w:tc>
        <w:tc>
          <w:tcPr>
            <w:tcW w:w="2077" w:type="dxa"/>
            <w:shd w:val="clear" w:color="auto" w:fill="D6DCE4"/>
          </w:tcPr>
          <w:p w14:paraId="54D748E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Jackets, children's wear</w:t>
            </w:r>
          </w:p>
        </w:tc>
        <w:tc>
          <w:tcPr>
            <w:tcW w:w="2077" w:type="dxa"/>
            <w:shd w:val="clear" w:color="auto" w:fill="D6DCE4"/>
          </w:tcPr>
          <w:p w14:paraId="62142BF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w:t>
            </w:r>
          </w:p>
        </w:tc>
      </w:tr>
    </w:tbl>
    <w:p w14:paraId="06C12520" w14:textId="77777777" w:rsidR="008877A1" w:rsidRPr="002A5F7A" w:rsidRDefault="008877A1">
      <w:pPr>
        <w:spacing w:after="160"/>
        <w:rPr>
          <w:rFonts w:ascii="Times New Roman" w:hAnsi="Times New Roman" w:cs="Times New Roman"/>
        </w:rPr>
      </w:pPr>
    </w:p>
    <w:p w14:paraId="3AB9E11E"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1.4 Classification: Evergreen Product</w:t>
      </w:r>
    </w:p>
    <w:p w14:paraId="07FE00FC"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Buttons are classified as an </w:t>
      </w:r>
      <w:r w:rsidRPr="002A5F7A">
        <w:rPr>
          <w:rFonts w:ascii="Times New Roman" w:hAnsi="Times New Roman" w:cs="Times New Roman"/>
          <w:b/>
          <w:sz w:val="24"/>
        </w:rPr>
        <w:t>Evergreen product</w:t>
      </w:r>
      <w:r w:rsidRPr="002A5F7A">
        <w:rPr>
          <w:rFonts w:ascii="Times New Roman" w:hAnsi="Times New Roman" w:cs="Times New Roman"/>
          <w:sz w:val="24"/>
        </w:rPr>
        <w:t xml:space="preserve"> within the product lifecycle framework. Unlike sunrise products representing emerging technologies or sunset products facing declining demand, buttons demonstrate continuous, structural demand stemming from the fundamental need for garment fastening across all apparel categories. Global apparel consumption exhibits consistent growth at 3-4% annually, directly translating to stable button demand without the cyclical volatility typical of fashion accessories or seasonal products.</w:t>
      </w:r>
    </w:p>
    <w:p w14:paraId="36788928"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evergreen nature is evidenced by the fact that despite technological advances in alternative fasteners like velcro, zippers, and magnetic closures, buttons remain irreplaceable for formal wear, dress shirts, and traditional garments, ensuring sustained demand across economic cycles. This classification is further supported by the observation that button demand has remained resilient even during economic downturns, with only 2-3% volume contractions during recessions compared to 15-20% declines experienced by discretionary fashion accessories.</w:t>
      </w:r>
    </w:p>
    <w:p w14:paraId="4932938E"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1.5 Technological Evolution in Button Manufacturing</w:t>
      </w:r>
    </w:p>
    <w:p w14:paraId="34538820"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The technological trajectory of button manufacturing represents a fascinating case study in industrial economics. The transition from artisanal craft production to capital-intensive, technology-driven manufacturing has fundamentally transformed industry economics. Manual production in 1905 yielded 50-100 pieces per artisan daily, </w:t>
      </w:r>
      <w:r w:rsidRPr="002A5F7A">
        <w:rPr>
          <w:rFonts w:ascii="Times New Roman" w:hAnsi="Times New Roman" w:cs="Times New Roman"/>
          <w:sz w:val="24"/>
        </w:rPr>
        <w:lastRenderedPageBreak/>
        <w:t>whereas modern automated injection molding facilities produce over 20,000 gross (2.88 million pieces) daily with minimal labor input.</w:t>
      </w:r>
    </w:p>
    <w:p w14:paraId="039A0FCA"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Contemporary button manufacturing remains dominated by injection molding technology, with Italian firms Bonnetti and Giusi dominating global machinery supply. Advanced machinery incorporates IoT integration, real-time quality monitoring, and modular design allowing rapid mold changeover, which is critical for short-run customization demands in the premium segment. The button-making machines market valued at USD 150 million in 2024 is projected to reach USD 250 million by 2033, growing at 6.5% annually.</w:t>
      </w:r>
    </w:p>
    <w:p w14:paraId="485C7BE5" w14:textId="77777777" w:rsidR="008877A1" w:rsidRPr="002A5F7A" w:rsidRDefault="00000000">
      <w:pPr>
        <w:rPr>
          <w:rFonts w:ascii="Times New Roman" w:hAnsi="Times New Roman" w:cs="Times New Roman"/>
        </w:rPr>
      </w:pPr>
      <w:r w:rsidRPr="002A5F7A">
        <w:rPr>
          <w:rFonts w:ascii="Times New Roman" w:hAnsi="Times New Roman" w:cs="Times New Roman"/>
        </w:rPr>
        <w:br w:type="page"/>
      </w:r>
    </w:p>
    <w:p w14:paraId="1F09CCEC" w14:textId="77777777" w:rsidR="008877A1" w:rsidRPr="002A5F7A" w:rsidRDefault="00000000">
      <w:pPr>
        <w:spacing w:before="240" w:after="120" w:line="360" w:lineRule="auto"/>
        <w:rPr>
          <w:rFonts w:ascii="Times New Roman" w:hAnsi="Times New Roman" w:cs="Times New Roman"/>
        </w:rPr>
      </w:pPr>
      <w:r w:rsidRPr="002A5F7A">
        <w:rPr>
          <w:rFonts w:ascii="Times New Roman" w:hAnsi="Times New Roman" w:cs="Times New Roman"/>
          <w:b/>
          <w:sz w:val="28"/>
        </w:rPr>
        <w:lastRenderedPageBreak/>
        <w:t>2. BACKEND ANALYSIS</w:t>
      </w:r>
    </w:p>
    <w:p w14:paraId="56072D36"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2.1 Production Modality</w:t>
      </w:r>
    </w:p>
    <w:p w14:paraId="6C5E4249"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Button manufacturing employs sophisticated production technologies that have evolved significantly over the past decades. Injection molding constitutes the predominant manufacturing methodology for plastic and polyester buttons, accounting for approximately 80-85% of global production. The process unfolds through four sequential stages:</w:t>
      </w:r>
    </w:p>
    <w:p w14:paraId="7721EA45"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Clamping: The mold (typically steel for durability or aluminum for lower-volume production) is securely closed under hydraulic pressure.</w:t>
      </w:r>
    </w:p>
    <w:p w14:paraId="6B254DBA"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Injection: Melted plastic maintained at material-specific temperatures (ABS at 200-240°C, polypropylene at 160-180°C) is injected under high pressure into the mold cavity.</w:t>
      </w:r>
    </w:p>
    <w:p w14:paraId="1123D1BC"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Cooling: The plastic solidifies within the mold, with cycle times varying from 20-60 seconds depending on material properties and button geometry.</w:t>
      </w:r>
    </w:p>
    <w:p w14:paraId="2631C1D6"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Ejection: Finished buttons are extracted using ejection pins, typically requiring draft angles of 1-2 degrees to facilitate separation.</w:t>
      </w:r>
    </w:p>
    <w:p w14:paraId="5DE5EC7B"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This manufacturing paradigm demonstrates substantial economies of scale. Multi-cavity molds enable simultaneous production of 4-16 buttons per cycle, dramatically reducing per-unit production costs as output volume increases. The button-making machines market was valued at USD 150 million in 2024 and is projected to reach USD 250 million by 2033, growing at 6.5% annually, reflecting industry-wide automation intensification.</w:t>
      </w:r>
    </w:p>
    <w:p w14:paraId="58AE1E4C"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t>Table 2.1: Evolution of Button Manufacturing Technology</w:t>
      </w:r>
    </w:p>
    <w:tbl>
      <w:tblPr>
        <w:tblStyle w:val="TableGrid"/>
        <w:tblW w:w="0" w:type="auto"/>
        <w:jc w:val="center"/>
        <w:tblLook w:val="04A0" w:firstRow="1" w:lastRow="0" w:firstColumn="1" w:lastColumn="0" w:noHBand="0" w:noVBand="1"/>
      </w:tblPr>
      <w:tblGrid>
        <w:gridCol w:w="2077"/>
        <w:gridCol w:w="2077"/>
        <w:gridCol w:w="2077"/>
        <w:gridCol w:w="2077"/>
      </w:tblGrid>
      <w:tr w:rsidR="008877A1" w:rsidRPr="002A5F7A" w14:paraId="244674F4" w14:textId="77777777">
        <w:trPr>
          <w:jc w:val="center"/>
        </w:trPr>
        <w:tc>
          <w:tcPr>
            <w:tcW w:w="2077" w:type="dxa"/>
            <w:shd w:val="clear" w:color="auto" w:fill="1F4E79"/>
          </w:tcPr>
          <w:p w14:paraId="2ACD2DDD"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Era</w:t>
            </w:r>
          </w:p>
        </w:tc>
        <w:tc>
          <w:tcPr>
            <w:tcW w:w="2077" w:type="dxa"/>
            <w:shd w:val="clear" w:color="auto" w:fill="1F4E79"/>
          </w:tcPr>
          <w:p w14:paraId="1C65527A"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Technology</w:t>
            </w:r>
          </w:p>
        </w:tc>
        <w:tc>
          <w:tcPr>
            <w:tcW w:w="2077" w:type="dxa"/>
            <w:shd w:val="clear" w:color="auto" w:fill="1F4E79"/>
          </w:tcPr>
          <w:p w14:paraId="7619C7F7"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Output Capacity</w:t>
            </w:r>
          </w:p>
        </w:tc>
        <w:tc>
          <w:tcPr>
            <w:tcW w:w="2077" w:type="dxa"/>
            <w:shd w:val="clear" w:color="auto" w:fill="1F4E79"/>
          </w:tcPr>
          <w:p w14:paraId="5619510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Labor Requirement</w:t>
            </w:r>
          </w:p>
        </w:tc>
      </w:tr>
      <w:tr w:rsidR="008877A1" w:rsidRPr="002A5F7A" w14:paraId="594434D1" w14:textId="77777777">
        <w:trPr>
          <w:jc w:val="center"/>
        </w:trPr>
        <w:tc>
          <w:tcPr>
            <w:tcW w:w="2077" w:type="dxa"/>
          </w:tcPr>
          <w:p w14:paraId="3E016E5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Pre-1950s</w:t>
            </w:r>
          </w:p>
        </w:tc>
        <w:tc>
          <w:tcPr>
            <w:tcW w:w="2077" w:type="dxa"/>
          </w:tcPr>
          <w:p w14:paraId="57F2ADD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Hand-crafted (shell/bone)</w:t>
            </w:r>
          </w:p>
        </w:tc>
        <w:tc>
          <w:tcPr>
            <w:tcW w:w="2077" w:type="dxa"/>
          </w:tcPr>
          <w:p w14:paraId="1403C75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50-100 pieces/day</w:t>
            </w:r>
          </w:p>
        </w:tc>
        <w:tc>
          <w:tcPr>
            <w:tcW w:w="2077" w:type="dxa"/>
          </w:tcPr>
          <w:p w14:paraId="7003B50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High (10+ workers)</w:t>
            </w:r>
          </w:p>
        </w:tc>
      </w:tr>
      <w:tr w:rsidR="008877A1" w:rsidRPr="002A5F7A" w14:paraId="35EEF586" w14:textId="77777777">
        <w:trPr>
          <w:jc w:val="center"/>
        </w:trPr>
        <w:tc>
          <w:tcPr>
            <w:tcW w:w="2077" w:type="dxa"/>
            <w:shd w:val="clear" w:color="auto" w:fill="D6DCE4"/>
          </w:tcPr>
          <w:p w14:paraId="28AB122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1950s-1980s</w:t>
            </w:r>
          </w:p>
        </w:tc>
        <w:tc>
          <w:tcPr>
            <w:tcW w:w="2077" w:type="dxa"/>
            <w:shd w:val="clear" w:color="auto" w:fill="D6DCE4"/>
          </w:tcPr>
          <w:p w14:paraId="45E49FB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Semi-automatic molding</w:t>
            </w:r>
          </w:p>
        </w:tc>
        <w:tc>
          <w:tcPr>
            <w:tcW w:w="2077" w:type="dxa"/>
            <w:shd w:val="clear" w:color="auto" w:fill="D6DCE4"/>
          </w:tcPr>
          <w:p w14:paraId="6ED0DE4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5,000 gross/day</w:t>
            </w:r>
          </w:p>
        </w:tc>
        <w:tc>
          <w:tcPr>
            <w:tcW w:w="2077" w:type="dxa"/>
            <w:shd w:val="clear" w:color="auto" w:fill="D6DCE4"/>
          </w:tcPr>
          <w:p w14:paraId="5DEBB0E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Medium (5-8 workers)</w:t>
            </w:r>
          </w:p>
        </w:tc>
      </w:tr>
      <w:tr w:rsidR="008877A1" w:rsidRPr="002A5F7A" w14:paraId="3AE6F698" w14:textId="77777777">
        <w:trPr>
          <w:jc w:val="center"/>
        </w:trPr>
        <w:tc>
          <w:tcPr>
            <w:tcW w:w="2077" w:type="dxa"/>
          </w:tcPr>
          <w:p w14:paraId="2B4DDA7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1980s-2010s</w:t>
            </w:r>
          </w:p>
        </w:tc>
        <w:tc>
          <w:tcPr>
            <w:tcW w:w="2077" w:type="dxa"/>
          </w:tcPr>
          <w:p w14:paraId="64C2D75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Automatic injection molding</w:t>
            </w:r>
          </w:p>
        </w:tc>
        <w:tc>
          <w:tcPr>
            <w:tcW w:w="2077" w:type="dxa"/>
          </w:tcPr>
          <w:p w14:paraId="21CB920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15,000 gross/day</w:t>
            </w:r>
          </w:p>
        </w:tc>
        <w:tc>
          <w:tcPr>
            <w:tcW w:w="2077" w:type="dxa"/>
          </w:tcPr>
          <w:p w14:paraId="19ADC83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Low (3-5 workers)</w:t>
            </w:r>
          </w:p>
        </w:tc>
      </w:tr>
      <w:tr w:rsidR="008877A1" w:rsidRPr="002A5F7A" w14:paraId="4896CF07" w14:textId="77777777">
        <w:trPr>
          <w:jc w:val="center"/>
        </w:trPr>
        <w:tc>
          <w:tcPr>
            <w:tcW w:w="2077" w:type="dxa"/>
            <w:shd w:val="clear" w:color="auto" w:fill="D6DCE4"/>
          </w:tcPr>
          <w:p w14:paraId="498EEE6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2010s-Present</w:t>
            </w:r>
          </w:p>
        </w:tc>
        <w:tc>
          <w:tcPr>
            <w:tcW w:w="2077" w:type="dxa"/>
            <w:shd w:val="clear" w:color="auto" w:fill="D6DCE4"/>
          </w:tcPr>
          <w:p w14:paraId="0B5D90D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IoT-enabled automation</w:t>
            </w:r>
          </w:p>
        </w:tc>
        <w:tc>
          <w:tcPr>
            <w:tcW w:w="2077" w:type="dxa"/>
            <w:shd w:val="clear" w:color="auto" w:fill="D6DCE4"/>
          </w:tcPr>
          <w:p w14:paraId="1F8A0EE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20,000+ gross/day</w:t>
            </w:r>
          </w:p>
        </w:tc>
        <w:tc>
          <w:tcPr>
            <w:tcW w:w="2077" w:type="dxa"/>
            <w:shd w:val="clear" w:color="auto" w:fill="D6DCE4"/>
          </w:tcPr>
          <w:p w14:paraId="0E6B61E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Minimal (2-3 operators)</w:t>
            </w:r>
          </w:p>
        </w:tc>
      </w:tr>
    </w:tbl>
    <w:p w14:paraId="5C9114A9" w14:textId="77777777" w:rsidR="008877A1" w:rsidRPr="002A5F7A" w:rsidRDefault="008877A1">
      <w:pPr>
        <w:spacing w:after="160"/>
        <w:rPr>
          <w:rFonts w:ascii="Times New Roman" w:hAnsi="Times New Roman" w:cs="Times New Roman"/>
        </w:rPr>
      </w:pPr>
    </w:p>
    <w:p w14:paraId="7AF9FD73" w14:textId="77777777" w:rsidR="002A5F7A" w:rsidRPr="002A5F7A" w:rsidRDefault="002A5F7A">
      <w:pPr>
        <w:spacing w:after="160"/>
        <w:rPr>
          <w:rFonts w:ascii="Times New Roman" w:hAnsi="Times New Roman" w:cs="Times New Roman"/>
        </w:rPr>
      </w:pPr>
    </w:p>
    <w:p w14:paraId="44D27E6C"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lastRenderedPageBreak/>
        <w:t>2.2 Raw Materials and Factor Market</w:t>
      </w:r>
    </w:p>
    <w:p w14:paraId="5A48C5B5"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raw material landscape for button manufacturing reflects geographic cost advantages and material specialization. Polyester resin, derived from petroleum derivatives, remains the dominant input material accounting for approximately 50% of button production globally. India's strategic advantage in button manufacturing reflects low-cost polyester resin access through domestic petrochemical capacity from companies like Reliance Industries and GAIL.</w:t>
      </w:r>
    </w:p>
    <w:p w14:paraId="34D58DBE"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t>Table 2.2: Raw Material Sources and Costs</w:t>
      </w:r>
    </w:p>
    <w:tbl>
      <w:tblPr>
        <w:tblStyle w:val="TableGrid"/>
        <w:tblW w:w="0" w:type="auto"/>
        <w:jc w:val="center"/>
        <w:tblLook w:val="04A0" w:firstRow="1" w:lastRow="0" w:firstColumn="1" w:lastColumn="0" w:noHBand="0" w:noVBand="1"/>
      </w:tblPr>
      <w:tblGrid>
        <w:gridCol w:w="2077"/>
        <w:gridCol w:w="2077"/>
        <w:gridCol w:w="2077"/>
        <w:gridCol w:w="2077"/>
      </w:tblGrid>
      <w:tr w:rsidR="008877A1" w:rsidRPr="002A5F7A" w14:paraId="3335278E" w14:textId="77777777">
        <w:trPr>
          <w:jc w:val="center"/>
        </w:trPr>
        <w:tc>
          <w:tcPr>
            <w:tcW w:w="2077" w:type="dxa"/>
            <w:shd w:val="clear" w:color="auto" w:fill="1F4E79"/>
          </w:tcPr>
          <w:p w14:paraId="7FAB7575"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Material</w:t>
            </w:r>
          </w:p>
        </w:tc>
        <w:tc>
          <w:tcPr>
            <w:tcW w:w="2077" w:type="dxa"/>
            <w:shd w:val="clear" w:color="auto" w:fill="1F4E79"/>
          </w:tcPr>
          <w:p w14:paraId="6FC5F59F"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Source Region</w:t>
            </w:r>
          </w:p>
        </w:tc>
        <w:tc>
          <w:tcPr>
            <w:tcW w:w="2077" w:type="dxa"/>
            <w:shd w:val="clear" w:color="auto" w:fill="1F4E79"/>
          </w:tcPr>
          <w:p w14:paraId="186CD92A"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Cost (Rs./kg)</w:t>
            </w:r>
          </w:p>
        </w:tc>
        <w:tc>
          <w:tcPr>
            <w:tcW w:w="2077" w:type="dxa"/>
            <w:shd w:val="clear" w:color="auto" w:fill="1F4E79"/>
          </w:tcPr>
          <w:p w14:paraId="22D3D23D"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Application</w:t>
            </w:r>
          </w:p>
        </w:tc>
      </w:tr>
      <w:tr w:rsidR="008877A1" w:rsidRPr="002A5F7A" w14:paraId="61987284" w14:textId="77777777">
        <w:trPr>
          <w:jc w:val="center"/>
        </w:trPr>
        <w:tc>
          <w:tcPr>
            <w:tcW w:w="2077" w:type="dxa"/>
          </w:tcPr>
          <w:p w14:paraId="193B51A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Polyester Resin</w:t>
            </w:r>
          </w:p>
        </w:tc>
        <w:tc>
          <w:tcPr>
            <w:tcW w:w="2077" w:type="dxa"/>
          </w:tcPr>
          <w:p w14:paraId="13B8FA3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India, China, Middle East</w:t>
            </w:r>
          </w:p>
        </w:tc>
        <w:tc>
          <w:tcPr>
            <w:tcW w:w="2077" w:type="dxa"/>
          </w:tcPr>
          <w:p w14:paraId="3A63FBC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80-120</w:t>
            </w:r>
          </w:p>
        </w:tc>
        <w:tc>
          <w:tcPr>
            <w:tcW w:w="2077" w:type="dxa"/>
          </w:tcPr>
          <w:p w14:paraId="28BFCFE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Standard buttons</w:t>
            </w:r>
          </w:p>
        </w:tc>
      </w:tr>
      <w:tr w:rsidR="008877A1" w:rsidRPr="002A5F7A" w14:paraId="62FC472D" w14:textId="77777777">
        <w:trPr>
          <w:jc w:val="center"/>
        </w:trPr>
        <w:tc>
          <w:tcPr>
            <w:tcW w:w="2077" w:type="dxa"/>
            <w:shd w:val="clear" w:color="auto" w:fill="D6DCE4"/>
          </w:tcPr>
          <w:p w14:paraId="306E0D5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ABS Resin</w:t>
            </w:r>
          </w:p>
        </w:tc>
        <w:tc>
          <w:tcPr>
            <w:tcW w:w="2077" w:type="dxa"/>
            <w:shd w:val="clear" w:color="auto" w:fill="D6DCE4"/>
          </w:tcPr>
          <w:p w14:paraId="090399B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Taiwan, South Korea, Germany</w:t>
            </w:r>
          </w:p>
        </w:tc>
        <w:tc>
          <w:tcPr>
            <w:tcW w:w="2077" w:type="dxa"/>
            <w:shd w:val="clear" w:color="auto" w:fill="D6DCE4"/>
          </w:tcPr>
          <w:p w14:paraId="6A2C5DF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150-200</w:t>
            </w:r>
          </w:p>
        </w:tc>
        <w:tc>
          <w:tcPr>
            <w:tcW w:w="2077" w:type="dxa"/>
            <w:shd w:val="clear" w:color="auto" w:fill="D6DCE4"/>
          </w:tcPr>
          <w:p w14:paraId="431DA2D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Premium buttons</w:t>
            </w:r>
          </w:p>
        </w:tc>
      </w:tr>
      <w:tr w:rsidR="008877A1" w:rsidRPr="002A5F7A" w14:paraId="2C4DDD14" w14:textId="77777777">
        <w:trPr>
          <w:jc w:val="center"/>
        </w:trPr>
        <w:tc>
          <w:tcPr>
            <w:tcW w:w="2077" w:type="dxa"/>
          </w:tcPr>
          <w:p w14:paraId="034370F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Brass/Steel</w:t>
            </w:r>
          </w:p>
        </w:tc>
        <w:tc>
          <w:tcPr>
            <w:tcW w:w="2077" w:type="dxa"/>
          </w:tcPr>
          <w:p w14:paraId="4D51E25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India, Southeast Asia</w:t>
            </w:r>
          </w:p>
        </w:tc>
        <w:tc>
          <w:tcPr>
            <w:tcW w:w="2077" w:type="dxa"/>
          </w:tcPr>
          <w:p w14:paraId="5963F97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250-400</w:t>
            </w:r>
          </w:p>
        </w:tc>
        <w:tc>
          <w:tcPr>
            <w:tcW w:w="2077" w:type="dxa"/>
          </w:tcPr>
          <w:p w14:paraId="6B6567D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Metal buttons</w:t>
            </w:r>
          </w:p>
        </w:tc>
      </w:tr>
      <w:tr w:rsidR="008877A1" w:rsidRPr="002A5F7A" w14:paraId="0D1C38B2" w14:textId="77777777">
        <w:trPr>
          <w:jc w:val="center"/>
        </w:trPr>
        <w:tc>
          <w:tcPr>
            <w:tcW w:w="2077" w:type="dxa"/>
            <w:shd w:val="clear" w:color="auto" w:fill="D6DCE4"/>
          </w:tcPr>
          <w:p w14:paraId="42271BD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Mother-of-Pearl</w:t>
            </w:r>
          </w:p>
        </w:tc>
        <w:tc>
          <w:tcPr>
            <w:tcW w:w="2077" w:type="dxa"/>
            <w:shd w:val="clear" w:color="auto" w:fill="D6DCE4"/>
          </w:tcPr>
          <w:p w14:paraId="7162C25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Indonesia, Philippines</w:t>
            </w:r>
          </w:p>
        </w:tc>
        <w:tc>
          <w:tcPr>
            <w:tcW w:w="2077" w:type="dxa"/>
            <w:shd w:val="clear" w:color="auto" w:fill="D6DCE4"/>
          </w:tcPr>
          <w:p w14:paraId="74C6844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800-1,500</w:t>
            </w:r>
          </w:p>
        </w:tc>
        <w:tc>
          <w:tcPr>
            <w:tcW w:w="2077" w:type="dxa"/>
            <w:shd w:val="clear" w:color="auto" w:fill="D6DCE4"/>
          </w:tcPr>
          <w:p w14:paraId="7ECCAD2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Luxury segment</w:t>
            </w:r>
          </w:p>
        </w:tc>
      </w:tr>
      <w:tr w:rsidR="008877A1" w:rsidRPr="002A5F7A" w14:paraId="4BDFC65B" w14:textId="77777777">
        <w:trPr>
          <w:jc w:val="center"/>
        </w:trPr>
        <w:tc>
          <w:tcPr>
            <w:tcW w:w="2077" w:type="dxa"/>
          </w:tcPr>
          <w:p w14:paraId="0EB7B1B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Recycled PET</w:t>
            </w:r>
          </w:p>
        </w:tc>
        <w:tc>
          <w:tcPr>
            <w:tcW w:w="2077" w:type="dxa"/>
          </w:tcPr>
          <w:p w14:paraId="3828D9DF"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India, Europe</w:t>
            </w:r>
          </w:p>
        </w:tc>
        <w:tc>
          <w:tcPr>
            <w:tcW w:w="2077" w:type="dxa"/>
          </w:tcPr>
          <w:p w14:paraId="123B228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60-90</w:t>
            </w:r>
          </w:p>
        </w:tc>
        <w:tc>
          <w:tcPr>
            <w:tcW w:w="2077" w:type="dxa"/>
          </w:tcPr>
          <w:p w14:paraId="01A902DF"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Eco-friendly buttons</w:t>
            </w:r>
          </w:p>
        </w:tc>
      </w:tr>
    </w:tbl>
    <w:p w14:paraId="62C96461" w14:textId="77777777" w:rsidR="008877A1" w:rsidRPr="002A5F7A" w:rsidRDefault="008877A1">
      <w:pPr>
        <w:spacing w:after="160"/>
        <w:rPr>
          <w:rFonts w:ascii="Times New Roman" w:hAnsi="Times New Roman" w:cs="Times New Roman"/>
        </w:rPr>
      </w:pPr>
    </w:p>
    <w:p w14:paraId="631CC1F1"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labor market for button manufacturing exhibits relatively low skill-intensity compared to apparel assembly. Mold technicians and toolmakers represent high-skill personnel commanding Rs. 25,000-50,000 monthly in Mumbai and Delhi. Machine operators, classified as semi-skilled workers, earn Rs. 12,000-18,000 monthly. Quality inspectors receive Rs. 15,000-25,000 monthly, while logistics and packaging workers earn Rs. 8,000-12,000 monthly at the unskilled level.</w:t>
      </w:r>
    </w:p>
    <w:p w14:paraId="6149192F"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Capital markets and machinery finance play crucial roles in industry structure. Injection molding machine capital requirements range from Rs. 8-15 lakhs for semi-automatic units to Rs. 25-40 lakhs for fully automatic systems. Mold fabrication typically costs Rs. 50,000-2,00,000 depending on complexity. Total project capitalization for a small button manufacturing unit ranges from Rs. 16.03 million, with Internal Rate of Return (IRR) of 42% under efficient operations.</w:t>
      </w:r>
    </w:p>
    <w:p w14:paraId="4C5809B9"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2.3 Cost Structure Analysis</w:t>
      </w:r>
    </w:p>
    <w:p w14:paraId="6879DC64"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The cost structure of button manufacturing demonstrates classical microeconomic principles of fixed versus variable costs and economies of scale. For a typical 5,000 </w:t>
      </w:r>
      <w:r w:rsidRPr="002A5F7A">
        <w:rPr>
          <w:rFonts w:ascii="Times New Roman" w:hAnsi="Times New Roman" w:cs="Times New Roman"/>
          <w:sz w:val="24"/>
        </w:rPr>
        <w:lastRenderedPageBreak/>
        <w:t>gross per-day button manufacturing facility, the capital expenditure breakdown is as follows:</w:t>
      </w:r>
    </w:p>
    <w:p w14:paraId="2608CE88"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t>Table 2.3: Capital Expenditure (CAPEX) Breakdown</w:t>
      </w:r>
    </w:p>
    <w:tbl>
      <w:tblPr>
        <w:tblStyle w:val="TableGrid"/>
        <w:tblW w:w="0" w:type="auto"/>
        <w:jc w:val="center"/>
        <w:tblLook w:val="04A0" w:firstRow="1" w:lastRow="0" w:firstColumn="1" w:lastColumn="0" w:noHBand="0" w:noVBand="1"/>
      </w:tblPr>
      <w:tblGrid>
        <w:gridCol w:w="2770"/>
        <w:gridCol w:w="2770"/>
        <w:gridCol w:w="2770"/>
      </w:tblGrid>
      <w:tr w:rsidR="008877A1" w:rsidRPr="002A5F7A" w14:paraId="5C24F0C3" w14:textId="77777777">
        <w:trPr>
          <w:jc w:val="center"/>
        </w:trPr>
        <w:tc>
          <w:tcPr>
            <w:tcW w:w="2770" w:type="dxa"/>
            <w:shd w:val="clear" w:color="auto" w:fill="1F4E79"/>
          </w:tcPr>
          <w:p w14:paraId="3AE807F4"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Component</w:t>
            </w:r>
          </w:p>
        </w:tc>
        <w:tc>
          <w:tcPr>
            <w:tcW w:w="2770" w:type="dxa"/>
            <w:shd w:val="clear" w:color="auto" w:fill="1F4E79"/>
          </w:tcPr>
          <w:p w14:paraId="7285FF9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Cost (Rs. Lakhs)</w:t>
            </w:r>
          </w:p>
        </w:tc>
        <w:tc>
          <w:tcPr>
            <w:tcW w:w="2770" w:type="dxa"/>
            <w:shd w:val="clear" w:color="auto" w:fill="1F4E79"/>
          </w:tcPr>
          <w:p w14:paraId="19AB4FE6"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Percentage</w:t>
            </w:r>
          </w:p>
        </w:tc>
      </w:tr>
      <w:tr w:rsidR="008877A1" w:rsidRPr="002A5F7A" w14:paraId="2DD51D7B" w14:textId="77777777">
        <w:trPr>
          <w:jc w:val="center"/>
        </w:trPr>
        <w:tc>
          <w:tcPr>
            <w:tcW w:w="2770" w:type="dxa"/>
          </w:tcPr>
          <w:p w14:paraId="10354A4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Injection molding machines (3-4 units)</w:t>
            </w:r>
          </w:p>
        </w:tc>
        <w:tc>
          <w:tcPr>
            <w:tcW w:w="2770" w:type="dxa"/>
          </w:tcPr>
          <w:p w14:paraId="676E31D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30-40</w:t>
            </w:r>
          </w:p>
        </w:tc>
        <w:tc>
          <w:tcPr>
            <w:tcW w:w="2770" w:type="dxa"/>
          </w:tcPr>
          <w:p w14:paraId="097A247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40-45%</w:t>
            </w:r>
          </w:p>
        </w:tc>
      </w:tr>
      <w:tr w:rsidR="008877A1" w:rsidRPr="002A5F7A" w14:paraId="701190E9" w14:textId="77777777">
        <w:trPr>
          <w:jc w:val="center"/>
        </w:trPr>
        <w:tc>
          <w:tcPr>
            <w:tcW w:w="2770" w:type="dxa"/>
            <w:shd w:val="clear" w:color="auto" w:fill="D6DCE4"/>
          </w:tcPr>
          <w:p w14:paraId="63D8B90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Molds and tooling</w:t>
            </w:r>
          </w:p>
        </w:tc>
        <w:tc>
          <w:tcPr>
            <w:tcW w:w="2770" w:type="dxa"/>
            <w:shd w:val="clear" w:color="auto" w:fill="D6DCE4"/>
          </w:tcPr>
          <w:p w14:paraId="0C3EDDA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8-12</w:t>
            </w:r>
          </w:p>
        </w:tc>
        <w:tc>
          <w:tcPr>
            <w:tcW w:w="2770" w:type="dxa"/>
            <w:shd w:val="clear" w:color="auto" w:fill="D6DCE4"/>
          </w:tcPr>
          <w:p w14:paraId="62C9BAD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10-15%</w:t>
            </w:r>
          </w:p>
        </w:tc>
      </w:tr>
      <w:tr w:rsidR="008877A1" w:rsidRPr="002A5F7A" w14:paraId="4B5EB57D" w14:textId="77777777">
        <w:trPr>
          <w:jc w:val="center"/>
        </w:trPr>
        <w:tc>
          <w:tcPr>
            <w:tcW w:w="2770" w:type="dxa"/>
          </w:tcPr>
          <w:p w14:paraId="6CF12D6F"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Finishing and trimming machines</w:t>
            </w:r>
          </w:p>
        </w:tc>
        <w:tc>
          <w:tcPr>
            <w:tcW w:w="2770" w:type="dxa"/>
          </w:tcPr>
          <w:p w14:paraId="7B68DFA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5-8</w:t>
            </w:r>
          </w:p>
        </w:tc>
        <w:tc>
          <w:tcPr>
            <w:tcW w:w="2770" w:type="dxa"/>
          </w:tcPr>
          <w:p w14:paraId="0158EBE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7-10%</w:t>
            </w:r>
          </w:p>
        </w:tc>
      </w:tr>
      <w:tr w:rsidR="008877A1" w:rsidRPr="002A5F7A" w14:paraId="23897285" w14:textId="77777777">
        <w:trPr>
          <w:jc w:val="center"/>
        </w:trPr>
        <w:tc>
          <w:tcPr>
            <w:tcW w:w="2770" w:type="dxa"/>
            <w:shd w:val="clear" w:color="auto" w:fill="D6DCE4"/>
          </w:tcPr>
          <w:p w14:paraId="0B655B9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Quality control equipment</w:t>
            </w:r>
          </w:p>
        </w:tc>
        <w:tc>
          <w:tcPr>
            <w:tcW w:w="2770" w:type="dxa"/>
            <w:shd w:val="clear" w:color="auto" w:fill="D6DCE4"/>
          </w:tcPr>
          <w:p w14:paraId="4A76C93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2-3</w:t>
            </w:r>
          </w:p>
        </w:tc>
        <w:tc>
          <w:tcPr>
            <w:tcW w:w="2770" w:type="dxa"/>
            <w:shd w:val="clear" w:color="auto" w:fill="D6DCE4"/>
          </w:tcPr>
          <w:p w14:paraId="4A11AF9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3-5%</w:t>
            </w:r>
          </w:p>
        </w:tc>
      </w:tr>
      <w:tr w:rsidR="008877A1" w:rsidRPr="002A5F7A" w14:paraId="4FA38D92" w14:textId="77777777">
        <w:trPr>
          <w:jc w:val="center"/>
        </w:trPr>
        <w:tc>
          <w:tcPr>
            <w:tcW w:w="2770" w:type="dxa"/>
          </w:tcPr>
          <w:p w14:paraId="6AFB232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Infrastructure (building, utilities)</w:t>
            </w:r>
          </w:p>
        </w:tc>
        <w:tc>
          <w:tcPr>
            <w:tcW w:w="2770" w:type="dxa"/>
          </w:tcPr>
          <w:p w14:paraId="3F81141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12-15</w:t>
            </w:r>
          </w:p>
        </w:tc>
        <w:tc>
          <w:tcPr>
            <w:tcW w:w="2770" w:type="dxa"/>
          </w:tcPr>
          <w:p w14:paraId="55EBBC4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15-18%</w:t>
            </w:r>
          </w:p>
        </w:tc>
      </w:tr>
      <w:tr w:rsidR="008877A1" w:rsidRPr="002A5F7A" w14:paraId="0D930FE2" w14:textId="77777777">
        <w:trPr>
          <w:jc w:val="center"/>
        </w:trPr>
        <w:tc>
          <w:tcPr>
            <w:tcW w:w="2770" w:type="dxa"/>
            <w:shd w:val="clear" w:color="auto" w:fill="D6DCE4"/>
          </w:tcPr>
          <w:p w14:paraId="507AEB5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Working capital (3 months)</w:t>
            </w:r>
          </w:p>
        </w:tc>
        <w:tc>
          <w:tcPr>
            <w:tcW w:w="2770" w:type="dxa"/>
            <w:shd w:val="clear" w:color="auto" w:fill="D6DCE4"/>
          </w:tcPr>
          <w:p w14:paraId="16A31F2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8-10</w:t>
            </w:r>
          </w:p>
        </w:tc>
        <w:tc>
          <w:tcPr>
            <w:tcW w:w="2770" w:type="dxa"/>
            <w:shd w:val="clear" w:color="auto" w:fill="D6DCE4"/>
          </w:tcPr>
          <w:p w14:paraId="0AEEFE0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10-12%</w:t>
            </w:r>
          </w:p>
        </w:tc>
      </w:tr>
      <w:tr w:rsidR="008877A1" w:rsidRPr="002A5F7A" w14:paraId="71CD9CA0" w14:textId="77777777">
        <w:trPr>
          <w:jc w:val="center"/>
        </w:trPr>
        <w:tc>
          <w:tcPr>
            <w:tcW w:w="2770" w:type="dxa"/>
          </w:tcPr>
          <w:p w14:paraId="5DD5085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Total CAPEX</w:t>
            </w:r>
          </w:p>
        </w:tc>
        <w:tc>
          <w:tcPr>
            <w:tcW w:w="2770" w:type="dxa"/>
          </w:tcPr>
          <w:p w14:paraId="50AD2CF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65-88</w:t>
            </w:r>
          </w:p>
        </w:tc>
        <w:tc>
          <w:tcPr>
            <w:tcW w:w="2770" w:type="dxa"/>
          </w:tcPr>
          <w:p w14:paraId="1EA3179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100%</w:t>
            </w:r>
          </w:p>
        </w:tc>
      </w:tr>
    </w:tbl>
    <w:p w14:paraId="77FEA7F9" w14:textId="77777777" w:rsidR="008877A1" w:rsidRPr="002A5F7A" w:rsidRDefault="008877A1">
      <w:pPr>
        <w:spacing w:after="160"/>
        <w:rPr>
          <w:rFonts w:ascii="Times New Roman" w:hAnsi="Times New Roman" w:cs="Times New Roman"/>
        </w:rPr>
      </w:pPr>
    </w:p>
    <w:p w14:paraId="7F7EF36A"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t>Table 2.4: Operating Expenditure (OPEX) Structure</w:t>
      </w:r>
    </w:p>
    <w:tbl>
      <w:tblPr>
        <w:tblStyle w:val="TableGrid"/>
        <w:tblW w:w="0" w:type="auto"/>
        <w:jc w:val="center"/>
        <w:tblLook w:val="04A0" w:firstRow="1" w:lastRow="0" w:firstColumn="1" w:lastColumn="0" w:noHBand="0" w:noVBand="1"/>
      </w:tblPr>
      <w:tblGrid>
        <w:gridCol w:w="2077"/>
        <w:gridCol w:w="2077"/>
        <w:gridCol w:w="2077"/>
        <w:gridCol w:w="2077"/>
      </w:tblGrid>
      <w:tr w:rsidR="008877A1" w:rsidRPr="002A5F7A" w14:paraId="0A957454" w14:textId="77777777">
        <w:trPr>
          <w:jc w:val="center"/>
        </w:trPr>
        <w:tc>
          <w:tcPr>
            <w:tcW w:w="2077" w:type="dxa"/>
            <w:shd w:val="clear" w:color="auto" w:fill="1F4E79"/>
          </w:tcPr>
          <w:p w14:paraId="444D225E"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Cost Category</w:t>
            </w:r>
          </w:p>
        </w:tc>
        <w:tc>
          <w:tcPr>
            <w:tcW w:w="2077" w:type="dxa"/>
            <w:shd w:val="clear" w:color="auto" w:fill="1F4E79"/>
          </w:tcPr>
          <w:p w14:paraId="5E2C4989"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Monthly (Rs. Lakhs)</w:t>
            </w:r>
          </w:p>
        </w:tc>
        <w:tc>
          <w:tcPr>
            <w:tcW w:w="2077" w:type="dxa"/>
            <w:shd w:val="clear" w:color="auto" w:fill="1F4E79"/>
          </w:tcPr>
          <w:p w14:paraId="640E015B"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Per Piece (Paisa)</w:t>
            </w:r>
          </w:p>
        </w:tc>
        <w:tc>
          <w:tcPr>
            <w:tcW w:w="2077" w:type="dxa"/>
            <w:shd w:val="clear" w:color="auto" w:fill="1F4E79"/>
          </w:tcPr>
          <w:p w14:paraId="0856F22E"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Percentage</w:t>
            </w:r>
          </w:p>
        </w:tc>
      </w:tr>
      <w:tr w:rsidR="008877A1" w:rsidRPr="002A5F7A" w14:paraId="501A61C0" w14:textId="77777777">
        <w:trPr>
          <w:jc w:val="center"/>
        </w:trPr>
        <w:tc>
          <w:tcPr>
            <w:tcW w:w="2077" w:type="dxa"/>
          </w:tcPr>
          <w:p w14:paraId="229C750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Raw material (polyester resin)</w:t>
            </w:r>
          </w:p>
        </w:tc>
        <w:tc>
          <w:tcPr>
            <w:tcW w:w="2077" w:type="dxa"/>
          </w:tcPr>
          <w:p w14:paraId="6742AEC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2.5-3.2</w:t>
            </w:r>
          </w:p>
        </w:tc>
        <w:tc>
          <w:tcPr>
            <w:tcW w:w="2077" w:type="dxa"/>
          </w:tcPr>
          <w:p w14:paraId="0438510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1.67-2.13</w:t>
            </w:r>
          </w:p>
        </w:tc>
        <w:tc>
          <w:tcPr>
            <w:tcW w:w="2077" w:type="dxa"/>
          </w:tcPr>
          <w:p w14:paraId="7F89449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40-45%</w:t>
            </w:r>
          </w:p>
        </w:tc>
      </w:tr>
      <w:tr w:rsidR="008877A1" w:rsidRPr="002A5F7A" w14:paraId="6D8EC5C1" w14:textId="77777777">
        <w:trPr>
          <w:jc w:val="center"/>
        </w:trPr>
        <w:tc>
          <w:tcPr>
            <w:tcW w:w="2077" w:type="dxa"/>
            <w:shd w:val="clear" w:color="auto" w:fill="D6DCE4"/>
          </w:tcPr>
          <w:p w14:paraId="1F24E27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Labor (operators, QC)</w:t>
            </w:r>
          </w:p>
        </w:tc>
        <w:tc>
          <w:tcPr>
            <w:tcW w:w="2077" w:type="dxa"/>
            <w:shd w:val="clear" w:color="auto" w:fill="D6DCE4"/>
          </w:tcPr>
          <w:p w14:paraId="650F947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1.2-1.5</w:t>
            </w:r>
          </w:p>
        </w:tc>
        <w:tc>
          <w:tcPr>
            <w:tcW w:w="2077" w:type="dxa"/>
            <w:shd w:val="clear" w:color="auto" w:fill="D6DCE4"/>
          </w:tcPr>
          <w:p w14:paraId="21BE7DE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0.80-1.00</w:t>
            </w:r>
          </w:p>
        </w:tc>
        <w:tc>
          <w:tcPr>
            <w:tcW w:w="2077" w:type="dxa"/>
            <w:shd w:val="clear" w:color="auto" w:fill="D6DCE4"/>
          </w:tcPr>
          <w:p w14:paraId="23F0F25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15-18%</w:t>
            </w:r>
          </w:p>
        </w:tc>
      </w:tr>
      <w:tr w:rsidR="008877A1" w:rsidRPr="002A5F7A" w14:paraId="3DCCFF7D" w14:textId="77777777">
        <w:trPr>
          <w:jc w:val="center"/>
        </w:trPr>
        <w:tc>
          <w:tcPr>
            <w:tcW w:w="2077" w:type="dxa"/>
          </w:tcPr>
          <w:p w14:paraId="1945738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Utilities (electricity, water)</w:t>
            </w:r>
          </w:p>
        </w:tc>
        <w:tc>
          <w:tcPr>
            <w:tcW w:w="2077" w:type="dxa"/>
          </w:tcPr>
          <w:p w14:paraId="186CCF0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0.6-0.8</w:t>
            </w:r>
          </w:p>
        </w:tc>
        <w:tc>
          <w:tcPr>
            <w:tcW w:w="2077" w:type="dxa"/>
          </w:tcPr>
          <w:p w14:paraId="214F8EC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0.40-0.53</w:t>
            </w:r>
          </w:p>
        </w:tc>
        <w:tc>
          <w:tcPr>
            <w:tcW w:w="2077" w:type="dxa"/>
          </w:tcPr>
          <w:p w14:paraId="0425EBA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7-10%</w:t>
            </w:r>
          </w:p>
        </w:tc>
      </w:tr>
      <w:tr w:rsidR="008877A1" w:rsidRPr="002A5F7A" w14:paraId="32C2CEBB" w14:textId="77777777">
        <w:trPr>
          <w:jc w:val="center"/>
        </w:trPr>
        <w:tc>
          <w:tcPr>
            <w:tcW w:w="2077" w:type="dxa"/>
            <w:shd w:val="clear" w:color="auto" w:fill="D6DCE4"/>
          </w:tcPr>
          <w:p w14:paraId="7C72383F"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Packaging materials</w:t>
            </w:r>
          </w:p>
        </w:tc>
        <w:tc>
          <w:tcPr>
            <w:tcW w:w="2077" w:type="dxa"/>
            <w:shd w:val="clear" w:color="auto" w:fill="D6DCE4"/>
          </w:tcPr>
          <w:p w14:paraId="44E4C0E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0.5-0.7</w:t>
            </w:r>
          </w:p>
        </w:tc>
        <w:tc>
          <w:tcPr>
            <w:tcW w:w="2077" w:type="dxa"/>
            <w:shd w:val="clear" w:color="auto" w:fill="D6DCE4"/>
          </w:tcPr>
          <w:p w14:paraId="16C9F74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0.33-0.47</w:t>
            </w:r>
          </w:p>
        </w:tc>
        <w:tc>
          <w:tcPr>
            <w:tcW w:w="2077" w:type="dxa"/>
            <w:shd w:val="clear" w:color="auto" w:fill="D6DCE4"/>
          </w:tcPr>
          <w:p w14:paraId="5D20149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6-8%</w:t>
            </w:r>
          </w:p>
        </w:tc>
      </w:tr>
      <w:tr w:rsidR="008877A1" w:rsidRPr="002A5F7A" w14:paraId="226F8FAA" w14:textId="77777777">
        <w:trPr>
          <w:jc w:val="center"/>
        </w:trPr>
        <w:tc>
          <w:tcPr>
            <w:tcW w:w="2077" w:type="dxa"/>
          </w:tcPr>
          <w:p w14:paraId="7681A8A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Maintenance and repairs</w:t>
            </w:r>
          </w:p>
        </w:tc>
        <w:tc>
          <w:tcPr>
            <w:tcW w:w="2077" w:type="dxa"/>
          </w:tcPr>
          <w:p w14:paraId="6730353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0.3-0.4</w:t>
            </w:r>
          </w:p>
        </w:tc>
        <w:tc>
          <w:tcPr>
            <w:tcW w:w="2077" w:type="dxa"/>
          </w:tcPr>
          <w:p w14:paraId="3F77108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0.20-0.27</w:t>
            </w:r>
          </w:p>
        </w:tc>
        <w:tc>
          <w:tcPr>
            <w:tcW w:w="2077" w:type="dxa"/>
          </w:tcPr>
          <w:p w14:paraId="55C284D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4-5%</w:t>
            </w:r>
          </w:p>
        </w:tc>
      </w:tr>
      <w:tr w:rsidR="008877A1" w:rsidRPr="002A5F7A" w14:paraId="11328C16" w14:textId="77777777">
        <w:trPr>
          <w:jc w:val="center"/>
        </w:trPr>
        <w:tc>
          <w:tcPr>
            <w:tcW w:w="2077" w:type="dxa"/>
            <w:shd w:val="clear" w:color="auto" w:fill="D6DCE4"/>
          </w:tcPr>
          <w:p w14:paraId="2CE738E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Administrative overheads</w:t>
            </w:r>
          </w:p>
        </w:tc>
        <w:tc>
          <w:tcPr>
            <w:tcW w:w="2077" w:type="dxa"/>
            <w:shd w:val="clear" w:color="auto" w:fill="D6DCE4"/>
          </w:tcPr>
          <w:p w14:paraId="3D7E24E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0.4-0.6</w:t>
            </w:r>
          </w:p>
        </w:tc>
        <w:tc>
          <w:tcPr>
            <w:tcW w:w="2077" w:type="dxa"/>
            <w:shd w:val="clear" w:color="auto" w:fill="D6DCE4"/>
          </w:tcPr>
          <w:p w14:paraId="2B5B3E0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0.27-0.40</w:t>
            </w:r>
          </w:p>
        </w:tc>
        <w:tc>
          <w:tcPr>
            <w:tcW w:w="2077" w:type="dxa"/>
            <w:shd w:val="clear" w:color="auto" w:fill="D6DCE4"/>
          </w:tcPr>
          <w:p w14:paraId="6666CF7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5-7%</w:t>
            </w:r>
          </w:p>
        </w:tc>
      </w:tr>
      <w:tr w:rsidR="008877A1" w:rsidRPr="002A5F7A" w14:paraId="572A7A62" w14:textId="77777777">
        <w:trPr>
          <w:jc w:val="center"/>
        </w:trPr>
        <w:tc>
          <w:tcPr>
            <w:tcW w:w="2077" w:type="dxa"/>
          </w:tcPr>
          <w:p w14:paraId="5B34D8C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Total Monthly OPEX</w:t>
            </w:r>
          </w:p>
        </w:tc>
        <w:tc>
          <w:tcPr>
            <w:tcW w:w="2077" w:type="dxa"/>
          </w:tcPr>
          <w:p w14:paraId="156CE0E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5.5-7.2</w:t>
            </w:r>
          </w:p>
        </w:tc>
        <w:tc>
          <w:tcPr>
            <w:tcW w:w="2077" w:type="dxa"/>
          </w:tcPr>
          <w:p w14:paraId="0CFD920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3.67-4.80</w:t>
            </w:r>
          </w:p>
        </w:tc>
        <w:tc>
          <w:tcPr>
            <w:tcW w:w="2077" w:type="dxa"/>
          </w:tcPr>
          <w:p w14:paraId="76D7FDA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100%</w:t>
            </w:r>
          </w:p>
        </w:tc>
      </w:tr>
    </w:tbl>
    <w:p w14:paraId="13A5DA8B" w14:textId="77777777" w:rsidR="008877A1" w:rsidRPr="002A5F7A" w:rsidRDefault="008877A1">
      <w:pPr>
        <w:spacing w:after="160"/>
        <w:rPr>
          <w:rFonts w:ascii="Times New Roman" w:hAnsi="Times New Roman" w:cs="Times New Roman"/>
        </w:rPr>
      </w:pPr>
    </w:p>
    <w:p w14:paraId="5CBDD146"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The fixed costs comprising factory rent, insurance, administrative salaries, and depreciation amount to approximately Rs. 0.8-1.2 lakhs monthly, representing 15-18% of total OPEX. Variable costs including raw materials, direct labor, utilities, and packaging constitute Rs. 4.7-6.0 lakhs monthly, representing 82-85% of OPEX. This cost structure demonstrates button manufacturing's leverage to volume: at 50% capacity utilization, average cost reaches Rs. 5.5-6.5 per gross, but at 85% capacity, average cost declines to Rs. 3.8-4.2 per gross, reflecting strong </w:t>
      </w:r>
      <w:r w:rsidRPr="002A5F7A">
        <w:rPr>
          <w:rFonts w:ascii="Times New Roman" w:hAnsi="Times New Roman" w:cs="Times New Roman"/>
          <w:b/>
          <w:sz w:val="24"/>
        </w:rPr>
        <w:t>economies of scale</w:t>
      </w:r>
      <w:r w:rsidRPr="002A5F7A">
        <w:rPr>
          <w:rFonts w:ascii="Times New Roman" w:hAnsi="Times New Roman" w:cs="Times New Roman"/>
          <w:sz w:val="24"/>
        </w:rPr>
        <w:t>.</w:t>
      </w:r>
    </w:p>
    <w:p w14:paraId="79124EE8"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following figure illustrates the behavior of Average Total Cost (ATC), Marginal Cost (MC), and Average Variable Cost (AVC) curves in button manufacturing:</w:t>
      </w:r>
    </w:p>
    <w:p w14:paraId="4E6A0A60" w14:textId="77777777" w:rsidR="008877A1" w:rsidRPr="002A5F7A" w:rsidRDefault="00000000">
      <w:pPr>
        <w:jc w:val="center"/>
        <w:rPr>
          <w:rFonts w:ascii="Times New Roman" w:hAnsi="Times New Roman" w:cs="Times New Roman"/>
        </w:rPr>
      </w:pPr>
      <w:r w:rsidRPr="002A5F7A">
        <w:rPr>
          <w:rFonts w:ascii="Times New Roman" w:hAnsi="Times New Roman" w:cs="Times New Roman"/>
          <w:noProof/>
        </w:rPr>
        <w:lastRenderedPageBreak/>
        <w:drawing>
          <wp:inline distT="0" distB="0" distL="0" distR="0" wp14:anchorId="4189030F" wp14:editId="4047354F">
            <wp:extent cx="4572000" cy="2905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572000" cy="2905432"/>
                    </a:xfrm>
                    <a:prstGeom prst="rect">
                      <a:avLst/>
                    </a:prstGeom>
                  </pic:spPr>
                </pic:pic>
              </a:graphicData>
            </a:graphic>
          </wp:inline>
        </w:drawing>
      </w:r>
    </w:p>
    <w:p w14:paraId="551CD486" w14:textId="77777777" w:rsidR="008877A1" w:rsidRPr="002A5F7A" w:rsidRDefault="00000000">
      <w:pPr>
        <w:jc w:val="center"/>
        <w:rPr>
          <w:rFonts w:ascii="Times New Roman" w:hAnsi="Times New Roman" w:cs="Times New Roman"/>
        </w:rPr>
      </w:pPr>
      <w:r w:rsidRPr="002A5F7A">
        <w:rPr>
          <w:rFonts w:ascii="Times New Roman" w:hAnsi="Times New Roman" w:cs="Times New Roman"/>
          <w:i/>
          <w:sz w:val="20"/>
        </w:rPr>
        <w:t>Figure 2.1: Cost Curves in Button Manufacturing</w:t>
      </w:r>
    </w:p>
    <w:p w14:paraId="4E11F5BD"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2.4 Supply Chain Analysis</w:t>
      </w:r>
    </w:p>
    <w:p w14:paraId="220D446E"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button supply chain exhibits a three-tier architecture connecting raw material suppliers to end consumers through multiple intermediaries. The backend supply chain comprises raw material suppliers (petrochemical companies, metal suppliers, natural material collectors), button manufacturers, and wholesalers/distributors. The frontend supply chain connects wholesalers to garment manufacturers, apparel retailers, and ultimately end consumers.</w:t>
      </w:r>
    </w:p>
    <w:p w14:paraId="7206F198" w14:textId="77777777" w:rsidR="008877A1" w:rsidRPr="002A5F7A" w:rsidRDefault="00000000">
      <w:pPr>
        <w:jc w:val="center"/>
        <w:rPr>
          <w:rFonts w:ascii="Times New Roman" w:hAnsi="Times New Roman" w:cs="Times New Roman"/>
        </w:rPr>
      </w:pPr>
      <w:r w:rsidRPr="002A5F7A">
        <w:rPr>
          <w:rFonts w:ascii="Times New Roman" w:hAnsi="Times New Roman" w:cs="Times New Roman"/>
          <w:noProof/>
        </w:rPr>
        <w:drawing>
          <wp:inline distT="0" distB="0" distL="0" distR="0" wp14:anchorId="06D4EFE5" wp14:editId="3203CFA7">
            <wp:extent cx="4754880" cy="28867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754880" cy="2886786"/>
                    </a:xfrm>
                    <a:prstGeom prst="rect">
                      <a:avLst/>
                    </a:prstGeom>
                  </pic:spPr>
                </pic:pic>
              </a:graphicData>
            </a:graphic>
          </wp:inline>
        </w:drawing>
      </w:r>
    </w:p>
    <w:p w14:paraId="0F6F58EC" w14:textId="77777777" w:rsidR="008877A1" w:rsidRPr="002A5F7A" w:rsidRDefault="00000000">
      <w:pPr>
        <w:jc w:val="center"/>
        <w:rPr>
          <w:rFonts w:ascii="Times New Roman" w:hAnsi="Times New Roman" w:cs="Times New Roman"/>
          <w:b/>
          <w:bCs/>
        </w:rPr>
      </w:pPr>
      <w:r w:rsidRPr="002A5F7A">
        <w:rPr>
          <w:rFonts w:ascii="Times New Roman" w:hAnsi="Times New Roman" w:cs="Times New Roman"/>
          <w:b/>
          <w:bCs/>
          <w:i/>
          <w:sz w:val="20"/>
        </w:rPr>
        <w:t>Figure 2.2: Button Supply Chain Architecture</w:t>
      </w:r>
    </w:p>
    <w:p w14:paraId="3DB2FD39"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lastRenderedPageBreak/>
        <w:t>In Mumbai, wholesale button markets are concentrated in areas such as Mulji Jetha Market in Kalbadevi, Crawford Market, and Mangaldas Market. These markets serve as critical aggregation points where garment manufacturers can source diverse button varieties from multiple suppliers. Typical wholesaler margins range from 8-12% between manufacturer wholesale price (Rs. 2.50-3.00 per piece) and retail price to garment makers (Rs. 2.75-3.50 per piece).</w:t>
      </w:r>
    </w:p>
    <w:p w14:paraId="16A942FC"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Large Indian button manufacturers exhibit partial backward integration. Bhansali Buttons, operating at 20,000 gross per day capacity, maintains in-house resin processing and quality labs, reducing input costs by 8-15% versus purchasing pre-processed materials.</w:t>
      </w:r>
    </w:p>
    <w:p w14:paraId="767B77C3"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2.5 Government Policies</w:t>
      </w:r>
    </w:p>
    <w:p w14:paraId="79AE7936"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regulatory framework governing button manufacturing in India encompasses taxation, MSME support, and environmental compliance:</w:t>
      </w:r>
    </w:p>
    <w:p w14:paraId="356CF2BF"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Goods and Services Tax (GST): Buttons (HS Code 9606) are subject to </w:t>
      </w:r>
      <w:r w:rsidRPr="002A5F7A">
        <w:rPr>
          <w:rFonts w:ascii="Times New Roman" w:hAnsi="Times New Roman" w:cs="Times New Roman"/>
          <w:b/>
          <w:sz w:val="24"/>
        </w:rPr>
        <w:t>18% GST</w:t>
      </w:r>
      <w:r w:rsidRPr="002A5F7A">
        <w:rPr>
          <w:rFonts w:ascii="Times New Roman" w:hAnsi="Times New Roman" w:cs="Times New Roman"/>
          <w:sz w:val="24"/>
        </w:rPr>
        <w:t>. Manufacturers can claim Input Tax Credit (ITC) on inputs including resin, packaging, and utilities, enabling net tax neutrality on inter-state B2B sales. Small manufacturers with turnover below Rs. 1.5 crore can opt for the Composition Scheme at 1% fixed GST without ITC benefit.</w:t>
      </w:r>
    </w:p>
    <w:p w14:paraId="2FA9530B"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MSME Support Schemes: The Credit-linked Capital Subsidy Scheme (CLCSS) provides subsidized interest on capital loans for manufacturing equipment. The Prime Minister's Employment Generation Programme (PMEGP) offers subsidies up to Rs. 25 lakhs for micro-enterprises.</w:t>
      </w:r>
    </w:p>
    <w:p w14:paraId="0DE395AE"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Environmental Regulations: Under the Plastic Waste Management Rules (2016), Extended Producer Responsibility (EPR) Authorization is mandatory for plastic button manufacturers. Manufacturers must ensure recycling of 30% of plastic waste generated within 5 years.</w:t>
      </w:r>
    </w:p>
    <w:p w14:paraId="6EF1EF07" w14:textId="77777777" w:rsidR="008877A1" w:rsidRPr="002A5F7A" w:rsidRDefault="00000000">
      <w:pPr>
        <w:rPr>
          <w:rFonts w:ascii="Times New Roman" w:hAnsi="Times New Roman" w:cs="Times New Roman"/>
        </w:rPr>
      </w:pPr>
      <w:r w:rsidRPr="002A5F7A">
        <w:rPr>
          <w:rFonts w:ascii="Times New Roman" w:hAnsi="Times New Roman" w:cs="Times New Roman"/>
        </w:rPr>
        <w:br w:type="page"/>
      </w:r>
    </w:p>
    <w:p w14:paraId="526BCFEF" w14:textId="77777777" w:rsidR="008877A1" w:rsidRPr="002A5F7A" w:rsidRDefault="00000000">
      <w:pPr>
        <w:spacing w:before="240" w:after="120" w:line="360" w:lineRule="auto"/>
        <w:rPr>
          <w:rFonts w:ascii="Times New Roman" w:hAnsi="Times New Roman" w:cs="Times New Roman"/>
        </w:rPr>
      </w:pPr>
      <w:r w:rsidRPr="002A5F7A">
        <w:rPr>
          <w:rFonts w:ascii="Times New Roman" w:hAnsi="Times New Roman" w:cs="Times New Roman"/>
          <w:b/>
          <w:sz w:val="28"/>
        </w:rPr>
        <w:lastRenderedPageBreak/>
        <w:t>3. FRONTEND ANALYSIS</w:t>
      </w:r>
    </w:p>
    <w:p w14:paraId="0D14EF5A"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3.1 Demand Analysis</w:t>
      </w:r>
    </w:p>
    <w:p w14:paraId="772EF5E8"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Button demand exemplifies </w:t>
      </w:r>
      <w:r w:rsidRPr="002A5F7A">
        <w:rPr>
          <w:rFonts w:ascii="Times New Roman" w:hAnsi="Times New Roman" w:cs="Times New Roman"/>
          <w:b/>
          <w:sz w:val="24"/>
        </w:rPr>
        <w:t>derived demand</w:t>
      </w:r>
      <w:r w:rsidRPr="002A5F7A">
        <w:rPr>
          <w:rFonts w:ascii="Times New Roman" w:hAnsi="Times New Roman" w:cs="Times New Roman"/>
          <w:sz w:val="24"/>
        </w:rPr>
        <w:t xml:space="preserve"> in industrial economics. The demand for buttons is not autonomous but flows directly from demand for finished apparel. The mathematical relationship can be expressed as:</w:t>
      </w:r>
    </w:p>
    <w:p w14:paraId="5F9CB78C" w14:textId="77777777" w:rsidR="008877A1" w:rsidRPr="002A5F7A" w:rsidRDefault="00000000">
      <w:pPr>
        <w:spacing w:before="160" w:after="160"/>
        <w:jc w:val="center"/>
        <w:rPr>
          <w:rFonts w:ascii="Times New Roman" w:hAnsi="Times New Roman" w:cs="Times New Roman"/>
        </w:rPr>
      </w:pPr>
      <w:r w:rsidRPr="002A5F7A">
        <w:rPr>
          <w:rFonts w:ascii="Times New Roman" w:hAnsi="Times New Roman" w:cs="Times New Roman"/>
          <w:i/>
          <w:sz w:val="24"/>
        </w:rPr>
        <w:t>Demand for Buttons = f(Demand for Apparel, Buttons per Garment, Substitution Rate)</w:t>
      </w:r>
    </w:p>
    <w:p w14:paraId="1A3A4FDA"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elasticity of button demand to apparel demand demonstrates near-unity elastic response: a 1% increase in apparel production yields approximately 0.95-1.05% increase in button demand. Global button production reached approximately 5,000 million units in 2024.</w:t>
      </w:r>
    </w:p>
    <w:p w14:paraId="4A161771"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key determinants of button demand include:</w:t>
      </w:r>
    </w:p>
    <w:p w14:paraId="4C8E1B33"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Apparel Production Volume: The primary driver, with global apparel market CAGR of 3.5-4.2% translating directly to button demand growth.</w:t>
      </w:r>
    </w:p>
    <w:p w14:paraId="02B64281"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Garment Type Composition: Formal wear requires 4-6 buttons per garment, while casual t-shirts require 0-2 buttons, affecting aggregate demand.</w:t>
      </w:r>
    </w:p>
    <w:p w14:paraId="25221393"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Consumer Preferences: Growing demand for personalized and eco-friendly buttons reflects changing consumer preferences.</w:t>
      </w:r>
    </w:p>
    <w:p w14:paraId="2755B789" w14:textId="77777777" w:rsidR="008877A1" w:rsidRPr="002A5F7A" w:rsidRDefault="00000000">
      <w:pPr>
        <w:jc w:val="center"/>
        <w:rPr>
          <w:rFonts w:ascii="Times New Roman" w:hAnsi="Times New Roman" w:cs="Times New Roman"/>
        </w:rPr>
      </w:pPr>
      <w:r w:rsidRPr="002A5F7A">
        <w:rPr>
          <w:rFonts w:ascii="Times New Roman" w:hAnsi="Times New Roman" w:cs="Times New Roman"/>
          <w:noProof/>
        </w:rPr>
        <w:drawing>
          <wp:inline distT="0" distB="0" distL="0" distR="0" wp14:anchorId="5741FAA1" wp14:editId="1938DED6">
            <wp:extent cx="4572000" cy="29054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2905432"/>
                    </a:xfrm>
                    <a:prstGeom prst="rect">
                      <a:avLst/>
                    </a:prstGeom>
                  </pic:spPr>
                </pic:pic>
              </a:graphicData>
            </a:graphic>
          </wp:inline>
        </w:drawing>
      </w:r>
    </w:p>
    <w:p w14:paraId="1E6ED80A" w14:textId="77777777" w:rsidR="008877A1" w:rsidRPr="002A5F7A" w:rsidRDefault="00000000">
      <w:pPr>
        <w:jc w:val="center"/>
        <w:rPr>
          <w:rFonts w:ascii="Times New Roman" w:hAnsi="Times New Roman" w:cs="Times New Roman"/>
          <w:b/>
          <w:bCs/>
        </w:rPr>
      </w:pPr>
      <w:r w:rsidRPr="002A5F7A">
        <w:rPr>
          <w:rFonts w:ascii="Times New Roman" w:hAnsi="Times New Roman" w:cs="Times New Roman"/>
          <w:b/>
          <w:bCs/>
          <w:i/>
          <w:sz w:val="20"/>
        </w:rPr>
        <w:t>Figure 3.1: Demand and Supply Curves for Buttons</w:t>
      </w:r>
    </w:p>
    <w:p w14:paraId="1D62C63C"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lastRenderedPageBreak/>
        <w:t>3.2 Elasticity of Demand</w:t>
      </w:r>
    </w:p>
    <w:p w14:paraId="715BB406"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Price Elasticity of Demand (PED): Button demand exhibits </w:t>
      </w:r>
      <w:r w:rsidRPr="002A5F7A">
        <w:rPr>
          <w:rFonts w:ascii="Times New Roman" w:hAnsi="Times New Roman" w:cs="Times New Roman"/>
          <w:b/>
          <w:sz w:val="24"/>
        </w:rPr>
        <w:t>inelastic</w:t>
      </w:r>
      <w:r w:rsidRPr="002A5F7A">
        <w:rPr>
          <w:rFonts w:ascii="Times New Roman" w:hAnsi="Times New Roman" w:cs="Times New Roman"/>
          <w:sz w:val="24"/>
        </w:rPr>
        <w:t xml:space="preserve"> pricing characteristics with an estimated PED of -0.3 to -0.6. This inelasticity is justified by several factors:</w:t>
      </w:r>
    </w:p>
    <w:p w14:paraId="66164E47"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Buttons represent less than 0.5% of total apparel manufacturing cost, making price insignificant to garment maker purchasing decisions.</w:t>
      </w:r>
    </w:p>
    <w:p w14:paraId="00C5DCA1"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No close substitutes are available for basic functional buttons without requiring garment redesign and manufacturing process changes.</w:t>
      </w:r>
    </w:p>
    <w:p w14:paraId="41ADB001"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Derived demand inherently exhibits lower price sensitivity than final consumer demand.</w:t>
      </w:r>
    </w:p>
    <w:p w14:paraId="3F45F3F3" w14:textId="77777777" w:rsidR="008877A1" w:rsidRPr="002A5F7A" w:rsidRDefault="00000000">
      <w:pPr>
        <w:spacing w:before="240" w:after="120"/>
        <w:jc w:val="center"/>
        <w:rPr>
          <w:rFonts w:ascii="Times New Roman" w:hAnsi="Times New Roman" w:cs="Times New Roman"/>
        </w:rPr>
      </w:pPr>
      <w:r w:rsidRPr="002A5F7A">
        <w:rPr>
          <w:rFonts w:ascii="Times New Roman" w:hAnsi="Times New Roman" w:cs="Times New Roman"/>
          <w:b/>
        </w:rPr>
        <w:t>Table 3.1: Elasticity Measures for Button Demand</w:t>
      </w:r>
    </w:p>
    <w:tbl>
      <w:tblPr>
        <w:tblStyle w:val="TableGrid"/>
        <w:tblW w:w="0" w:type="auto"/>
        <w:jc w:val="center"/>
        <w:tblLook w:val="04A0" w:firstRow="1" w:lastRow="0" w:firstColumn="1" w:lastColumn="0" w:noHBand="0" w:noVBand="1"/>
      </w:tblPr>
      <w:tblGrid>
        <w:gridCol w:w="2770"/>
        <w:gridCol w:w="2770"/>
        <w:gridCol w:w="2770"/>
      </w:tblGrid>
      <w:tr w:rsidR="008877A1" w:rsidRPr="002A5F7A" w14:paraId="309854B3" w14:textId="77777777">
        <w:trPr>
          <w:jc w:val="center"/>
        </w:trPr>
        <w:tc>
          <w:tcPr>
            <w:tcW w:w="2770" w:type="dxa"/>
            <w:shd w:val="clear" w:color="auto" w:fill="1F4E79"/>
          </w:tcPr>
          <w:p w14:paraId="79AC918F"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Elasticity Type</w:t>
            </w:r>
          </w:p>
        </w:tc>
        <w:tc>
          <w:tcPr>
            <w:tcW w:w="2770" w:type="dxa"/>
            <w:shd w:val="clear" w:color="auto" w:fill="1F4E79"/>
          </w:tcPr>
          <w:p w14:paraId="6C590472"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Estimated Value</w:t>
            </w:r>
          </w:p>
        </w:tc>
        <w:tc>
          <w:tcPr>
            <w:tcW w:w="2770" w:type="dxa"/>
            <w:shd w:val="clear" w:color="auto" w:fill="1F4E79"/>
          </w:tcPr>
          <w:p w14:paraId="2E0C8007"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Interpretation</w:t>
            </w:r>
          </w:p>
        </w:tc>
      </w:tr>
      <w:tr w:rsidR="008877A1" w:rsidRPr="002A5F7A" w14:paraId="2EEAC7A0" w14:textId="77777777">
        <w:trPr>
          <w:jc w:val="center"/>
        </w:trPr>
        <w:tc>
          <w:tcPr>
            <w:tcW w:w="2770" w:type="dxa"/>
          </w:tcPr>
          <w:p w14:paraId="5EF62DC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Price Elasticity (PED)</w:t>
            </w:r>
          </w:p>
        </w:tc>
        <w:tc>
          <w:tcPr>
            <w:tcW w:w="2770" w:type="dxa"/>
          </w:tcPr>
          <w:p w14:paraId="2547ABA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-0.3 to -0.6</w:t>
            </w:r>
          </w:p>
        </w:tc>
        <w:tc>
          <w:tcPr>
            <w:tcW w:w="2770" w:type="dxa"/>
          </w:tcPr>
          <w:p w14:paraId="498FDBA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Inelastic - small quantity change for price change</w:t>
            </w:r>
          </w:p>
        </w:tc>
      </w:tr>
      <w:tr w:rsidR="008877A1" w:rsidRPr="002A5F7A" w14:paraId="14B6DFA5" w14:textId="77777777">
        <w:trPr>
          <w:jc w:val="center"/>
        </w:trPr>
        <w:tc>
          <w:tcPr>
            <w:tcW w:w="2770" w:type="dxa"/>
            <w:shd w:val="clear" w:color="auto" w:fill="D6DCE4"/>
          </w:tcPr>
          <w:p w14:paraId="7FF907CF"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Income Elasticity (YED)</w:t>
            </w:r>
          </w:p>
        </w:tc>
        <w:tc>
          <w:tcPr>
            <w:tcW w:w="2770" w:type="dxa"/>
            <w:shd w:val="clear" w:color="auto" w:fill="D6DCE4"/>
          </w:tcPr>
          <w:p w14:paraId="0FAD835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+0.9 to +1.1</w:t>
            </w:r>
          </w:p>
        </w:tc>
        <w:tc>
          <w:tcPr>
            <w:tcW w:w="2770" w:type="dxa"/>
            <w:shd w:val="clear" w:color="auto" w:fill="D6DCE4"/>
          </w:tcPr>
          <w:p w14:paraId="0E9567A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Unit elastic - grows with apparel consumption</w:t>
            </w:r>
          </w:p>
        </w:tc>
      </w:tr>
      <w:tr w:rsidR="008877A1" w:rsidRPr="002A5F7A" w14:paraId="72E87A55" w14:textId="77777777">
        <w:trPr>
          <w:jc w:val="center"/>
        </w:trPr>
        <w:tc>
          <w:tcPr>
            <w:tcW w:w="2770" w:type="dxa"/>
          </w:tcPr>
          <w:p w14:paraId="46AE6C3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Cross Elasticity (Velcro)</w:t>
            </w:r>
          </w:p>
        </w:tc>
        <w:tc>
          <w:tcPr>
            <w:tcW w:w="2770" w:type="dxa"/>
          </w:tcPr>
          <w:p w14:paraId="2C7A91C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+0.45 to +0.65</w:t>
            </w:r>
          </w:p>
        </w:tc>
        <w:tc>
          <w:tcPr>
            <w:tcW w:w="2770" w:type="dxa"/>
          </w:tcPr>
          <w:p w14:paraId="7537A60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Substitute - moderate substitutability</w:t>
            </w:r>
          </w:p>
        </w:tc>
      </w:tr>
      <w:tr w:rsidR="008877A1" w:rsidRPr="002A5F7A" w14:paraId="56490161" w14:textId="77777777">
        <w:trPr>
          <w:jc w:val="center"/>
        </w:trPr>
        <w:tc>
          <w:tcPr>
            <w:tcW w:w="2770" w:type="dxa"/>
            <w:shd w:val="clear" w:color="auto" w:fill="D6DCE4"/>
          </w:tcPr>
          <w:p w14:paraId="5BAA066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Cross Elasticity (Zippers)</w:t>
            </w:r>
          </w:p>
        </w:tc>
        <w:tc>
          <w:tcPr>
            <w:tcW w:w="2770" w:type="dxa"/>
            <w:shd w:val="clear" w:color="auto" w:fill="D6DCE4"/>
          </w:tcPr>
          <w:p w14:paraId="24C3F96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+0.10 to +0.20</w:t>
            </w:r>
          </w:p>
        </w:tc>
        <w:tc>
          <w:tcPr>
            <w:tcW w:w="2770" w:type="dxa"/>
            <w:shd w:val="clear" w:color="auto" w:fill="D6DCE4"/>
          </w:tcPr>
          <w:p w14:paraId="0D42C9E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Weak substitute - different applications</w:t>
            </w:r>
          </w:p>
        </w:tc>
      </w:tr>
    </w:tbl>
    <w:p w14:paraId="49C6CB3E" w14:textId="77777777" w:rsidR="008877A1" w:rsidRPr="002A5F7A" w:rsidRDefault="008877A1">
      <w:pPr>
        <w:spacing w:after="160"/>
        <w:rPr>
          <w:rFonts w:ascii="Times New Roman" w:hAnsi="Times New Roman" w:cs="Times New Roman"/>
        </w:rPr>
      </w:pPr>
    </w:p>
    <w:p w14:paraId="6A6FDDAA" w14:textId="77777777" w:rsidR="008877A1" w:rsidRPr="002A5F7A" w:rsidRDefault="00000000">
      <w:pPr>
        <w:jc w:val="center"/>
        <w:rPr>
          <w:rFonts w:ascii="Times New Roman" w:hAnsi="Times New Roman" w:cs="Times New Roman"/>
        </w:rPr>
      </w:pPr>
      <w:r w:rsidRPr="002A5F7A">
        <w:rPr>
          <w:rFonts w:ascii="Times New Roman" w:hAnsi="Times New Roman" w:cs="Times New Roman"/>
          <w:noProof/>
        </w:rPr>
        <w:drawing>
          <wp:inline distT="0" distB="0" distL="0" distR="0" wp14:anchorId="35C9843F" wp14:editId="0EE329D3">
            <wp:extent cx="4572000" cy="2905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72000" cy="2905432"/>
                    </a:xfrm>
                    <a:prstGeom prst="rect">
                      <a:avLst/>
                    </a:prstGeom>
                  </pic:spPr>
                </pic:pic>
              </a:graphicData>
            </a:graphic>
          </wp:inline>
        </w:drawing>
      </w:r>
    </w:p>
    <w:p w14:paraId="6097C249" w14:textId="77777777" w:rsidR="008877A1" w:rsidRPr="002A5F7A" w:rsidRDefault="00000000">
      <w:pPr>
        <w:jc w:val="center"/>
        <w:rPr>
          <w:rFonts w:ascii="Times New Roman" w:hAnsi="Times New Roman" w:cs="Times New Roman"/>
        </w:rPr>
      </w:pPr>
      <w:r w:rsidRPr="002A5F7A">
        <w:rPr>
          <w:rFonts w:ascii="Times New Roman" w:hAnsi="Times New Roman" w:cs="Times New Roman"/>
          <w:i/>
          <w:sz w:val="20"/>
        </w:rPr>
        <w:t>Figure 3.2: Price Elasticity - Buttons vs Substitutes</w:t>
      </w:r>
    </w:p>
    <w:p w14:paraId="39054A34"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Income Elasticity of Demand (YED): Button demand exhibits unit-elastic income response (estimated YED of +0.9 to +1.1). Button demand grows proportionally with </w:t>
      </w:r>
      <w:r w:rsidRPr="002A5F7A">
        <w:rPr>
          <w:rFonts w:ascii="Times New Roman" w:hAnsi="Times New Roman" w:cs="Times New Roman"/>
          <w:sz w:val="24"/>
        </w:rPr>
        <w:lastRenderedPageBreak/>
        <w:t>real apparel consumption. Economic downturns correlate with 2-3% button volume reductions.</w:t>
      </w:r>
    </w:p>
    <w:p w14:paraId="1AFC8502"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Cross-Price Elasticity of Demand: Velcro demonstrates moderate substitutability with a cross-elasticity of +0.45 to +0.65. The relatively low overall cross-elasticity confirms button demand's structural stability.</w:t>
      </w:r>
    </w:p>
    <w:p w14:paraId="64876894"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3.3 Market Structure</w:t>
      </w:r>
    </w:p>
    <w:p w14:paraId="39C3E137"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The button market exemplifies </w:t>
      </w:r>
      <w:r w:rsidRPr="002A5F7A">
        <w:rPr>
          <w:rFonts w:ascii="Times New Roman" w:hAnsi="Times New Roman" w:cs="Times New Roman"/>
          <w:b/>
          <w:sz w:val="24"/>
        </w:rPr>
        <w:t>monopolistic competition</w:t>
      </w:r>
      <w:r w:rsidRPr="002A5F7A">
        <w:rPr>
          <w:rFonts w:ascii="Times New Roman" w:hAnsi="Times New Roman" w:cs="Times New Roman"/>
          <w:sz w:val="24"/>
        </w:rPr>
        <w:t>, characterized by the following features:</w:t>
      </w:r>
    </w:p>
    <w:p w14:paraId="2AA3C097"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Large number of competitors: India has 200+ registered manufacturers and 500+ unregistered MSME operations.</w:t>
      </w:r>
    </w:p>
    <w:p w14:paraId="672030E0"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Product differentiation: Variations in material, sizes (8-100 ligne), colors (50+ options), and special effects.</w:t>
      </w:r>
    </w:p>
    <w:p w14:paraId="59000147"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Free entry and exit: Low capital requirements (Rs. 60-80 lakhs), minimal regulatory barriers, and mature technology.</w:t>
      </w:r>
    </w:p>
    <w:p w14:paraId="703DDCF4"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Non-price competition: Design innovation, sustainability certifications, quality assurance, and logistics efficiency.</w:t>
      </w:r>
    </w:p>
    <w:p w14:paraId="10526684"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Market concentration analysis reveals a fragmented industry structure. The top 5 manufacturers control approximately 12-15% of the Indian market, the next 20 control 20-25%, and the remaining 250+ manufacturers control 60-65%.</w:t>
      </w:r>
    </w:p>
    <w:p w14:paraId="4433A2C1"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3.4 Pricing Mechanism</w:t>
      </w:r>
    </w:p>
    <w:p w14:paraId="0BF7A6ED"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Button pricing operates through a tiered structure based on order volume, material type, and value-added features:</w:t>
      </w:r>
    </w:p>
    <w:p w14:paraId="36CB7949"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t>Table 3.2: Volume-Based Pricing Structure</w:t>
      </w:r>
    </w:p>
    <w:tbl>
      <w:tblPr>
        <w:tblStyle w:val="TableGrid"/>
        <w:tblW w:w="0" w:type="auto"/>
        <w:jc w:val="center"/>
        <w:tblLook w:val="04A0" w:firstRow="1" w:lastRow="0" w:firstColumn="1" w:lastColumn="0" w:noHBand="0" w:noVBand="1"/>
      </w:tblPr>
      <w:tblGrid>
        <w:gridCol w:w="2077"/>
        <w:gridCol w:w="2077"/>
        <w:gridCol w:w="2077"/>
        <w:gridCol w:w="2077"/>
      </w:tblGrid>
      <w:tr w:rsidR="008877A1" w:rsidRPr="002A5F7A" w14:paraId="4945B570" w14:textId="77777777">
        <w:trPr>
          <w:jc w:val="center"/>
        </w:trPr>
        <w:tc>
          <w:tcPr>
            <w:tcW w:w="2077" w:type="dxa"/>
            <w:shd w:val="clear" w:color="auto" w:fill="1F4E79"/>
          </w:tcPr>
          <w:p w14:paraId="36F8BF49"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Pricing Tier</w:t>
            </w:r>
          </w:p>
        </w:tc>
        <w:tc>
          <w:tcPr>
            <w:tcW w:w="2077" w:type="dxa"/>
            <w:shd w:val="clear" w:color="auto" w:fill="1F4E79"/>
          </w:tcPr>
          <w:p w14:paraId="7FCF1E3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Order Volume</w:t>
            </w:r>
          </w:p>
        </w:tc>
        <w:tc>
          <w:tcPr>
            <w:tcW w:w="2077" w:type="dxa"/>
            <w:shd w:val="clear" w:color="auto" w:fill="1F4E79"/>
          </w:tcPr>
          <w:p w14:paraId="47C74E3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Price/Piece (Rs.)</w:t>
            </w:r>
          </w:p>
        </w:tc>
        <w:tc>
          <w:tcPr>
            <w:tcW w:w="2077" w:type="dxa"/>
            <w:shd w:val="clear" w:color="auto" w:fill="1F4E79"/>
          </w:tcPr>
          <w:p w14:paraId="44108832"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Discount</w:t>
            </w:r>
          </w:p>
        </w:tc>
      </w:tr>
      <w:tr w:rsidR="008877A1" w:rsidRPr="002A5F7A" w14:paraId="4D4A981F" w14:textId="77777777">
        <w:trPr>
          <w:jc w:val="center"/>
        </w:trPr>
        <w:tc>
          <w:tcPr>
            <w:tcW w:w="2077" w:type="dxa"/>
          </w:tcPr>
          <w:p w14:paraId="124E6A4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Minimum Order Quantity</w:t>
            </w:r>
          </w:p>
        </w:tc>
        <w:tc>
          <w:tcPr>
            <w:tcW w:w="2077" w:type="dxa"/>
          </w:tcPr>
          <w:p w14:paraId="654FB81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100-1,000 gross</w:t>
            </w:r>
          </w:p>
        </w:tc>
        <w:tc>
          <w:tcPr>
            <w:tcW w:w="2077" w:type="dxa"/>
          </w:tcPr>
          <w:p w14:paraId="3E55970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3.20-3.50</w:t>
            </w:r>
          </w:p>
        </w:tc>
        <w:tc>
          <w:tcPr>
            <w:tcW w:w="2077" w:type="dxa"/>
          </w:tcPr>
          <w:p w14:paraId="748FD77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Base price</w:t>
            </w:r>
          </w:p>
        </w:tc>
      </w:tr>
      <w:tr w:rsidR="008877A1" w:rsidRPr="002A5F7A" w14:paraId="4670CFC0" w14:textId="77777777">
        <w:trPr>
          <w:jc w:val="center"/>
        </w:trPr>
        <w:tc>
          <w:tcPr>
            <w:tcW w:w="2077" w:type="dxa"/>
            <w:shd w:val="clear" w:color="auto" w:fill="D6DCE4"/>
          </w:tcPr>
          <w:p w14:paraId="41BAC2A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Standard Wholesale</w:t>
            </w:r>
          </w:p>
        </w:tc>
        <w:tc>
          <w:tcPr>
            <w:tcW w:w="2077" w:type="dxa"/>
            <w:shd w:val="clear" w:color="auto" w:fill="D6DCE4"/>
          </w:tcPr>
          <w:p w14:paraId="34C9DE3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1,000-5,000 gross</w:t>
            </w:r>
          </w:p>
        </w:tc>
        <w:tc>
          <w:tcPr>
            <w:tcW w:w="2077" w:type="dxa"/>
            <w:shd w:val="clear" w:color="auto" w:fill="D6DCE4"/>
          </w:tcPr>
          <w:p w14:paraId="3F5E357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2.80-3.20</w:t>
            </w:r>
          </w:p>
        </w:tc>
        <w:tc>
          <w:tcPr>
            <w:tcW w:w="2077" w:type="dxa"/>
            <w:shd w:val="clear" w:color="auto" w:fill="D6DCE4"/>
          </w:tcPr>
          <w:p w14:paraId="1C355E5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8-12%</w:t>
            </w:r>
          </w:p>
        </w:tc>
      </w:tr>
      <w:tr w:rsidR="008877A1" w:rsidRPr="002A5F7A" w14:paraId="1F1E977A" w14:textId="77777777">
        <w:trPr>
          <w:jc w:val="center"/>
        </w:trPr>
        <w:tc>
          <w:tcPr>
            <w:tcW w:w="2077" w:type="dxa"/>
          </w:tcPr>
          <w:p w14:paraId="70DECFA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Bulk Wholesale</w:t>
            </w:r>
          </w:p>
        </w:tc>
        <w:tc>
          <w:tcPr>
            <w:tcW w:w="2077" w:type="dxa"/>
          </w:tcPr>
          <w:p w14:paraId="2ED1A19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5,000-20,000 gross</w:t>
            </w:r>
          </w:p>
        </w:tc>
        <w:tc>
          <w:tcPr>
            <w:tcW w:w="2077" w:type="dxa"/>
          </w:tcPr>
          <w:p w14:paraId="3B303EC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2.40-2.80</w:t>
            </w:r>
          </w:p>
        </w:tc>
        <w:tc>
          <w:tcPr>
            <w:tcW w:w="2077" w:type="dxa"/>
          </w:tcPr>
          <w:p w14:paraId="44E4F88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15-20%</w:t>
            </w:r>
          </w:p>
        </w:tc>
      </w:tr>
      <w:tr w:rsidR="008877A1" w:rsidRPr="002A5F7A" w14:paraId="778BC0AD" w14:textId="77777777">
        <w:trPr>
          <w:jc w:val="center"/>
        </w:trPr>
        <w:tc>
          <w:tcPr>
            <w:tcW w:w="2077" w:type="dxa"/>
            <w:shd w:val="clear" w:color="auto" w:fill="D6DCE4"/>
          </w:tcPr>
          <w:p w14:paraId="73A5EDA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Large Contract</w:t>
            </w:r>
          </w:p>
        </w:tc>
        <w:tc>
          <w:tcPr>
            <w:tcW w:w="2077" w:type="dxa"/>
            <w:shd w:val="clear" w:color="auto" w:fill="D6DCE4"/>
          </w:tcPr>
          <w:p w14:paraId="3F9ADA5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20,000+ gross</w:t>
            </w:r>
          </w:p>
        </w:tc>
        <w:tc>
          <w:tcPr>
            <w:tcW w:w="2077" w:type="dxa"/>
            <w:shd w:val="clear" w:color="auto" w:fill="D6DCE4"/>
          </w:tcPr>
          <w:p w14:paraId="32B6F7C6"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2.00-2.40</w:t>
            </w:r>
          </w:p>
        </w:tc>
        <w:tc>
          <w:tcPr>
            <w:tcW w:w="2077" w:type="dxa"/>
            <w:shd w:val="clear" w:color="auto" w:fill="D6DCE4"/>
          </w:tcPr>
          <w:p w14:paraId="304C3B4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25-30%</w:t>
            </w:r>
          </w:p>
        </w:tc>
      </w:tr>
    </w:tbl>
    <w:p w14:paraId="476BA688" w14:textId="77777777" w:rsidR="008877A1" w:rsidRPr="002A5F7A" w:rsidRDefault="008877A1">
      <w:pPr>
        <w:spacing w:after="160"/>
        <w:rPr>
          <w:rFonts w:ascii="Times New Roman" w:hAnsi="Times New Roman" w:cs="Times New Roman"/>
        </w:rPr>
      </w:pPr>
    </w:p>
    <w:p w14:paraId="330E58D5" w14:textId="77777777" w:rsidR="00772A5A" w:rsidRPr="002A5F7A" w:rsidRDefault="00772A5A">
      <w:pPr>
        <w:spacing w:after="160"/>
        <w:rPr>
          <w:rFonts w:ascii="Times New Roman" w:hAnsi="Times New Roman" w:cs="Times New Roman"/>
        </w:rPr>
      </w:pPr>
    </w:p>
    <w:p w14:paraId="753C3A3A" w14:textId="77777777" w:rsidR="00772A5A" w:rsidRPr="002A5F7A" w:rsidRDefault="00772A5A">
      <w:pPr>
        <w:spacing w:after="160"/>
        <w:rPr>
          <w:rFonts w:ascii="Times New Roman" w:hAnsi="Times New Roman" w:cs="Times New Roman"/>
        </w:rPr>
      </w:pPr>
    </w:p>
    <w:p w14:paraId="07E088A6"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lastRenderedPageBreak/>
        <w:t>Table 3.3: Channel-Based Pricing</w:t>
      </w:r>
    </w:p>
    <w:tbl>
      <w:tblPr>
        <w:tblStyle w:val="TableGrid"/>
        <w:tblW w:w="0" w:type="auto"/>
        <w:jc w:val="center"/>
        <w:tblLook w:val="04A0" w:firstRow="1" w:lastRow="0" w:firstColumn="1" w:lastColumn="0" w:noHBand="0" w:noVBand="1"/>
      </w:tblPr>
      <w:tblGrid>
        <w:gridCol w:w="2770"/>
        <w:gridCol w:w="2770"/>
        <w:gridCol w:w="2770"/>
      </w:tblGrid>
      <w:tr w:rsidR="008877A1" w:rsidRPr="002A5F7A" w14:paraId="6035F92E" w14:textId="77777777">
        <w:trPr>
          <w:jc w:val="center"/>
        </w:trPr>
        <w:tc>
          <w:tcPr>
            <w:tcW w:w="2770" w:type="dxa"/>
            <w:shd w:val="clear" w:color="auto" w:fill="1F4E79"/>
          </w:tcPr>
          <w:p w14:paraId="4BE7089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Channel</w:t>
            </w:r>
          </w:p>
        </w:tc>
        <w:tc>
          <w:tcPr>
            <w:tcW w:w="2770" w:type="dxa"/>
            <w:shd w:val="clear" w:color="auto" w:fill="1F4E79"/>
          </w:tcPr>
          <w:p w14:paraId="79418336"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Price (Rs./piece)</w:t>
            </w:r>
          </w:p>
        </w:tc>
        <w:tc>
          <w:tcPr>
            <w:tcW w:w="2770" w:type="dxa"/>
            <w:shd w:val="clear" w:color="auto" w:fill="1F4E79"/>
          </w:tcPr>
          <w:p w14:paraId="6153A035"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Margin Structure</w:t>
            </w:r>
          </w:p>
        </w:tc>
      </w:tr>
      <w:tr w:rsidR="008877A1" w:rsidRPr="002A5F7A" w14:paraId="6B0E0EA9" w14:textId="77777777">
        <w:trPr>
          <w:jc w:val="center"/>
        </w:trPr>
        <w:tc>
          <w:tcPr>
            <w:tcW w:w="2770" w:type="dxa"/>
          </w:tcPr>
          <w:p w14:paraId="11A53115"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Manufacturer to Wholesaler</w:t>
            </w:r>
          </w:p>
        </w:tc>
        <w:tc>
          <w:tcPr>
            <w:tcW w:w="2770" w:type="dxa"/>
          </w:tcPr>
          <w:p w14:paraId="09589E2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2.50-3.00</w:t>
            </w:r>
          </w:p>
        </w:tc>
        <w:tc>
          <w:tcPr>
            <w:tcW w:w="2770" w:type="dxa"/>
          </w:tcPr>
          <w:p w14:paraId="27B8793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Base cost + margin</w:t>
            </w:r>
          </w:p>
        </w:tc>
      </w:tr>
      <w:tr w:rsidR="008877A1" w:rsidRPr="002A5F7A" w14:paraId="526D744A" w14:textId="77777777">
        <w:trPr>
          <w:jc w:val="center"/>
        </w:trPr>
        <w:tc>
          <w:tcPr>
            <w:tcW w:w="2770" w:type="dxa"/>
            <w:shd w:val="clear" w:color="auto" w:fill="D6DCE4"/>
          </w:tcPr>
          <w:p w14:paraId="15555CA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Wholesaler to Garment Maker</w:t>
            </w:r>
          </w:p>
        </w:tc>
        <w:tc>
          <w:tcPr>
            <w:tcW w:w="2770" w:type="dxa"/>
            <w:shd w:val="clear" w:color="auto" w:fill="D6DCE4"/>
          </w:tcPr>
          <w:p w14:paraId="06CF9AC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2.75-3.50</w:t>
            </w:r>
          </w:p>
        </w:tc>
        <w:tc>
          <w:tcPr>
            <w:tcW w:w="2770" w:type="dxa"/>
            <w:shd w:val="clear" w:color="auto" w:fill="D6DCE4"/>
          </w:tcPr>
          <w:p w14:paraId="65719BA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8-12% markup</w:t>
            </w:r>
          </w:p>
        </w:tc>
      </w:tr>
      <w:tr w:rsidR="008877A1" w:rsidRPr="002A5F7A" w14:paraId="7F99B291" w14:textId="77777777">
        <w:trPr>
          <w:jc w:val="center"/>
        </w:trPr>
        <w:tc>
          <w:tcPr>
            <w:tcW w:w="2770" w:type="dxa"/>
          </w:tcPr>
          <w:p w14:paraId="4C13292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Retail (DIY, replacement)</w:t>
            </w:r>
          </w:p>
        </w:tc>
        <w:tc>
          <w:tcPr>
            <w:tcW w:w="2770" w:type="dxa"/>
          </w:tcPr>
          <w:p w14:paraId="161F8B9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15-50</w:t>
            </w:r>
          </w:p>
        </w:tc>
        <w:tc>
          <w:tcPr>
            <w:tcW w:w="2770" w:type="dxa"/>
          </w:tcPr>
          <w:p w14:paraId="533A534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400-1,500% markup</w:t>
            </w:r>
          </w:p>
        </w:tc>
      </w:tr>
      <w:tr w:rsidR="008877A1" w:rsidRPr="002A5F7A" w14:paraId="041D5F98" w14:textId="77777777">
        <w:trPr>
          <w:jc w:val="center"/>
        </w:trPr>
        <w:tc>
          <w:tcPr>
            <w:tcW w:w="2770" w:type="dxa"/>
            <w:shd w:val="clear" w:color="auto" w:fill="D6DCE4"/>
          </w:tcPr>
          <w:p w14:paraId="4664547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E-commerce (bulk)</w:t>
            </w:r>
          </w:p>
        </w:tc>
        <w:tc>
          <w:tcPr>
            <w:tcW w:w="2770" w:type="dxa"/>
            <w:shd w:val="clear" w:color="auto" w:fill="D6DCE4"/>
          </w:tcPr>
          <w:p w14:paraId="120959BC"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2.00-2.75</w:t>
            </w:r>
          </w:p>
        </w:tc>
        <w:tc>
          <w:tcPr>
            <w:tcW w:w="2770" w:type="dxa"/>
            <w:shd w:val="clear" w:color="auto" w:fill="D6DCE4"/>
          </w:tcPr>
          <w:p w14:paraId="0BC4487B"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Competitive to wholesale</w:t>
            </w:r>
          </w:p>
        </w:tc>
      </w:tr>
    </w:tbl>
    <w:p w14:paraId="75E8F394" w14:textId="77777777" w:rsidR="008877A1" w:rsidRPr="002A5F7A" w:rsidRDefault="008877A1">
      <w:pPr>
        <w:spacing w:after="160"/>
        <w:rPr>
          <w:rFonts w:ascii="Times New Roman" w:hAnsi="Times New Roman" w:cs="Times New Roman"/>
        </w:rPr>
      </w:pPr>
    </w:p>
    <w:p w14:paraId="04D558CD"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3.5 Revenue Analysis</w:t>
      </w:r>
    </w:p>
    <w:p w14:paraId="07BC5079"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Revenue streams in button manufacturing are distributed across multiple channels. Bulk sales to garment manufacturers constitute 80-85% of total revenue. For example, a manufacturer producing 150,000 gross per month at Rs. 2.70 per piece generates Rs. 58.5 lakhs in monthly revenue.</w:t>
      </w:r>
    </w:p>
    <w:p w14:paraId="5E67D493" w14:textId="77777777" w:rsidR="008877A1" w:rsidRPr="002A5F7A" w:rsidRDefault="00000000">
      <w:pPr>
        <w:jc w:val="center"/>
        <w:rPr>
          <w:rFonts w:ascii="Times New Roman" w:hAnsi="Times New Roman" w:cs="Times New Roman"/>
        </w:rPr>
      </w:pPr>
      <w:r w:rsidRPr="002A5F7A">
        <w:rPr>
          <w:rFonts w:ascii="Times New Roman" w:hAnsi="Times New Roman" w:cs="Times New Roman"/>
          <w:noProof/>
        </w:rPr>
        <w:drawing>
          <wp:inline distT="0" distB="0" distL="0" distR="0" wp14:anchorId="3BC83B53" wp14:editId="0B98B76C">
            <wp:extent cx="4114800" cy="42204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114800" cy="4220431"/>
                    </a:xfrm>
                    <a:prstGeom prst="rect">
                      <a:avLst/>
                    </a:prstGeom>
                  </pic:spPr>
                </pic:pic>
              </a:graphicData>
            </a:graphic>
          </wp:inline>
        </w:drawing>
      </w:r>
    </w:p>
    <w:p w14:paraId="5052E218" w14:textId="77777777" w:rsidR="008877A1" w:rsidRPr="002A5F7A" w:rsidRDefault="00000000">
      <w:pPr>
        <w:jc w:val="center"/>
        <w:rPr>
          <w:rFonts w:ascii="Times New Roman" w:hAnsi="Times New Roman" w:cs="Times New Roman"/>
          <w:b/>
          <w:bCs/>
        </w:rPr>
      </w:pPr>
      <w:r w:rsidRPr="002A5F7A">
        <w:rPr>
          <w:rFonts w:ascii="Times New Roman" w:hAnsi="Times New Roman" w:cs="Times New Roman"/>
          <w:b/>
          <w:bCs/>
          <w:i/>
          <w:sz w:val="20"/>
        </w:rPr>
        <w:t>Figure 3.3: Revenue Distribution by Sales Channel</w:t>
      </w:r>
    </w:p>
    <w:p w14:paraId="16B892A1"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 xml:space="preserve">The Total Revenue (TR) for button manufacturers is primarily determined by volume rather than price, given the inelastic demand. Average Revenue (AR) equals price in this competitive market structure. Profit margins across the value chain vary: </w:t>
      </w:r>
      <w:r w:rsidRPr="002A5F7A">
        <w:rPr>
          <w:rFonts w:ascii="Times New Roman" w:hAnsi="Times New Roman" w:cs="Times New Roman"/>
          <w:sz w:val="24"/>
        </w:rPr>
        <w:lastRenderedPageBreak/>
        <w:t>manufacturers achieve 8-12% net margins, wholesalers earn 4-6% net margins, while retailers capture the highest percentage margins on smaller volumes.</w:t>
      </w:r>
    </w:p>
    <w:p w14:paraId="41DDF125"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3.6 Selling and Marketing Costs</w:t>
      </w:r>
    </w:p>
    <w:p w14:paraId="7A78FD4B"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Button manufacturers invest minimally in B2C marketing (0.2-0.3% of revenue) due to the derived demand nature of the product. B2B marketing focuses on trade participation, catalog design, and quality certifications.</w:t>
      </w:r>
    </w:p>
    <w:p w14:paraId="0E9A12D2" w14:textId="77777777" w:rsidR="008877A1" w:rsidRPr="002A5F7A" w:rsidRDefault="00000000">
      <w:pPr>
        <w:spacing w:before="240" w:after="120"/>
        <w:jc w:val="center"/>
        <w:rPr>
          <w:rFonts w:ascii="Times New Roman" w:hAnsi="Times New Roman" w:cs="Times New Roman"/>
          <w:sz w:val="28"/>
          <w:szCs w:val="28"/>
        </w:rPr>
      </w:pPr>
      <w:r w:rsidRPr="002A5F7A">
        <w:rPr>
          <w:rFonts w:ascii="Times New Roman" w:hAnsi="Times New Roman" w:cs="Times New Roman"/>
          <w:b/>
          <w:sz w:val="28"/>
          <w:szCs w:val="28"/>
        </w:rPr>
        <w:t>Table 3.4: Selling and Marketing Cost Structure</w:t>
      </w:r>
    </w:p>
    <w:tbl>
      <w:tblPr>
        <w:tblStyle w:val="TableGrid"/>
        <w:tblW w:w="0" w:type="auto"/>
        <w:jc w:val="center"/>
        <w:tblLook w:val="04A0" w:firstRow="1" w:lastRow="0" w:firstColumn="1" w:lastColumn="0" w:noHBand="0" w:noVBand="1"/>
      </w:tblPr>
      <w:tblGrid>
        <w:gridCol w:w="2770"/>
        <w:gridCol w:w="2770"/>
        <w:gridCol w:w="2770"/>
      </w:tblGrid>
      <w:tr w:rsidR="008877A1" w:rsidRPr="002A5F7A" w14:paraId="1C35DD1D" w14:textId="77777777">
        <w:trPr>
          <w:jc w:val="center"/>
        </w:trPr>
        <w:tc>
          <w:tcPr>
            <w:tcW w:w="2770" w:type="dxa"/>
            <w:shd w:val="clear" w:color="auto" w:fill="1F4E79"/>
          </w:tcPr>
          <w:p w14:paraId="47D0BD68"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Cost Category</w:t>
            </w:r>
          </w:p>
        </w:tc>
        <w:tc>
          <w:tcPr>
            <w:tcW w:w="2770" w:type="dxa"/>
            <w:shd w:val="clear" w:color="auto" w:fill="1F4E79"/>
          </w:tcPr>
          <w:p w14:paraId="2DFF24AF"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Rs./1000 pieces</w:t>
            </w:r>
          </w:p>
        </w:tc>
        <w:tc>
          <w:tcPr>
            <w:tcW w:w="2770" w:type="dxa"/>
            <w:shd w:val="clear" w:color="auto" w:fill="1F4E79"/>
          </w:tcPr>
          <w:p w14:paraId="302F289D" w14:textId="77777777" w:rsidR="008877A1" w:rsidRPr="002A5F7A" w:rsidRDefault="00000000">
            <w:pPr>
              <w:jc w:val="center"/>
              <w:rPr>
                <w:rFonts w:ascii="Times New Roman" w:hAnsi="Times New Roman" w:cs="Times New Roman"/>
              </w:rPr>
            </w:pPr>
            <w:r w:rsidRPr="002A5F7A">
              <w:rPr>
                <w:rFonts w:ascii="Times New Roman" w:hAnsi="Times New Roman" w:cs="Times New Roman"/>
                <w:b/>
                <w:color w:val="FFFFFF"/>
              </w:rPr>
              <w:t>% of Revenue</w:t>
            </w:r>
          </w:p>
        </w:tc>
      </w:tr>
      <w:tr w:rsidR="008877A1" w:rsidRPr="002A5F7A" w14:paraId="546578A4" w14:textId="77777777">
        <w:trPr>
          <w:jc w:val="center"/>
        </w:trPr>
        <w:tc>
          <w:tcPr>
            <w:tcW w:w="2770" w:type="dxa"/>
          </w:tcPr>
          <w:p w14:paraId="59705F5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Packaging materials</w:t>
            </w:r>
          </w:p>
        </w:tc>
        <w:tc>
          <w:tcPr>
            <w:tcW w:w="2770" w:type="dxa"/>
          </w:tcPr>
          <w:p w14:paraId="4706D3E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8-12</w:t>
            </w:r>
          </w:p>
        </w:tc>
        <w:tc>
          <w:tcPr>
            <w:tcW w:w="2770" w:type="dxa"/>
          </w:tcPr>
          <w:p w14:paraId="6BFC9823"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0.3-0.4%</w:t>
            </w:r>
          </w:p>
        </w:tc>
      </w:tr>
      <w:tr w:rsidR="008877A1" w:rsidRPr="002A5F7A" w14:paraId="53EEEB72" w14:textId="77777777">
        <w:trPr>
          <w:jc w:val="center"/>
        </w:trPr>
        <w:tc>
          <w:tcPr>
            <w:tcW w:w="2770" w:type="dxa"/>
            <w:shd w:val="clear" w:color="auto" w:fill="D6DCE4"/>
          </w:tcPr>
          <w:p w14:paraId="53D2043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Transportation/Logistics</w:t>
            </w:r>
          </w:p>
        </w:tc>
        <w:tc>
          <w:tcPr>
            <w:tcW w:w="2770" w:type="dxa"/>
            <w:shd w:val="clear" w:color="auto" w:fill="D6DCE4"/>
          </w:tcPr>
          <w:p w14:paraId="3AF8AD9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20-35</w:t>
            </w:r>
          </w:p>
        </w:tc>
        <w:tc>
          <w:tcPr>
            <w:tcW w:w="2770" w:type="dxa"/>
            <w:shd w:val="clear" w:color="auto" w:fill="D6DCE4"/>
          </w:tcPr>
          <w:p w14:paraId="71292EA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0.7-1.2%</w:t>
            </w:r>
          </w:p>
        </w:tc>
      </w:tr>
      <w:tr w:rsidR="008877A1" w:rsidRPr="002A5F7A" w14:paraId="315BD56A" w14:textId="77777777">
        <w:trPr>
          <w:jc w:val="center"/>
        </w:trPr>
        <w:tc>
          <w:tcPr>
            <w:tcW w:w="2770" w:type="dxa"/>
          </w:tcPr>
          <w:p w14:paraId="0FCB5227"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Sales commissions (agents)</w:t>
            </w:r>
          </w:p>
        </w:tc>
        <w:tc>
          <w:tcPr>
            <w:tcW w:w="2770" w:type="dxa"/>
          </w:tcPr>
          <w:p w14:paraId="061B5E9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15-25</w:t>
            </w:r>
          </w:p>
        </w:tc>
        <w:tc>
          <w:tcPr>
            <w:tcW w:w="2770" w:type="dxa"/>
          </w:tcPr>
          <w:p w14:paraId="63077D39"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0.5-0.8%</w:t>
            </w:r>
          </w:p>
        </w:tc>
      </w:tr>
      <w:tr w:rsidR="008877A1" w:rsidRPr="002A5F7A" w14:paraId="2B72C7BE" w14:textId="77777777">
        <w:trPr>
          <w:jc w:val="center"/>
        </w:trPr>
        <w:tc>
          <w:tcPr>
            <w:tcW w:w="2770" w:type="dxa"/>
            <w:shd w:val="clear" w:color="auto" w:fill="D6DCE4"/>
          </w:tcPr>
          <w:p w14:paraId="2B1717F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Marketing/Trade shows</w:t>
            </w:r>
          </w:p>
        </w:tc>
        <w:tc>
          <w:tcPr>
            <w:tcW w:w="2770" w:type="dxa"/>
            <w:shd w:val="clear" w:color="auto" w:fill="D6DCE4"/>
          </w:tcPr>
          <w:p w14:paraId="2FFEBA51"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5-10</w:t>
            </w:r>
          </w:p>
        </w:tc>
        <w:tc>
          <w:tcPr>
            <w:tcW w:w="2770" w:type="dxa"/>
            <w:shd w:val="clear" w:color="auto" w:fill="D6DCE4"/>
          </w:tcPr>
          <w:p w14:paraId="5A3E84A0"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0.2-0.3%</w:t>
            </w:r>
          </w:p>
        </w:tc>
      </w:tr>
      <w:tr w:rsidR="008877A1" w:rsidRPr="002A5F7A" w14:paraId="560129FC" w14:textId="77777777">
        <w:trPr>
          <w:jc w:val="center"/>
        </w:trPr>
        <w:tc>
          <w:tcPr>
            <w:tcW w:w="2770" w:type="dxa"/>
          </w:tcPr>
          <w:p w14:paraId="6D6580CA"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Quality certifications</w:t>
            </w:r>
          </w:p>
        </w:tc>
        <w:tc>
          <w:tcPr>
            <w:tcW w:w="2770" w:type="dxa"/>
          </w:tcPr>
          <w:p w14:paraId="6A0AAB22"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10-15</w:t>
            </w:r>
          </w:p>
        </w:tc>
        <w:tc>
          <w:tcPr>
            <w:tcW w:w="2770" w:type="dxa"/>
          </w:tcPr>
          <w:p w14:paraId="36542AF8"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0.3-0.5%</w:t>
            </w:r>
          </w:p>
        </w:tc>
      </w:tr>
      <w:tr w:rsidR="008877A1" w:rsidRPr="002A5F7A" w14:paraId="4F87C342" w14:textId="77777777">
        <w:trPr>
          <w:jc w:val="center"/>
        </w:trPr>
        <w:tc>
          <w:tcPr>
            <w:tcW w:w="2770" w:type="dxa"/>
            <w:shd w:val="clear" w:color="auto" w:fill="D6DCE4"/>
          </w:tcPr>
          <w:p w14:paraId="05B483BD"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Total Selling Costs</w:t>
            </w:r>
          </w:p>
        </w:tc>
        <w:tc>
          <w:tcPr>
            <w:tcW w:w="2770" w:type="dxa"/>
            <w:shd w:val="clear" w:color="auto" w:fill="D6DCE4"/>
          </w:tcPr>
          <w:p w14:paraId="792E9F4E"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58-97</w:t>
            </w:r>
          </w:p>
        </w:tc>
        <w:tc>
          <w:tcPr>
            <w:tcW w:w="2770" w:type="dxa"/>
            <w:shd w:val="clear" w:color="auto" w:fill="D6DCE4"/>
          </w:tcPr>
          <w:p w14:paraId="0CA275A4" w14:textId="77777777" w:rsidR="008877A1" w:rsidRPr="002A5F7A" w:rsidRDefault="00000000">
            <w:pPr>
              <w:jc w:val="center"/>
              <w:rPr>
                <w:rFonts w:ascii="Times New Roman" w:hAnsi="Times New Roman" w:cs="Times New Roman"/>
              </w:rPr>
            </w:pPr>
            <w:r w:rsidRPr="002A5F7A">
              <w:rPr>
                <w:rFonts w:ascii="Times New Roman" w:hAnsi="Times New Roman" w:cs="Times New Roman"/>
              </w:rPr>
              <w:t>2.0-3.2%</w:t>
            </w:r>
          </w:p>
        </w:tc>
      </w:tr>
    </w:tbl>
    <w:p w14:paraId="265A9B09" w14:textId="77777777" w:rsidR="008877A1" w:rsidRPr="002A5F7A" w:rsidRDefault="008877A1">
      <w:pPr>
        <w:spacing w:after="160"/>
        <w:rPr>
          <w:rFonts w:ascii="Times New Roman" w:hAnsi="Times New Roman" w:cs="Times New Roman"/>
        </w:rPr>
      </w:pPr>
    </w:p>
    <w:p w14:paraId="7CFA7CDC" w14:textId="77777777" w:rsidR="008877A1" w:rsidRPr="002A5F7A" w:rsidRDefault="00000000">
      <w:pPr>
        <w:rPr>
          <w:rFonts w:ascii="Times New Roman" w:hAnsi="Times New Roman" w:cs="Times New Roman"/>
        </w:rPr>
      </w:pPr>
      <w:r w:rsidRPr="002A5F7A">
        <w:rPr>
          <w:rFonts w:ascii="Times New Roman" w:hAnsi="Times New Roman" w:cs="Times New Roman"/>
        </w:rPr>
        <w:br w:type="page"/>
      </w:r>
    </w:p>
    <w:p w14:paraId="309506E6" w14:textId="77777777" w:rsidR="008877A1" w:rsidRPr="002A5F7A" w:rsidRDefault="00000000">
      <w:pPr>
        <w:spacing w:before="240" w:after="120" w:line="360" w:lineRule="auto"/>
        <w:rPr>
          <w:rFonts w:ascii="Times New Roman" w:hAnsi="Times New Roman" w:cs="Times New Roman"/>
        </w:rPr>
      </w:pPr>
      <w:r w:rsidRPr="002A5F7A">
        <w:rPr>
          <w:rFonts w:ascii="Times New Roman" w:hAnsi="Times New Roman" w:cs="Times New Roman"/>
          <w:b/>
          <w:sz w:val="28"/>
        </w:rPr>
        <w:lastRenderedPageBreak/>
        <w:t>4. SUGGESTIONS TO IMPROVE PRODUCTION AND DELIVERY EFFICIENCY</w:t>
      </w:r>
    </w:p>
    <w:p w14:paraId="60366C83"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Based on the microeconomic analysis conducted, the following recommendations are proposed to enhance production efficiency, reduce costs, and improve supply chain effectiveness:</w:t>
      </w:r>
    </w:p>
    <w:p w14:paraId="22EDB7F5"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4.1 Cost Minimization Strategies</w:t>
      </w:r>
    </w:p>
    <w:p w14:paraId="14B6E7BB"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Adopt multi-cavity mold technology: Transitioning from 8-cavity to 16-cavity molds can halve per-button production time and reduce average costs by 15-20%.</w:t>
      </w:r>
    </w:p>
    <w:p w14:paraId="47E4AD7A"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Implement hot runner mold systems: These systems reduce material waste from 8-10% to 2-3%, with cost premiums amortized over 100 million+ pieces.</w:t>
      </w:r>
    </w:p>
    <w:p w14:paraId="2ADFF22B"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Negotiate bulk procurement contracts: Large manufacturers achieve 15-20% discounts on polyester resin purchases versus MSMEs.</w:t>
      </w:r>
    </w:p>
    <w:p w14:paraId="6C5A3515"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4.2 Supply Chain Efficiency Improvements</w:t>
      </w:r>
    </w:p>
    <w:p w14:paraId="5BB3622F"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Consolidate shipments using 40-foot containers: This reduces per-unit logistics cost by 25-30% versus Less Container Load (LCL) shipments.</w:t>
      </w:r>
    </w:p>
    <w:p w14:paraId="0BCA9326"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Establish regional distribution centers: Reducing delivery times to garment manufacturers improves service levels and reduces inventory costs.</w:t>
      </w:r>
    </w:p>
    <w:p w14:paraId="757BC5C2"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Implement Just-In-Time (JIT) inventory management: Coordinating production with demand reduces working capital requirements.</w:t>
      </w:r>
    </w:p>
    <w:p w14:paraId="285EA315"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4.3 Sustainable Materials and Recycling</w:t>
      </w:r>
    </w:p>
    <w:p w14:paraId="51A31CFE"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Invest in recycled PET button production: Growing 8-12% annually, this segment commands only 10-20% cost premium while addressing ESG requirements.</w:t>
      </w:r>
    </w:p>
    <w:p w14:paraId="799C173C"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Develop bamboo button capacity: With only 5-10% cost premium and superior sustainability narrative, bamboo buttons serve eco-conscious brands.</w:t>
      </w:r>
    </w:p>
    <w:p w14:paraId="74344644"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Implement Extended Producer Responsibility (EPR) compliance systems.</w:t>
      </w:r>
    </w:p>
    <w:p w14:paraId="14788715" w14:textId="77777777" w:rsidR="008877A1" w:rsidRPr="002A5F7A" w:rsidRDefault="00000000">
      <w:pPr>
        <w:spacing w:before="200" w:after="80" w:line="360" w:lineRule="auto"/>
        <w:rPr>
          <w:rFonts w:ascii="Times New Roman" w:hAnsi="Times New Roman" w:cs="Times New Roman"/>
        </w:rPr>
      </w:pPr>
      <w:r w:rsidRPr="002A5F7A">
        <w:rPr>
          <w:rFonts w:ascii="Times New Roman" w:hAnsi="Times New Roman" w:cs="Times New Roman"/>
          <w:b/>
          <w:sz w:val="24"/>
        </w:rPr>
        <w:t>4.4 Technology Upgradation</w:t>
      </w:r>
    </w:p>
    <w:p w14:paraId="6EE2E527"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Deploy AI-enabled quality control: This reduces defect rates from 2-3% to 0.5-1%, improving customer satisfaction.</w:t>
      </w:r>
    </w:p>
    <w:p w14:paraId="117DEFAC" w14:textId="77777777" w:rsidR="008877A1" w:rsidRPr="002A5F7A" w:rsidRDefault="00000000">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lastRenderedPageBreak/>
        <w:t>Integrate IoT-enabled condition monitoring: Reduces unplanned downtime by 40% through predictive maintenance.</w:t>
      </w:r>
    </w:p>
    <w:p w14:paraId="3036D955" w14:textId="77777777" w:rsidR="002A5F7A" w:rsidRDefault="00000000" w:rsidP="002A5F7A">
      <w:pPr>
        <w:pStyle w:val="ListBullet"/>
        <w:spacing w:line="360" w:lineRule="auto"/>
        <w:ind w:left="720"/>
        <w:jc w:val="both"/>
        <w:rPr>
          <w:rFonts w:ascii="Times New Roman" w:hAnsi="Times New Roman" w:cs="Times New Roman"/>
        </w:rPr>
      </w:pPr>
      <w:r w:rsidRPr="002A5F7A">
        <w:rPr>
          <w:rFonts w:ascii="Times New Roman" w:hAnsi="Times New Roman" w:cs="Times New Roman"/>
          <w:sz w:val="24"/>
        </w:rPr>
        <w:t>Adopt energy-efficient cold-runner injection molding: Reduces energy consumption by 20-25% versus conventional heating methods.</w:t>
      </w:r>
    </w:p>
    <w:p w14:paraId="096453C4" w14:textId="77777777" w:rsidR="002A5F7A" w:rsidRDefault="002A5F7A" w:rsidP="002A5F7A">
      <w:pPr>
        <w:pStyle w:val="ListBullet"/>
        <w:numPr>
          <w:ilvl w:val="0"/>
          <w:numId w:val="0"/>
        </w:numPr>
        <w:spacing w:line="360" w:lineRule="auto"/>
        <w:ind w:left="720"/>
        <w:jc w:val="both"/>
        <w:rPr>
          <w:rFonts w:ascii="Times New Roman" w:hAnsi="Times New Roman" w:cs="Times New Roman"/>
        </w:rPr>
      </w:pPr>
    </w:p>
    <w:p w14:paraId="3B8D2AC1" w14:textId="4EF2F1BD" w:rsidR="002A5F7A" w:rsidRDefault="002A5F7A" w:rsidP="002A5F7A">
      <w:pPr>
        <w:pStyle w:val="ListBullet"/>
        <w:numPr>
          <w:ilvl w:val="0"/>
          <w:numId w:val="0"/>
        </w:numPr>
        <w:spacing w:line="360" w:lineRule="auto"/>
        <w:ind w:left="720"/>
        <w:jc w:val="both"/>
        <w:rPr>
          <w:rFonts w:ascii="Times New Roman" w:hAnsi="Times New Roman" w:cs="Times New Roman"/>
        </w:rPr>
      </w:pPr>
    </w:p>
    <w:p w14:paraId="21D5E57D" w14:textId="31AE1418" w:rsidR="008877A1" w:rsidRPr="002A5F7A" w:rsidRDefault="00000000" w:rsidP="002A5F7A">
      <w:pPr>
        <w:pStyle w:val="ListBullet"/>
        <w:numPr>
          <w:ilvl w:val="0"/>
          <w:numId w:val="0"/>
        </w:numPr>
        <w:spacing w:line="360" w:lineRule="auto"/>
        <w:jc w:val="both"/>
        <w:rPr>
          <w:rFonts w:ascii="Times New Roman" w:hAnsi="Times New Roman" w:cs="Times New Roman"/>
        </w:rPr>
      </w:pPr>
      <w:r w:rsidRPr="002A5F7A">
        <w:rPr>
          <w:rFonts w:ascii="Times New Roman" w:hAnsi="Times New Roman" w:cs="Times New Roman"/>
          <w:b/>
          <w:sz w:val="28"/>
        </w:rPr>
        <w:t>CONCLUSION</w:t>
      </w:r>
    </w:p>
    <w:p w14:paraId="25D1B2B2"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button industry exemplifies elegant microeconomic principles where derived demand, economies of scale, monopolistic competition, and technological disruption converge within a seemingly simple product category. While individual buttons command negligible unit value of Rs. 2-5 per piece, the aggregate market exceeding USD 2 billion reflects structural demand derived from a USD 1.7+ trillion apparel industry.</w:t>
      </w:r>
    </w:p>
    <w:p w14:paraId="78C118AC"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India's prominence in button manufacturing, serving as a cost-competitive global supplier while sustaining legacy artisanal production in regions like Mehsi, illustrates dynamic comparative advantage in labor-intensive manufacturing complemented by technology adoption. The sector's future depends on navigating sustainability imperatives while leveraging technological innovation to sustain margins in competitive markets.</w:t>
      </w:r>
    </w:p>
    <w:p w14:paraId="22DC7FAA" w14:textId="77777777" w:rsidR="008877A1" w:rsidRPr="002A5F7A" w:rsidRDefault="00000000">
      <w:pPr>
        <w:spacing w:after="160" w:line="360" w:lineRule="auto"/>
        <w:jc w:val="both"/>
        <w:rPr>
          <w:rFonts w:ascii="Times New Roman" w:hAnsi="Times New Roman" w:cs="Times New Roman"/>
        </w:rPr>
      </w:pPr>
      <w:r w:rsidRPr="002A5F7A">
        <w:rPr>
          <w:rFonts w:ascii="Times New Roman" w:hAnsi="Times New Roman" w:cs="Times New Roman"/>
          <w:sz w:val="24"/>
        </w:rPr>
        <w:t>The button industry's evolution from cottage industry through the polyester revolution to sustainable innovation demonstrates how microeconomic forces reshape industrial structure and competitive advantage. This assignment has provided comprehensive understanding of how microeconomic theory applies to real-world manufacturing contexts.</w:t>
      </w:r>
    </w:p>
    <w:p w14:paraId="001A55EF" w14:textId="77777777" w:rsidR="008877A1" w:rsidRPr="002A5F7A" w:rsidRDefault="00000000">
      <w:pPr>
        <w:rPr>
          <w:rFonts w:ascii="Times New Roman" w:hAnsi="Times New Roman" w:cs="Times New Roman"/>
        </w:rPr>
      </w:pPr>
      <w:r w:rsidRPr="002A5F7A">
        <w:rPr>
          <w:rFonts w:ascii="Times New Roman" w:hAnsi="Times New Roman" w:cs="Times New Roman"/>
        </w:rPr>
        <w:br w:type="page"/>
      </w:r>
    </w:p>
    <w:p w14:paraId="0D5F55A5" w14:textId="77777777" w:rsidR="008877A1" w:rsidRPr="002A5F7A" w:rsidRDefault="00000000">
      <w:pPr>
        <w:spacing w:before="240" w:after="120" w:line="360" w:lineRule="auto"/>
        <w:rPr>
          <w:rFonts w:ascii="Times New Roman" w:hAnsi="Times New Roman" w:cs="Times New Roman"/>
        </w:rPr>
      </w:pPr>
      <w:r w:rsidRPr="002A5F7A">
        <w:rPr>
          <w:rFonts w:ascii="Times New Roman" w:hAnsi="Times New Roman" w:cs="Times New Roman"/>
          <w:b/>
          <w:sz w:val="28"/>
        </w:rPr>
        <w:lastRenderedPageBreak/>
        <w:t>REFERENCES</w:t>
      </w:r>
    </w:p>
    <w:p w14:paraId="1D6547AD"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 Market Reports World. (2024). Buttons for Clothing Market Size, Share &amp; Trends Analysis Report.</w:t>
      </w:r>
    </w:p>
    <w:p w14:paraId="517B8A8D"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[2] Grand View Research. (2024). Apparel Market Size, Share &amp; Trends Analysis Report.</w:t>
      </w:r>
    </w:p>
    <w:p w14:paraId="0B7F12F3"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[3] East Champaran District Administration. (2024). Mehsi Button Industry - Historical Overview.</w:t>
      </w:r>
    </w:p>
    <w:p w14:paraId="2506B1F2"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[4] Verified Market Reports. (2024). Automatic Button Making Machines Market Report.</w:t>
      </w:r>
    </w:p>
    <w:p w14:paraId="0CE55733"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[5] Apparel Resources. (2024). India's Bhansali Buttons: Innovation and Quality in Export Markets.</w:t>
      </w:r>
    </w:p>
    <w:p w14:paraId="554F018A"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[6] Chetna International. (2024). Quality vs Cost: Buttons in Bulk Procurement.</w:t>
      </w:r>
    </w:p>
    <w:p w14:paraId="52FAE5F2"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[7] Market Research Future. (2024). India Apparel Market Size, Share &amp; Industry Analysis.</w:t>
      </w:r>
    </w:p>
    <w:p w14:paraId="7E545472"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[8] ClearTax. (2024). GST Rates for Buttons, Press Fasteners - HSN Code 9606.</w:t>
      </w:r>
    </w:p>
    <w:p w14:paraId="043889F6"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[9] GST Lawyer. (2024). GST Provisions for the Textile Industry in India.</w:t>
      </w:r>
    </w:p>
    <w:p w14:paraId="08114F41"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[10] Corpbiz. (2024). Environmental Compliance for Plastic Button Manufacturers.</w:t>
      </w:r>
    </w:p>
    <w:p w14:paraId="1B1A1C86"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[11] Cotton Monk. (2024). Sustainable Buttons: Eco-Friendly Fasteners Guide.</w:t>
      </w:r>
    </w:p>
    <w:p w14:paraId="53C50517"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[12] OEC World. (2024). Global Button Trade Statistics and Analysis.</w:t>
      </w:r>
    </w:p>
    <w:p w14:paraId="486116FA"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[13] IBEF. (2024). Indian Apparel Industry Analysis and Export Data.</w:t>
      </w:r>
    </w:p>
    <w:p w14:paraId="4FBB4392"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[14] Scribd. (2020). Plastic Button Manufacturing Project Report.</w:t>
      </w:r>
    </w:p>
    <w:p w14:paraId="5E1C0E35"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[15] Gabe Clothing. (2024). Clothing Manufacturing Costs Breakdown.</w:t>
      </w:r>
    </w:p>
    <w:p w14:paraId="7559DCBF"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[16] Investopedia. (2024). Derived Demand - Economic Concept Explanation.</w:t>
      </w:r>
    </w:p>
    <w:p w14:paraId="13766EE5" w14:textId="77777777" w:rsidR="008877A1" w:rsidRPr="002A5F7A" w:rsidRDefault="00000000">
      <w:pPr>
        <w:spacing w:line="360" w:lineRule="auto"/>
        <w:ind w:left="720" w:hanging="720"/>
        <w:rPr>
          <w:rFonts w:ascii="Times New Roman" w:hAnsi="Times New Roman" w:cs="Times New Roman"/>
        </w:rPr>
      </w:pPr>
      <w:r w:rsidRPr="002A5F7A">
        <w:rPr>
          <w:rFonts w:ascii="Times New Roman" w:hAnsi="Times New Roman" w:cs="Times New Roman"/>
        </w:rPr>
        <w:t>[17] 6W Research. (2024). India Buttons for Clothing Market Outlook.</w:t>
      </w:r>
    </w:p>
    <w:sectPr w:rsidR="008877A1" w:rsidRPr="002A5F7A" w:rsidSect="00034616">
      <w:footerReference w:type="default" r:id="rId13"/>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231CA" w14:textId="77777777" w:rsidR="007B3572" w:rsidRDefault="007B3572">
      <w:pPr>
        <w:spacing w:after="0" w:line="240" w:lineRule="auto"/>
      </w:pPr>
      <w:r>
        <w:separator/>
      </w:r>
    </w:p>
  </w:endnote>
  <w:endnote w:type="continuationSeparator" w:id="0">
    <w:p w14:paraId="203027D8" w14:textId="77777777" w:rsidR="007B3572" w:rsidRDefault="007B35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75511" w14:textId="77777777" w:rsidR="008877A1" w:rsidRDefault="00000000">
    <w:pPr>
      <w:pStyle w:val="Footer"/>
      <w:jc w:val="center"/>
    </w:pPr>
    <w:r>
      <w:rPr>
        <w:rFonts w:ascii="Times New Roman" w:hAnsi="Times New Roman"/>
      </w:rPr>
      <w:fldChar w:fldCharType="begin"/>
    </w:r>
    <w:r>
      <w:rPr>
        <w:rFonts w:ascii="Times New Roman" w:hAnsi="Times New Roman"/>
      </w:rPr>
      <w:instrText>PAGE</w:instrText>
    </w:r>
    <w:r w:rsidR="00772A5A">
      <w:rPr>
        <w:rFonts w:ascii="Times New Roman" w:hAnsi="Times New Roman"/>
      </w:rPr>
      <w:fldChar w:fldCharType="separate"/>
    </w:r>
    <w:r w:rsidR="00772A5A">
      <w:rPr>
        <w:rFonts w:ascii="Times New Roman" w:hAnsi="Times New Roman"/>
        <w:noProof/>
      </w:rPr>
      <w:t>1</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B908B" w14:textId="77777777" w:rsidR="007B3572" w:rsidRDefault="007B3572">
      <w:pPr>
        <w:spacing w:after="0" w:line="240" w:lineRule="auto"/>
      </w:pPr>
      <w:r>
        <w:separator/>
      </w:r>
    </w:p>
  </w:footnote>
  <w:footnote w:type="continuationSeparator" w:id="0">
    <w:p w14:paraId="0EFD84B1" w14:textId="77777777" w:rsidR="007B3572" w:rsidRDefault="007B35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513145">
    <w:abstractNumId w:val="8"/>
  </w:num>
  <w:num w:numId="2" w16cid:durableId="1544752459">
    <w:abstractNumId w:val="6"/>
  </w:num>
  <w:num w:numId="3" w16cid:durableId="1776241767">
    <w:abstractNumId w:val="5"/>
  </w:num>
  <w:num w:numId="4" w16cid:durableId="1082996017">
    <w:abstractNumId w:val="4"/>
  </w:num>
  <w:num w:numId="5" w16cid:durableId="1924754685">
    <w:abstractNumId w:val="7"/>
  </w:num>
  <w:num w:numId="6" w16cid:durableId="1424566249">
    <w:abstractNumId w:val="3"/>
  </w:num>
  <w:num w:numId="7" w16cid:durableId="1967540936">
    <w:abstractNumId w:val="2"/>
  </w:num>
  <w:num w:numId="8" w16cid:durableId="2013757128">
    <w:abstractNumId w:val="1"/>
  </w:num>
  <w:num w:numId="9" w16cid:durableId="26412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F7A"/>
    <w:rsid w:val="00326F90"/>
    <w:rsid w:val="00772A5A"/>
    <w:rsid w:val="007B3572"/>
    <w:rsid w:val="008877A1"/>
    <w:rsid w:val="00AA1D8D"/>
    <w:rsid w:val="00B47730"/>
    <w:rsid w:val="00BB4CE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ED69B"/>
  <w14:defaultImageDpi w14:val="300"/>
  <w15:docId w15:val="{BBF77F8C-8F90-4690-86DB-73E75CC7C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17</Pages>
  <Words>3444</Words>
  <Characters>19633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Nakul Nandanwar</cp:lastModifiedBy>
  <cp:revision>3</cp:revision>
  <dcterms:created xsi:type="dcterms:W3CDTF">2013-12-23T23:15:00Z</dcterms:created>
  <dcterms:modified xsi:type="dcterms:W3CDTF">2026-01-03T07:36:00Z</dcterms:modified>
  <cp:category/>
</cp:coreProperties>
</file>