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MICROECONOMICS PRODUCT ASSIGNMENT</w:t>
      </w:r>
    </w:p>
    <w:p/>
    <w:p>
      <w:pPr>
        <w:jc w:val="center"/>
      </w:pPr>
      <w:r>
        <w:rPr>
          <w:b/>
          <w:sz w:val="36"/>
        </w:rPr>
        <w:t>POWER BANK</w:t>
      </w:r>
    </w:p>
    <w:p>
      <w:pPr>
        <w:jc w:val="center"/>
      </w:pPr>
      <w:r>
        <w:rPr>
          <w:i/>
        </w:rPr>
        <w:t>A Microeconomic Analysis of Production, Cost, Demand, and Market Dynamics</w:t>
      </w:r>
    </w:p>
    <w:p/>
    <w:p/>
    <w:p>
      <w:pPr>
        <w:jc w:val="center"/>
      </w:pPr>
      <w:r>
        <w:rPr>
          <w:b/>
        </w:rPr>
        <w:t xml:space="preserve">Name: </w:t>
      </w:r>
      <w:r>
        <w:t>Nakul Nandanwar</w:t>
      </w:r>
    </w:p>
    <w:p>
      <w:pPr>
        <w:jc w:val="center"/>
      </w:pPr>
      <w:r>
        <w:rPr>
          <w:b/>
        </w:rPr>
        <w:t xml:space="preserve">Roll No: </w:t>
      </w:r>
      <w:r>
        <w:t>HBM25114</w:t>
      </w:r>
    </w:p>
    <w:p>
      <w:pPr>
        <w:jc w:val="center"/>
      </w:pPr>
      <w:r>
        <w:rPr>
          <w:b/>
        </w:rPr>
        <w:t xml:space="preserve">Class: </w:t>
      </w:r>
      <w:r>
        <w:t>MMS Batch 2025-27</w:t>
      </w:r>
    </w:p>
    <w:p>
      <w:pPr>
        <w:jc w:val="center"/>
      </w:pPr>
      <w:r>
        <w:rPr>
          <w:b/>
        </w:rPr>
        <w:t xml:space="preserve">Semester: </w:t>
      </w:r>
      <w:r>
        <w:t>01st</w:t>
      </w:r>
    </w:p>
    <w:p>
      <w:pPr>
        <w:jc w:val="center"/>
      </w:pPr>
      <w:r>
        <w:rPr>
          <w:b/>
        </w:rPr>
        <w:t xml:space="preserve">Academic Year: </w:t>
      </w:r>
      <w:r>
        <w:t>2025-2026</w:t>
      </w:r>
    </w:p>
    <w:p>
      <w:pPr>
        <w:jc w:val="center"/>
      </w:pPr>
      <w:r>
        <w:rPr>
          <w:b/>
        </w:rPr>
        <w:t xml:space="preserve">Institute: </w:t>
      </w:r>
      <w:r>
        <w:t>Sydenham Institute of Management Studies,</w:t>
      </w:r>
    </w:p>
    <w:p>
      <w:pPr>
        <w:jc w:val="center"/>
      </w:pPr>
      <w:r>
        <w:t>Research and Entrepreneurship Education, Mumbai</w:t>
      </w:r>
    </w:p>
    <w:p>
      <w:r>
        <w:br w:type="page"/>
      </w:r>
    </w:p>
    <w:p>
      <w:r>
        <w:rPr>
          <w:b/>
          <w:sz w:val="28"/>
        </w:rPr>
        <w:t>1. INTRODUCTION AND EVOLUTION</w:t>
      </w:r>
    </w:p>
    <w:p>
      <w:pPr>
        <w:jc w:val="both"/>
      </w:pPr>
      <w:r>
        <w:t>A power bank, also known as a portable charger or battery pack, is a portable device designed to store electrical energy and provide on-demand charging for electronic devices. In economic terms, it represents a complementary good to smartphones, tablets, laptops, and other portable electronics, with demand fundamentally derived from the primary device market. The significance of power banks extends beyond mere convenience, serving as essential accessories for professionals, travelers, and individuals in areas with unreliable power infrastructure.</w:t>
      </w:r>
    </w:p>
    <w:p>
      <w:pPr>
        <w:jc w:val="both"/>
      </w:pPr>
      <w:r>
        <w:t>The global power bank market has experienced remarkable growth, reaching a valuation of USD 14.2 billion in 2024, with projections indicating continued expansion at a compound annual growth rate (CAGR) of 6.8% through 2030. This growth trajectory reflects increasing smartphone penetration globally, rising mobile data consumption patterns, and the proliferation of power-intensive applications including video streaming, gaming, and GPS navigation that rapidly drain device batteries.</w:t>
      </w:r>
    </w:p>
    <w:p>
      <w:pPr>
        <w:jc w:val="both"/>
      </w:pPr>
      <w:r>
        <w:t>The Indian market has emerged as one of the fastest-growing segments globally, valued at USD 963.31 million in 2024 with a projected CAGR of 11.5% through 2033. This accelerated growth is driven by smartphone penetration exceeding 750 million users, frequent power outages in tier-2 and tier-3 cities, increasing dependence on mobile devices for digital payments and e-commerce, and the rise of the gig economy requiring constant device availability.</w:t>
      </w:r>
    </w:p>
    <w:p>
      <w:r>
        <w:rPr>
          <w:b/>
          <w:sz w:val="20"/>
        </w:rPr>
        <w:t>Table 1: Global Power Bank Market Overview (2024)</w:t>
      </w:r>
    </w:p>
    <w:tbl>
      <w:tblPr>
        <w:tblStyle w:val="TableGrid"/>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Global Market Size (2024)</w:t>
            </w:r>
          </w:p>
        </w:tc>
        <w:tc>
          <w:tcPr>
            <w:tcW w:type="dxa" w:w="4320"/>
          </w:tcPr>
          <w:p>
            <w:r>
              <w:t>USD 14.2 billion</w:t>
            </w:r>
          </w:p>
        </w:tc>
      </w:tr>
      <w:tr>
        <w:tc>
          <w:tcPr>
            <w:tcW w:type="dxa" w:w="4320"/>
          </w:tcPr>
          <w:p>
            <w:r>
              <w:t>India Market Size (2024)</w:t>
            </w:r>
          </w:p>
        </w:tc>
        <w:tc>
          <w:tcPr>
            <w:tcW w:type="dxa" w:w="4320"/>
          </w:tcPr>
          <w:p>
            <w:r>
              <w:t>USD 963.31 million</w:t>
            </w:r>
          </w:p>
        </w:tc>
      </w:tr>
      <w:tr>
        <w:tc>
          <w:tcPr>
            <w:tcW w:type="dxa" w:w="4320"/>
          </w:tcPr>
          <w:p>
            <w:r>
              <w:t>Global CAGR (2024-2030)</w:t>
            </w:r>
          </w:p>
        </w:tc>
        <w:tc>
          <w:tcPr>
            <w:tcW w:type="dxa" w:w="4320"/>
          </w:tcPr>
          <w:p>
            <w:r>
              <w:t>6.8%</w:t>
            </w:r>
          </w:p>
        </w:tc>
      </w:tr>
      <w:tr>
        <w:tc>
          <w:tcPr>
            <w:tcW w:type="dxa" w:w="4320"/>
          </w:tcPr>
          <w:p>
            <w:r>
              <w:t>India CAGR (2024-2033)</w:t>
            </w:r>
          </w:p>
        </w:tc>
        <w:tc>
          <w:tcPr>
            <w:tcW w:type="dxa" w:w="4320"/>
          </w:tcPr>
          <w:p>
            <w:r>
              <w:t>11.5%</w:t>
            </w:r>
          </w:p>
        </w:tc>
      </w:tr>
      <w:tr>
        <w:tc>
          <w:tcPr>
            <w:tcW w:type="dxa" w:w="4320"/>
          </w:tcPr>
          <w:p>
            <w:r>
              <w:t>Indian Smartphone Users</w:t>
            </w:r>
          </w:p>
        </w:tc>
        <w:tc>
          <w:tcPr>
            <w:tcW w:type="dxa" w:w="4320"/>
          </w:tcPr>
          <w:p>
            <w:r>
              <w:t>750+ million</w:t>
            </w:r>
          </w:p>
        </w:tc>
      </w:tr>
      <w:tr>
        <w:tc>
          <w:tcPr>
            <w:tcW w:type="dxa" w:w="4320"/>
          </w:tcPr>
          <w:p>
            <w:r>
              <w:t>Key Growth Driver</w:t>
            </w:r>
          </w:p>
        </w:tc>
        <w:tc>
          <w:tcPr>
            <w:tcW w:type="dxa" w:w="4320"/>
          </w:tcPr>
          <w:p>
            <w:r>
              <w:t>Smartphone penetration</w:t>
            </w:r>
          </w:p>
        </w:tc>
      </w:tr>
    </w:tbl>
    <w:p/>
    <w:p>
      <w:r>
        <w:rPr>
          <w:b/>
          <w:sz w:val="24"/>
        </w:rPr>
        <w:t>1.1 Historical Evolution of Power Banks</w:t>
      </w:r>
    </w:p>
    <w:p>
      <w:pPr>
        <w:jc w:val="both"/>
      </w:pPr>
      <w:r>
        <w:t>The evolution of power banks closely parallels the development of portable electronics and battery technology over the past two decades. The Early Development phase (2001-2008) witnessed the emergence of basic portable chargers utilizing nickel-metal hydride (NiMH) and early lithium-ion batteries with limited capacity of 1,000-2,000 mAh. These primitive devices were characterized by bulky form factors, low energy density, slow charging speeds, and primarily targeted niche professional markets including photographers and field technicians.</w:t>
      </w:r>
    </w:p>
    <w:p>
      <w:pPr>
        <w:jc w:val="both"/>
      </w:pPr>
      <w:r>
        <w:t>The Lithium-ion Revolution (2008-2014) marked a transformative period in power bank development, coinciding with the smartphone boom initiated by the iPhone and Android ecosystem. Advanced lithium-ion and lithium-polymer cells enabled lighter, slimmer designs with capacities reaching 2,000-10,000 mAh. Manufacturing costs declined significantly as Chinese producers achieved economies of scale, making power banks accessible to mass-market consumers. The introduction of standardized micro-USB charging further accelerated adoption.</w:t>
      </w:r>
    </w:p>
    <w:p>
      <w:pPr>
        <w:jc w:val="both"/>
      </w:pPr>
      <w:r>
        <w:t>The Fast Charging Era (2014-2020) introduced revolutionary charging technologies including Qualcomm Quick Charge 2.0, 3.0, and 4.0, USB Power Delivery (USB-C PD), and proprietary protocols such as Xiaomi Mi Turbo Charge, OPPO VOOC, and OnePlus Warp Charge. Power banks evolved to support these technologies, enabling 50% charge in 30 minutes versus 2+ hours with conventional charging. Capacities expanded to 10,000-20,000 mAh while maintaining portable form factors.</w:t>
      </w:r>
    </w:p>
    <w:p>
      <w:pPr>
        <w:jc w:val="both"/>
      </w:pPr>
      <w:r>
        <w:t>Contemporary power banks (2020-present) incorporate cutting-edge features including wireless Qi charging, Gallium Nitride (GaN) technology enabling compact high-wattage adapters up to 100W+, integrated solar panels for outdoor charging, pass-through charging capability, smart power management with LED displays, and multi-device simultaneous charging. Capacities now range from ultra-portable 5,000 mAh units to high-capacity 50,000 mAh power stations capable of charging laptops multiple times.</w:t>
      </w:r>
    </w:p>
    <w:p>
      <w:r>
        <w:rPr>
          <w:b/>
          <w:sz w:val="20"/>
        </w:rPr>
        <w:t>Table 2: Power Bank Technology Evolution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Era</w:t>
            </w:r>
          </w:p>
        </w:tc>
        <w:tc>
          <w:tcPr>
            <w:tcW w:type="dxa" w:w="2160"/>
          </w:tcPr>
          <w:p>
            <w:r>
              <w:rPr>
                <w:b/>
              </w:rPr>
              <w:t>Years</w:t>
            </w:r>
          </w:p>
        </w:tc>
        <w:tc>
          <w:tcPr>
            <w:tcW w:type="dxa" w:w="2160"/>
          </w:tcPr>
          <w:p>
            <w:r>
              <w:rPr>
                <w:b/>
              </w:rPr>
              <w:t>Key Technology</w:t>
            </w:r>
          </w:p>
        </w:tc>
        <w:tc>
          <w:tcPr>
            <w:tcW w:type="dxa" w:w="2160"/>
          </w:tcPr>
          <w:p>
            <w:r>
              <w:rPr>
                <w:b/>
              </w:rPr>
              <w:t>Capacity Range</w:t>
            </w:r>
          </w:p>
        </w:tc>
      </w:tr>
      <w:tr>
        <w:tc>
          <w:tcPr>
            <w:tcW w:type="dxa" w:w="2160"/>
          </w:tcPr>
          <w:p>
            <w:r>
              <w:t>Early Development</w:t>
            </w:r>
          </w:p>
        </w:tc>
        <w:tc>
          <w:tcPr>
            <w:tcW w:type="dxa" w:w="2160"/>
          </w:tcPr>
          <w:p>
            <w:r>
              <w:t>2001-2008</w:t>
            </w:r>
          </w:p>
        </w:tc>
        <w:tc>
          <w:tcPr>
            <w:tcW w:type="dxa" w:w="2160"/>
          </w:tcPr>
          <w:p>
            <w:r>
              <w:t>NiMH, Early Li-ion</w:t>
            </w:r>
          </w:p>
        </w:tc>
        <w:tc>
          <w:tcPr>
            <w:tcW w:type="dxa" w:w="2160"/>
          </w:tcPr>
          <w:p>
            <w:r>
              <w:t>1,000-2,000 mAh</w:t>
            </w:r>
          </w:p>
        </w:tc>
      </w:tr>
      <w:tr>
        <w:tc>
          <w:tcPr>
            <w:tcW w:type="dxa" w:w="2160"/>
          </w:tcPr>
          <w:p>
            <w:r>
              <w:t>Li-ion Revolution</w:t>
            </w:r>
          </w:p>
        </w:tc>
        <w:tc>
          <w:tcPr>
            <w:tcW w:type="dxa" w:w="2160"/>
          </w:tcPr>
          <w:p>
            <w:r>
              <w:t>2008-2014</w:t>
            </w:r>
          </w:p>
        </w:tc>
        <w:tc>
          <w:tcPr>
            <w:tcW w:type="dxa" w:w="2160"/>
          </w:tcPr>
          <w:p>
            <w:r>
              <w:t>Lithium-ion/polymer cells</w:t>
            </w:r>
          </w:p>
        </w:tc>
        <w:tc>
          <w:tcPr>
            <w:tcW w:type="dxa" w:w="2160"/>
          </w:tcPr>
          <w:p>
            <w:r>
              <w:t>2,000-10,000 mAh</w:t>
            </w:r>
          </w:p>
        </w:tc>
      </w:tr>
      <w:tr>
        <w:tc>
          <w:tcPr>
            <w:tcW w:type="dxa" w:w="2160"/>
          </w:tcPr>
          <w:p>
            <w:r>
              <w:t>Fast Charging</w:t>
            </w:r>
          </w:p>
        </w:tc>
        <w:tc>
          <w:tcPr>
            <w:tcW w:type="dxa" w:w="2160"/>
          </w:tcPr>
          <w:p>
            <w:r>
              <w:t>2014-2020</w:t>
            </w:r>
          </w:p>
        </w:tc>
        <w:tc>
          <w:tcPr>
            <w:tcW w:type="dxa" w:w="2160"/>
          </w:tcPr>
          <w:p>
            <w:r>
              <w:t>QC 2.0/3.0/4.0, USB-C PD</w:t>
            </w:r>
          </w:p>
        </w:tc>
        <w:tc>
          <w:tcPr>
            <w:tcW w:type="dxa" w:w="2160"/>
          </w:tcPr>
          <w:p>
            <w:r>
              <w:t>10,000-20,000 mAh</w:t>
            </w:r>
          </w:p>
        </w:tc>
      </w:tr>
      <w:tr>
        <w:tc>
          <w:tcPr>
            <w:tcW w:type="dxa" w:w="2160"/>
          </w:tcPr>
          <w:p>
            <w:r>
              <w:t>Contemporary</w:t>
            </w:r>
          </w:p>
        </w:tc>
        <w:tc>
          <w:tcPr>
            <w:tcW w:type="dxa" w:w="2160"/>
          </w:tcPr>
          <w:p>
            <w:r>
              <w:t>2020-Present</w:t>
            </w:r>
          </w:p>
        </w:tc>
        <w:tc>
          <w:tcPr>
            <w:tcW w:type="dxa" w:w="2160"/>
          </w:tcPr>
          <w:p>
            <w:r>
              <w:t>GaN, Wireless, Solar</w:t>
            </w:r>
          </w:p>
        </w:tc>
        <w:tc>
          <w:tcPr>
            <w:tcW w:type="dxa" w:w="2160"/>
          </w:tcPr>
          <w:p>
            <w:r>
              <w:t>5,000-50,000 mAh</w:t>
            </w:r>
          </w:p>
        </w:tc>
      </w:tr>
    </w:tbl>
    <w:p/>
    <w:p>
      <w:r>
        <w:rPr>
          <w:b/>
          <w:sz w:val="24"/>
        </w:rPr>
        <w:t>1.2 Types of Power Banks</w:t>
      </w:r>
    </w:p>
    <w:p>
      <w:pPr>
        <w:jc w:val="both"/>
      </w:pPr>
      <w:r>
        <w:t>The power bank market exhibits significant product differentiation to address diverse consumer needs, usage patterns, and price sensitivities. Standard power banks constitute approximately 60% of the market, offering basic 5V/2A charging functionality at accessible price points of ₹500-1,200. These devices target price-sensitive consumers seeking reliable backup power without premium features.</w:t>
      </w:r>
    </w:p>
    <w:p>
      <w:pPr>
        <w:jc w:val="both"/>
      </w:pPr>
      <w:r>
        <w:t>Fast-charging power banks represent 25% of market share with impressive 18% year-over-year growth, driven by consumer demand for reduced charging times compatible with modern smartphones. These units support 18W-65W output, enabling a full smartphone charge in under 90 minutes. Wireless power banks capture 8% of the market, experiencing 25% annual growth as Qi-compatible devices including iPhones, Samsung Galaxy series, and wireless earbuds proliferate. Solar-powered units maintain 5% market share, primarily serving outdoor enthusiasts, emergency preparedness markets, and rural consumers with limited grid access.</w:t>
      </w:r>
    </w:p>
    <w:p>
      <w:r>
        <w:rPr>
          <w:b/>
          <w:sz w:val="20"/>
        </w:rPr>
        <w:t>Table 3: Power Bank Categories and Market Segments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Category</w:t>
            </w:r>
          </w:p>
        </w:tc>
        <w:tc>
          <w:tcPr>
            <w:tcW w:type="dxa" w:w="1728"/>
          </w:tcPr>
          <w:p>
            <w:r>
              <w:rPr>
                <w:b/>
              </w:rPr>
              <w:t>Capacity Range</w:t>
            </w:r>
          </w:p>
        </w:tc>
        <w:tc>
          <w:tcPr>
            <w:tcW w:type="dxa" w:w="1728"/>
          </w:tcPr>
          <w:p>
            <w:r>
              <w:rPr>
                <w:b/>
              </w:rPr>
              <w:t>Price Range (₹)</w:t>
            </w:r>
          </w:p>
        </w:tc>
        <w:tc>
          <w:tcPr>
            <w:tcW w:type="dxa" w:w="1728"/>
          </w:tcPr>
          <w:p>
            <w:r>
              <w:rPr>
                <w:b/>
              </w:rPr>
              <w:t>Market Share</w:t>
            </w:r>
          </w:p>
        </w:tc>
        <w:tc>
          <w:tcPr>
            <w:tcW w:type="dxa" w:w="1728"/>
          </w:tcPr>
          <w:p>
            <w:r>
              <w:rPr>
                <w:b/>
              </w:rPr>
              <w:t>Growth Rate</w:t>
            </w:r>
          </w:p>
        </w:tc>
      </w:tr>
      <w:tr>
        <w:tc>
          <w:tcPr>
            <w:tcW w:type="dxa" w:w="1728"/>
          </w:tcPr>
          <w:p>
            <w:r>
              <w:t>Standard</w:t>
            </w:r>
          </w:p>
        </w:tc>
        <w:tc>
          <w:tcPr>
            <w:tcW w:type="dxa" w:w="1728"/>
          </w:tcPr>
          <w:p>
            <w:r>
              <w:t>5,000-10,000 mAh</w:t>
            </w:r>
          </w:p>
        </w:tc>
        <w:tc>
          <w:tcPr>
            <w:tcW w:type="dxa" w:w="1728"/>
          </w:tcPr>
          <w:p>
            <w:r>
              <w:t>500-1,200</w:t>
            </w:r>
          </w:p>
        </w:tc>
        <w:tc>
          <w:tcPr>
            <w:tcW w:type="dxa" w:w="1728"/>
          </w:tcPr>
          <w:p>
            <w:r>
              <w:t>60%</w:t>
            </w:r>
          </w:p>
        </w:tc>
        <w:tc>
          <w:tcPr>
            <w:tcW w:type="dxa" w:w="1728"/>
          </w:tcPr>
          <w:p>
            <w:r>
              <w:t>5% YoY</w:t>
            </w:r>
          </w:p>
        </w:tc>
      </w:tr>
      <w:tr>
        <w:tc>
          <w:tcPr>
            <w:tcW w:type="dxa" w:w="1728"/>
          </w:tcPr>
          <w:p>
            <w:r>
              <w:t>Fast Charging</w:t>
            </w:r>
          </w:p>
        </w:tc>
        <w:tc>
          <w:tcPr>
            <w:tcW w:type="dxa" w:w="1728"/>
          </w:tcPr>
          <w:p>
            <w:r>
              <w:t>10,000-20,000 mAh</w:t>
            </w:r>
          </w:p>
        </w:tc>
        <w:tc>
          <w:tcPr>
            <w:tcW w:type="dxa" w:w="1728"/>
          </w:tcPr>
          <w:p>
            <w:r>
              <w:t>1,200-2,500</w:t>
            </w:r>
          </w:p>
        </w:tc>
        <w:tc>
          <w:tcPr>
            <w:tcW w:type="dxa" w:w="1728"/>
          </w:tcPr>
          <w:p>
            <w:r>
              <w:t>25%</w:t>
            </w:r>
          </w:p>
        </w:tc>
        <w:tc>
          <w:tcPr>
            <w:tcW w:type="dxa" w:w="1728"/>
          </w:tcPr>
          <w:p>
            <w:r>
              <w:t>18% YoY</w:t>
            </w:r>
          </w:p>
        </w:tc>
      </w:tr>
      <w:tr>
        <w:tc>
          <w:tcPr>
            <w:tcW w:type="dxa" w:w="1728"/>
          </w:tcPr>
          <w:p>
            <w:r>
              <w:t>Wireless</w:t>
            </w:r>
          </w:p>
        </w:tc>
        <w:tc>
          <w:tcPr>
            <w:tcW w:type="dxa" w:w="1728"/>
          </w:tcPr>
          <w:p>
            <w:r>
              <w:t>10,000-15,000 mAh</w:t>
            </w:r>
          </w:p>
        </w:tc>
        <w:tc>
          <w:tcPr>
            <w:tcW w:type="dxa" w:w="1728"/>
          </w:tcPr>
          <w:p>
            <w:r>
              <w:t>1,500-3,500</w:t>
            </w:r>
          </w:p>
        </w:tc>
        <w:tc>
          <w:tcPr>
            <w:tcW w:type="dxa" w:w="1728"/>
          </w:tcPr>
          <w:p>
            <w:r>
              <w:t>8%</w:t>
            </w:r>
          </w:p>
        </w:tc>
        <w:tc>
          <w:tcPr>
            <w:tcW w:type="dxa" w:w="1728"/>
          </w:tcPr>
          <w:p>
            <w:r>
              <w:t>25% YoY</w:t>
            </w:r>
          </w:p>
        </w:tc>
      </w:tr>
      <w:tr>
        <w:tc>
          <w:tcPr>
            <w:tcW w:type="dxa" w:w="1728"/>
          </w:tcPr>
          <w:p>
            <w:r>
              <w:t>Solar</w:t>
            </w:r>
          </w:p>
        </w:tc>
        <w:tc>
          <w:tcPr>
            <w:tcW w:type="dxa" w:w="1728"/>
          </w:tcPr>
          <w:p>
            <w:r>
              <w:t>10,000-25,000 mAh</w:t>
            </w:r>
          </w:p>
        </w:tc>
        <w:tc>
          <w:tcPr>
            <w:tcW w:type="dxa" w:w="1728"/>
          </w:tcPr>
          <w:p>
            <w:r>
              <w:t>1,800-4,000</w:t>
            </w:r>
          </w:p>
        </w:tc>
        <w:tc>
          <w:tcPr>
            <w:tcW w:type="dxa" w:w="1728"/>
          </w:tcPr>
          <w:p>
            <w:r>
              <w:t>5%</w:t>
            </w:r>
          </w:p>
        </w:tc>
        <w:tc>
          <w:tcPr>
            <w:tcW w:type="dxa" w:w="1728"/>
          </w:tcPr>
          <w:p>
            <w:r>
              <w:t>12% YoY</w:t>
            </w:r>
          </w:p>
        </w:tc>
      </w:tr>
    </w:tbl>
    <w:p/>
    <w:p>
      <w:r>
        <w:rPr>
          <w:b/>
          <w:sz w:val="24"/>
        </w:rPr>
        <w:t>1.3 Product Classification: Sunrise, Sunset, or Evergreen?</w:t>
      </w:r>
    </w:p>
    <w:p>
      <w:pPr>
        <w:jc w:val="both"/>
      </w:pPr>
      <w:r>
        <w:t>Analyzing the power bank product category through the lens of product lifecycle classification reveals characteristics of a SUNRISE product exhibiting clear transition toward EVERGREEN status. The robust 11.5% CAGR in India, continuous technological innovation (fast charging, wireless, GaN, solar), expanding use cases (laptops, tablets, wearables, drones, cameras), and strong replacement demand indicate sustained growth potential extending well into the next decade.</w:t>
      </w:r>
    </w:p>
    <w:p>
      <w:pPr>
        <w:jc w:val="both"/>
      </w:pPr>
      <w:r>
        <w:t>However, the mature smartphone market in developed regions, established competitive landscape with dominant players, and stabilizing technology standards suggest emerging characteristics typical of evergreen products. The evergreen nature is evidenced by the fact that despite technological advances in smartphone battery capacity, power bank demand continues growing due to increasing device usage intensity and multi-device ownership patterns.</w:t>
      </w:r>
    </w:p>
    <w:p>
      <w:r>
        <w:br w:type="page"/>
      </w:r>
    </w:p>
    <w:p>
      <w:r>
        <w:rPr>
          <w:b/>
          <w:sz w:val="28"/>
        </w:rPr>
        <w:t>2. BACKEND ANALYSIS: PRODUCTION AND COST ECONOMICS</w:t>
      </w:r>
    </w:p>
    <w:p>
      <w:r>
        <w:rPr>
          <w:b/>
          <w:sz w:val="24"/>
        </w:rPr>
        <w:t>2.1 Production Modality and Technology</w:t>
      </w:r>
    </w:p>
    <w:p>
      <w:pPr>
        <w:jc w:val="both"/>
      </w:pPr>
      <w:r>
        <w:t>Power bank manufacturing involves a sophisticated multi-stage assembly process combining battery cell production with electronic assembly, enclosure manufacturing, and quality assurance testing. The production workflow encompasses: (1) cell selection and grading based on capacity and internal resistance testing, (2) spot welding of cells into battery packs, (3) PCB assembly with PMIC (Power Management Integrated Circuit) integration, (4) enclosure injection molding or aluminum CNC machining, (5) final assembly combining electronics with enclosure, and (6) comprehensive quality control including capacity verification, safety testing, and cosmetic inspection.</w:t>
      </w:r>
    </w:p>
    <w:p>
      <w:pPr>
        <w:jc w:val="both"/>
      </w:pPr>
      <w:r>
        <w:t>Production scales vary significantly in capital requirements, output capacity, and unit economics. Small-scale manufacturing operations require initial investments of Rs. 20-40 lakhs, typically producing 5,000-15,000 units monthly with higher per-unit costs due to limited bargaining power with suppliers. Medium-scale facilities invest Rs. 75 lakhs to 2 crores, achieving 30,000-80,000 units monthly with 8-12% lower unit costs through improved supplier negotiations. Large-scale manufacturers commit Rs. 5-15 crores, producing 200,000+ units monthly with 15-20% cost advantages through automated production lines, bulk material procurement, and optimized logistics.</w:t>
      </w:r>
    </w:p>
    <w:p>
      <w:r>
        <w:rPr>
          <w:b/>
          <w:sz w:val="20"/>
        </w:rPr>
        <w:t>Table 4: Manufacturing Scale and Efficiency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Scale</w:t>
            </w:r>
          </w:p>
        </w:tc>
        <w:tc>
          <w:tcPr>
            <w:tcW w:type="dxa" w:w="2160"/>
          </w:tcPr>
          <w:p>
            <w:r>
              <w:rPr>
                <w:b/>
              </w:rPr>
              <w:t>Investment (₹)</w:t>
            </w:r>
          </w:p>
        </w:tc>
        <w:tc>
          <w:tcPr>
            <w:tcW w:type="dxa" w:w="2160"/>
          </w:tcPr>
          <w:p>
            <w:r>
              <w:rPr>
                <w:b/>
              </w:rPr>
              <w:t>Monthly Capacity</w:t>
            </w:r>
          </w:p>
        </w:tc>
        <w:tc>
          <w:tcPr>
            <w:tcW w:type="dxa" w:w="2160"/>
          </w:tcPr>
          <w:p>
            <w:r>
              <w:rPr>
                <w:b/>
              </w:rPr>
              <w:t>Unit Cost Advantage</w:t>
            </w:r>
          </w:p>
        </w:tc>
      </w:tr>
      <w:tr>
        <w:tc>
          <w:tcPr>
            <w:tcW w:type="dxa" w:w="2160"/>
          </w:tcPr>
          <w:p>
            <w:r>
              <w:t>Small</w:t>
            </w:r>
          </w:p>
        </w:tc>
        <w:tc>
          <w:tcPr>
            <w:tcW w:type="dxa" w:w="2160"/>
          </w:tcPr>
          <w:p>
            <w:r>
              <w:t>20-40 lakhs</w:t>
            </w:r>
          </w:p>
        </w:tc>
        <w:tc>
          <w:tcPr>
            <w:tcW w:type="dxa" w:w="2160"/>
          </w:tcPr>
          <w:p>
            <w:r>
              <w:t>5,000-15,000</w:t>
            </w:r>
          </w:p>
        </w:tc>
        <w:tc>
          <w:tcPr>
            <w:tcW w:type="dxa" w:w="2160"/>
          </w:tcPr>
          <w:p>
            <w:r>
              <w:t>Baseline</w:t>
            </w:r>
          </w:p>
        </w:tc>
      </w:tr>
      <w:tr>
        <w:tc>
          <w:tcPr>
            <w:tcW w:type="dxa" w:w="2160"/>
          </w:tcPr>
          <w:p>
            <w:r>
              <w:t>Medium</w:t>
            </w:r>
          </w:p>
        </w:tc>
        <w:tc>
          <w:tcPr>
            <w:tcW w:type="dxa" w:w="2160"/>
          </w:tcPr>
          <w:p>
            <w:r>
              <w:t>75L-2 crores</w:t>
            </w:r>
          </w:p>
        </w:tc>
        <w:tc>
          <w:tcPr>
            <w:tcW w:type="dxa" w:w="2160"/>
          </w:tcPr>
          <w:p>
            <w:r>
              <w:t>30,000-80,000</w:t>
            </w:r>
          </w:p>
        </w:tc>
        <w:tc>
          <w:tcPr>
            <w:tcW w:type="dxa" w:w="2160"/>
          </w:tcPr>
          <w:p>
            <w:r>
              <w:t>8-12% lower</w:t>
            </w:r>
          </w:p>
        </w:tc>
      </w:tr>
      <w:tr>
        <w:tc>
          <w:tcPr>
            <w:tcW w:type="dxa" w:w="2160"/>
          </w:tcPr>
          <w:p>
            <w:r>
              <w:t>Large</w:t>
            </w:r>
          </w:p>
        </w:tc>
        <w:tc>
          <w:tcPr>
            <w:tcW w:type="dxa" w:w="2160"/>
          </w:tcPr>
          <w:p>
            <w:r>
              <w:t>5-15 crores</w:t>
            </w:r>
          </w:p>
        </w:tc>
        <w:tc>
          <w:tcPr>
            <w:tcW w:type="dxa" w:w="2160"/>
          </w:tcPr>
          <w:p>
            <w:r>
              <w:t>200,000+</w:t>
            </w:r>
          </w:p>
        </w:tc>
        <w:tc>
          <w:tcPr>
            <w:tcW w:type="dxa" w:w="2160"/>
          </w:tcPr>
          <w:p>
            <w:r>
              <w:t>15-20% lower</w:t>
            </w:r>
          </w:p>
        </w:tc>
      </w:tr>
    </w:tbl>
    <w:p/>
    <w:p>
      <w:r>
        <w:rPr>
          <w:b/>
          <w:sz w:val="24"/>
        </w:rPr>
        <w:t>2.2 Raw Materials and Factor Market</w:t>
      </w:r>
    </w:p>
    <w:p>
      <w:pPr>
        <w:jc w:val="both"/>
      </w:pPr>
      <w:r>
        <w:t>The power bank supply chain is globally distributed, with significant concentration of critical components in East Asian manufacturing hubs. Battery cells represent the single largest cost component at 35-40% of total manufacturing cost, sourced primarily from China (CATL, BYD, EVE Energy) and Korea (Samsung SDI, LG Chem). Cell prices have declined from $150/kWh in 2020 to approximately $110/kWh in 2024, though recent supply chain disruptions and lithium price volatility have created pricing uncertainty.</w:t>
      </w:r>
    </w:p>
    <w:p>
      <w:pPr>
        <w:jc w:val="both"/>
      </w:pPr>
      <w:r>
        <w:t>Printed Circuit Boards (PCBs) and Power Management Integrated Circuits (PMICs) constitute 18-22% of costs, primarily sourced from Taiwan (Foxconn, Wistron) and Chinese manufacturers. Enclosure materials including ABS plastic, polycarbonate, and aluminum represent 12-15% of costs. ABS plastic dominates budget segments due to lower tooling costs, while premium products increasingly utilize aluminum for improved heat dissipation and premium aesthetics. Cables, connectors, and accessories account for 8-10%, with USB-C components commanding premium pricing over legacy micro-USB.</w:t>
      </w:r>
    </w:p>
    <w:p>
      <w:r>
        <w:rPr>
          <w:b/>
          <w:sz w:val="20"/>
        </w:rPr>
        <w:t>Table 5: Raw Material Cost Structure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Cost Share</w:t>
            </w:r>
          </w:p>
        </w:tc>
        <w:tc>
          <w:tcPr>
            <w:tcW w:type="dxa" w:w="2880"/>
          </w:tcPr>
          <w:p>
            <w:r>
              <w:rPr>
                <w:b/>
              </w:rPr>
              <w:t>Primary Sources</w:t>
            </w:r>
          </w:p>
        </w:tc>
      </w:tr>
      <w:tr>
        <w:tc>
          <w:tcPr>
            <w:tcW w:type="dxa" w:w="2880"/>
          </w:tcPr>
          <w:p>
            <w:r>
              <w:t>Battery Cells (Li-ion/LiPo)</w:t>
            </w:r>
          </w:p>
        </w:tc>
        <w:tc>
          <w:tcPr>
            <w:tcW w:type="dxa" w:w="2880"/>
          </w:tcPr>
          <w:p>
            <w:r>
              <w:t>35-40%</w:t>
            </w:r>
          </w:p>
        </w:tc>
        <w:tc>
          <w:tcPr>
            <w:tcW w:type="dxa" w:w="2880"/>
          </w:tcPr>
          <w:p>
            <w:r>
              <w:t>China (CATL, BYD), Korea (Samsung SDI, LG Chem)</w:t>
            </w:r>
          </w:p>
        </w:tc>
      </w:tr>
      <w:tr>
        <w:tc>
          <w:tcPr>
            <w:tcW w:type="dxa" w:w="2880"/>
          </w:tcPr>
          <w:p>
            <w:r>
              <w:t>PCB &amp; PMIC</w:t>
            </w:r>
          </w:p>
        </w:tc>
        <w:tc>
          <w:tcPr>
            <w:tcW w:type="dxa" w:w="2880"/>
          </w:tcPr>
          <w:p>
            <w:r>
              <w:t>18-22%</w:t>
            </w:r>
          </w:p>
        </w:tc>
        <w:tc>
          <w:tcPr>
            <w:tcW w:type="dxa" w:w="2880"/>
          </w:tcPr>
          <w:p>
            <w:r>
              <w:t>Taiwan, China</w:t>
            </w:r>
          </w:p>
        </w:tc>
      </w:tr>
      <w:tr>
        <w:tc>
          <w:tcPr>
            <w:tcW w:type="dxa" w:w="2880"/>
          </w:tcPr>
          <w:p>
            <w:r>
              <w:t>Enclosure (ABS/Aluminum)</w:t>
            </w:r>
          </w:p>
        </w:tc>
        <w:tc>
          <w:tcPr>
            <w:tcW w:type="dxa" w:w="2880"/>
          </w:tcPr>
          <w:p>
            <w:r>
              <w:t>12-15%</w:t>
            </w:r>
          </w:p>
        </w:tc>
        <w:tc>
          <w:tcPr>
            <w:tcW w:type="dxa" w:w="2880"/>
          </w:tcPr>
          <w:p>
            <w:r>
              <w:t>India, China</w:t>
            </w:r>
          </w:p>
        </w:tc>
      </w:tr>
      <w:tr>
        <w:tc>
          <w:tcPr>
            <w:tcW w:type="dxa" w:w="2880"/>
          </w:tcPr>
          <w:p>
            <w:r>
              <w:t>Cables &amp; Connectors</w:t>
            </w:r>
          </w:p>
        </w:tc>
        <w:tc>
          <w:tcPr>
            <w:tcW w:type="dxa" w:w="2880"/>
          </w:tcPr>
          <w:p>
            <w:r>
              <w:t>8-10%</w:t>
            </w:r>
          </w:p>
        </w:tc>
        <w:tc>
          <w:tcPr>
            <w:tcW w:type="dxa" w:w="2880"/>
          </w:tcPr>
          <w:p>
            <w:r>
              <w:t>China</w:t>
            </w:r>
          </w:p>
        </w:tc>
      </w:tr>
      <w:tr>
        <w:tc>
          <w:tcPr>
            <w:tcW w:type="dxa" w:w="2880"/>
          </w:tcPr>
          <w:p>
            <w:r>
              <w:t>Labor &amp; Assembly</w:t>
            </w:r>
          </w:p>
        </w:tc>
        <w:tc>
          <w:tcPr>
            <w:tcW w:type="dxa" w:w="2880"/>
          </w:tcPr>
          <w:p>
            <w:r>
              <w:t>10-12%</w:t>
            </w:r>
          </w:p>
        </w:tc>
        <w:tc>
          <w:tcPr>
            <w:tcW w:type="dxa" w:w="2880"/>
          </w:tcPr>
          <w:p>
            <w:r>
              <w:t>India</w:t>
            </w:r>
          </w:p>
        </w:tc>
      </w:tr>
    </w:tbl>
    <w:p/>
    <w:p>
      <w:r>
        <w:rPr>
          <w:b/>
          <w:sz w:val="24"/>
        </w:rPr>
        <w:t>2.3 Cost Structure Analysis</w:t>
      </w:r>
    </w:p>
    <w:p>
      <w:pPr>
        <w:jc w:val="both"/>
      </w:pPr>
      <w:r>
        <w:t>Analyzing the complete cost structure of power bank manufacturing reveals the critical interplay between fixed and variable costs. Variable costs constitute approximately 85-90% of total manufacturing cost, dominated by material inputs including battery cells, electronics, and enclosures. This high variable cost proportion means that production volume directly impacts profitability, creating strong incentives for scale expansion and market share growth.</w:t>
      </w:r>
    </w:p>
    <w:p>
      <w:pPr>
        <w:jc w:val="both"/>
      </w:pPr>
      <w:r>
        <w:t>Fixed costs including facility rent, equipment depreciation, administrative salaries, and maintenance represent only 10-15% of total costs at typical production volumes. This relatively low fixed cost proportion reduces break-even volume requirements but limits the margin expansion potential from pure scale effects. For a standard 10,000 mAh power bank, total production cost ranges from ₹280-350 depending on production scale and supplier relationships.</w:t>
      </w:r>
    </w:p>
    <w:p>
      <w:r>
        <w:rPr>
          <w:b/>
          <w:sz w:val="20"/>
        </w:rPr>
        <w:t>Table 6: Complete Cost Breakdown per 10,000 mAh Power Bank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Cost Component</w:t>
            </w:r>
          </w:p>
        </w:tc>
        <w:tc>
          <w:tcPr>
            <w:tcW w:type="dxa" w:w="2880"/>
          </w:tcPr>
          <w:p>
            <w:r>
              <w:rPr>
                <w:b/>
              </w:rPr>
              <w:t>Amount (₹)</w:t>
            </w:r>
          </w:p>
        </w:tc>
        <w:tc>
          <w:tcPr>
            <w:tcW w:type="dxa" w:w="2880"/>
          </w:tcPr>
          <w:p>
            <w:r>
              <w:rPr>
                <w:b/>
              </w:rPr>
              <w:t>% of Total</w:t>
            </w:r>
          </w:p>
        </w:tc>
      </w:tr>
      <w:tr>
        <w:tc>
          <w:tcPr>
            <w:tcW w:type="dxa" w:w="2880"/>
          </w:tcPr>
          <w:p>
            <w:r>
              <w:t>Battery Cells</w:t>
            </w:r>
          </w:p>
        </w:tc>
        <w:tc>
          <w:tcPr>
            <w:tcW w:type="dxa" w:w="2880"/>
          </w:tcPr>
          <w:p>
            <w:r>
              <w:t>105-120</w:t>
            </w:r>
          </w:p>
        </w:tc>
        <w:tc>
          <w:tcPr>
            <w:tcW w:type="dxa" w:w="2880"/>
          </w:tcPr>
          <w:p>
            <w:r>
              <w:t>35%</w:t>
            </w:r>
          </w:p>
        </w:tc>
      </w:tr>
      <w:tr>
        <w:tc>
          <w:tcPr>
            <w:tcW w:type="dxa" w:w="2880"/>
          </w:tcPr>
          <w:p>
            <w:r>
              <w:t>PCB &amp; Electronics</w:t>
            </w:r>
          </w:p>
        </w:tc>
        <w:tc>
          <w:tcPr>
            <w:tcW w:type="dxa" w:w="2880"/>
          </w:tcPr>
          <w:p>
            <w:r>
              <w:t>55-70</w:t>
            </w:r>
          </w:p>
        </w:tc>
        <w:tc>
          <w:tcPr>
            <w:tcW w:type="dxa" w:w="2880"/>
          </w:tcPr>
          <w:p>
            <w:r>
              <w:t>20%</w:t>
            </w:r>
          </w:p>
        </w:tc>
      </w:tr>
      <w:tr>
        <w:tc>
          <w:tcPr>
            <w:tcW w:type="dxa" w:w="2880"/>
          </w:tcPr>
          <w:p>
            <w:r>
              <w:t>Enclosure</w:t>
            </w:r>
          </w:p>
        </w:tc>
        <w:tc>
          <w:tcPr>
            <w:tcW w:type="dxa" w:w="2880"/>
          </w:tcPr>
          <w:p>
            <w:r>
              <w:t>35-45</w:t>
            </w:r>
          </w:p>
        </w:tc>
        <w:tc>
          <w:tcPr>
            <w:tcW w:type="dxa" w:w="2880"/>
          </w:tcPr>
          <w:p>
            <w:r>
              <w:t>12%</w:t>
            </w:r>
          </w:p>
        </w:tc>
      </w:tr>
      <w:tr>
        <w:tc>
          <w:tcPr>
            <w:tcW w:type="dxa" w:w="2880"/>
          </w:tcPr>
          <w:p>
            <w:r>
              <w:t>Assembly Labor</w:t>
            </w:r>
          </w:p>
        </w:tc>
        <w:tc>
          <w:tcPr>
            <w:tcW w:type="dxa" w:w="2880"/>
          </w:tcPr>
          <w:p>
            <w:r>
              <w:t>30-40</w:t>
            </w:r>
          </w:p>
        </w:tc>
        <w:tc>
          <w:tcPr>
            <w:tcW w:type="dxa" w:w="2880"/>
          </w:tcPr>
          <w:p>
            <w:r>
              <w:t>11%</w:t>
            </w:r>
          </w:p>
        </w:tc>
      </w:tr>
      <w:tr>
        <w:tc>
          <w:tcPr>
            <w:tcW w:type="dxa" w:w="2880"/>
          </w:tcPr>
          <w:p>
            <w:r>
              <w:t>Packaging</w:t>
            </w:r>
          </w:p>
        </w:tc>
        <w:tc>
          <w:tcPr>
            <w:tcW w:type="dxa" w:w="2880"/>
          </w:tcPr>
          <w:p>
            <w:r>
              <w:t>15-20</w:t>
            </w:r>
          </w:p>
        </w:tc>
        <w:tc>
          <w:tcPr>
            <w:tcW w:type="dxa" w:w="2880"/>
          </w:tcPr>
          <w:p>
            <w:r>
              <w:t>5%</w:t>
            </w:r>
          </w:p>
        </w:tc>
      </w:tr>
      <w:tr>
        <w:tc>
          <w:tcPr>
            <w:tcW w:type="dxa" w:w="2880"/>
          </w:tcPr>
          <w:p>
            <w:r>
              <w:t>Fixed Cost Allocation</w:t>
            </w:r>
          </w:p>
        </w:tc>
        <w:tc>
          <w:tcPr>
            <w:tcW w:type="dxa" w:w="2880"/>
          </w:tcPr>
          <w:p>
            <w:r>
              <w:t>40-55</w:t>
            </w:r>
          </w:p>
        </w:tc>
        <w:tc>
          <w:tcPr>
            <w:tcW w:type="dxa" w:w="2880"/>
          </w:tcPr>
          <w:p>
            <w:r>
              <w:t>15%</w:t>
            </w:r>
          </w:p>
        </w:tc>
      </w:tr>
      <w:tr>
        <w:tc>
          <w:tcPr>
            <w:tcW w:type="dxa" w:w="2880"/>
          </w:tcPr>
          <w:p>
            <w:r>
              <w:t>Total Production Cost</w:t>
            </w:r>
          </w:p>
        </w:tc>
        <w:tc>
          <w:tcPr>
            <w:tcW w:type="dxa" w:w="2880"/>
          </w:tcPr>
          <w:p>
            <w:r>
              <w:t>280-350</w:t>
            </w:r>
          </w:p>
        </w:tc>
        <w:tc>
          <w:tcPr>
            <w:tcW w:type="dxa" w:w="2880"/>
          </w:tcPr>
          <w:p>
            <w:r>
              <w:t>100%</w:t>
            </w:r>
          </w:p>
        </w:tc>
      </w:tr>
    </w:tbl>
    <w:p/>
    <w:p>
      <w:pPr>
        <w:jc w:val="both"/>
      </w:pPr>
      <w:r>
        <w:t>Cost curve analysis across different production volumes demonstrates significant economies of scale, with Average Total Cost declining 31% between 10,000 and 200,000 units monthly production. The following figure illustrates the behavior of Average Total Cost (ATC), Marginal Cost (MC), Average Variable Cost (AVC), and Average Fixed Cost (AFC) across production volumes.</w:t>
      </w:r>
    </w:p>
    <w:p>
      <w:pPr>
        <w:jc w:val="center"/>
      </w:pPr>
      <w:r>
        <w:drawing>
          <wp:inline xmlns:a="http://schemas.openxmlformats.org/drawingml/2006/main" xmlns:pic="http://schemas.openxmlformats.org/drawingml/2006/picture">
            <wp:extent cx="5029200" cy="2986300"/>
            <wp:docPr id="1" name="Picture 1"/>
            <wp:cNvGraphicFramePr>
              <a:graphicFrameLocks noChangeAspect="1"/>
            </wp:cNvGraphicFramePr>
            <a:graphic>
              <a:graphicData uri="http://schemas.openxmlformats.org/drawingml/2006/picture">
                <pic:pic>
                  <pic:nvPicPr>
                    <pic:cNvPr id="0" name="cost_curves.png"/>
                    <pic:cNvPicPr/>
                  </pic:nvPicPr>
                  <pic:blipFill>
                    <a:blip r:embed="rId9"/>
                    <a:stretch>
                      <a:fillRect/>
                    </a:stretch>
                  </pic:blipFill>
                  <pic:spPr>
                    <a:xfrm>
                      <a:off x="0" y="0"/>
                      <a:ext cx="5029200" cy="2986300"/>
                    </a:xfrm>
                    <a:prstGeom prst="rect"/>
                  </pic:spPr>
                </pic:pic>
              </a:graphicData>
            </a:graphic>
          </wp:inline>
        </w:drawing>
      </w:r>
    </w:p>
    <w:p>
      <w:pPr>
        <w:jc w:val="center"/>
      </w:pPr>
      <w:r>
        <w:rPr>
          <w:i/>
          <w:sz w:val="20"/>
        </w:rPr>
        <w:t>Figure 2.1: Cost Curves in Power Bank Manufacturing</w:t>
      </w:r>
    </w:p>
    <w:p/>
    <w:p>
      <w:r>
        <w:rPr>
          <w:b/>
          <w:sz w:val="20"/>
        </w:rPr>
        <w:t>Table 7: Cost Curve Analysis at Different Production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Production Level</w:t>
            </w:r>
          </w:p>
        </w:tc>
        <w:tc>
          <w:tcPr>
            <w:tcW w:type="dxa" w:w="1728"/>
          </w:tcPr>
          <w:p>
            <w:r>
              <w:rPr>
                <w:b/>
              </w:rPr>
              <w:t>AFC (₹)</w:t>
            </w:r>
          </w:p>
        </w:tc>
        <w:tc>
          <w:tcPr>
            <w:tcW w:type="dxa" w:w="1728"/>
          </w:tcPr>
          <w:p>
            <w:r>
              <w:rPr>
                <w:b/>
              </w:rPr>
              <w:t>AVC (₹)</w:t>
            </w:r>
          </w:p>
        </w:tc>
        <w:tc>
          <w:tcPr>
            <w:tcW w:type="dxa" w:w="1728"/>
          </w:tcPr>
          <w:p>
            <w:r>
              <w:rPr>
                <w:b/>
              </w:rPr>
              <w:t>ATC (₹)</w:t>
            </w:r>
          </w:p>
        </w:tc>
        <w:tc>
          <w:tcPr>
            <w:tcW w:type="dxa" w:w="1728"/>
          </w:tcPr>
          <w:p>
            <w:r>
              <w:rPr>
                <w:b/>
              </w:rPr>
              <w:t>MC (₹)</w:t>
            </w:r>
          </w:p>
        </w:tc>
      </w:tr>
      <w:tr>
        <w:tc>
          <w:tcPr>
            <w:tcW w:type="dxa" w:w="1728"/>
          </w:tcPr>
          <w:p>
            <w:r>
              <w:t>10,000 units</w:t>
            </w:r>
          </w:p>
        </w:tc>
        <w:tc>
          <w:tcPr>
            <w:tcW w:type="dxa" w:w="1728"/>
          </w:tcPr>
          <w:p>
            <w:r>
              <w:t>80</w:t>
            </w:r>
          </w:p>
        </w:tc>
        <w:tc>
          <w:tcPr>
            <w:tcW w:type="dxa" w:w="1728"/>
          </w:tcPr>
          <w:p>
            <w:r>
              <w:t>285</w:t>
            </w:r>
          </w:p>
        </w:tc>
        <w:tc>
          <w:tcPr>
            <w:tcW w:type="dxa" w:w="1728"/>
          </w:tcPr>
          <w:p>
            <w:r>
              <w:t>365</w:t>
            </w:r>
          </w:p>
        </w:tc>
        <w:tc>
          <w:tcPr>
            <w:tcW w:type="dxa" w:w="1728"/>
          </w:tcPr>
          <w:p>
            <w:r>
              <w:t>290</w:t>
            </w:r>
          </w:p>
        </w:tc>
      </w:tr>
      <w:tr>
        <w:tc>
          <w:tcPr>
            <w:tcW w:type="dxa" w:w="1728"/>
          </w:tcPr>
          <w:p>
            <w:r>
              <w:t>50,000 units</w:t>
            </w:r>
          </w:p>
        </w:tc>
        <w:tc>
          <w:tcPr>
            <w:tcW w:type="dxa" w:w="1728"/>
          </w:tcPr>
          <w:p>
            <w:r>
              <w:t>35</w:t>
            </w:r>
          </w:p>
        </w:tc>
        <w:tc>
          <w:tcPr>
            <w:tcW w:type="dxa" w:w="1728"/>
          </w:tcPr>
          <w:p>
            <w:r>
              <w:t>270</w:t>
            </w:r>
          </w:p>
        </w:tc>
        <w:tc>
          <w:tcPr>
            <w:tcW w:type="dxa" w:w="1728"/>
          </w:tcPr>
          <w:p>
            <w:r>
              <w:t>305</w:t>
            </w:r>
          </w:p>
        </w:tc>
        <w:tc>
          <w:tcPr>
            <w:tcW w:type="dxa" w:w="1728"/>
          </w:tcPr>
          <w:p>
            <w:r>
              <w:t>265</w:t>
            </w:r>
          </w:p>
        </w:tc>
      </w:tr>
      <w:tr>
        <w:tc>
          <w:tcPr>
            <w:tcW w:type="dxa" w:w="1728"/>
          </w:tcPr>
          <w:p>
            <w:r>
              <w:t>100,000 units</w:t>
            </w:r>
          </w:p>
        </w:tc>
        <w:tc>
          <w:tcPr>
            <w:tcW w:type="dxa" w:w="1728"/>
          </w:tcPr>
          <w:p>
            <w:r>
              <w:t>18</w:t>
            </w:r>
          </w:p>
        </w:tc>
        <w:tc>
          <w:tcPr>
            <w:tcW w:type="dxa" w:w="1728"/>
          </w:tcPr>
          <w:p>
            <w:r>
              <w:t>255</w:t>
            </w:r>
          </w:p>
        </w:tc>
        <w:tc>
          <w:tcPr>
            <w:tcW w:type="dxa" w:w="1728"/>
          </w:tcPr>
          <w:p>
            <w:r>
              <w:t>273</w:t>
            </w:r>
          </w:p>
        </w:tc>
        <w:tc>
          <w:tcPr>
            <w:tcW w:type="dxa" w:w="1728"/>
          </w:tcPr>
          <w:p>
            <w:r>
              <w:t>250</w:t>
            </w:r>
          </w:p>
        </w:tc>
      </w:tr>
      <w:tr>
        <w:tc>
          <w:tcPr>
            <w:tcW w:type="dxa" w:w="1728"/>
          </w:tcPr>
          <w:p>
            <w:r>
              <w:t>200,000 units</w:t>
            </w:r>
          </w:p>
        </w:tc>
        <w:tc>
          <w:tcPr>
            <w:tcW w:type="dxa" w:w="1728"/>
          </w:tcPr>
          <w:p>
            <w:r>
              <w:t>9</w:t>
            </w:r>
          </w:p>
        </w:tc>
        <w:tc>
          <w:tcPr>
            <w:tcW w:type="dxa" w:w="1728"/>
          </w:tcPr>
          <w:p>
            <w:r>
              <w:t>243</w:t>
            </w:r>
          </w:p>
        </w:tc>
        <w:tc>
          <w:tcPr>
            <w:tcW w:type="dxa" w:w="1728"/>
          </w:tcPr>
          <w:p>
            <w:r>
              <w:t>252</w:t>
            </w:r>
          </w:p>
        </w:tc>
        <w:tc>
          <w:tcPr>
            <w:tcW w:type="dxa" w:w="1728"/>
          </w:tcPr>
          <w:p>
            <w:r>
              <w:t>245</w:t>
            </w:r>
          </w:p>
        </w:tc>
      </w:tr>
    </w:tbl>
    <w:p/>
    <w:p>
      <w:r>
        <w:rPr>
          <w:b/>
          <w:sz w:val="24"/>
        </w:rPr>
        <w:t>2.4 Supply Chain Analysis</w:t>
      </w:r>
    </w:p>
    <w:p>
      <w:pPr>
        <w:jc w:val="both"/>
      </w:pPr>
      <w:r>
        <w:t>The power bank value chain encompasses multiple stages from raw material sourcing through final retail, with value addition occurring at each stage. The supply chain architecture involves raw material suppliers (lithium, cobalt, polymers), component manufacturers (battery cells, PCBs, enclosures), assembly operations (contract manufacturers or integrated facilities), distribution channels (national distributors, regional wholesalers), and retail endpoints (modern trade, general trade, e-commerce).</w:t>
      </w:r>
    </w:p>
    <w:p>
      <w:pPr>
        <w:jc w:val="both"/>
      </w:pPr>
      <w:r>
        <w:t>Manufacturers capture 25-35% gross margins on wholesale prices, while national distributors add 15-25% markup providing logistics and inventory management services. Retail chains add 20-40% margins, with e-commerce platforms typically operating at 10-18% commission rates but offering superior reach and lower customer acquisition costs.</w:t>
      </w:r>
    </w:p>
    <w:p>
      <w:pPr>
        <w:jc w:val="center"/>
      </w:pPr>
      <w:r>
        <w:drawing>
          <wp:inline xmlns:a="http://schemas.openxmlformats.org/drawingml/2006/main" xmlns:pic="http://schemas.openxmlformats.org/drawingml/2006/picture">
            <wp:extent cx="5029200" cy="2929686"/>
            <wp:docPr id="2" name="Picture 2"/>
            <wp:cNvGraphicFramePr>
              <a:graphicFrameLocks noChangeAspect="1"/>
            </wp:cNvGraphicFramePr>
            <a:graphic>
              <a:graphicData uri="http://schemas.openxmlformats.org/drawingml/2006/picture">
                <pic:pic>
                  <pic:nvPicPr>
                    <pic:cNvPr id="0" name="supply_chain.png"/>
                    <pic:cNvPicPr/>
                  </pic:nvPicPr>
                  <pic:blipFill>
                    <a:blip r:embed="rId10"/>
                    <a:stretch>
                      <a:fillRect/>
                    </a:stretch>
                  </pic:blipFill>
                  <pic:spPr>
                    <a:xfrm>
                      <a:off x="0" y="0"/>
                      <a:ext cx="5029200" cy="2929686"/>
                    </a:xfrm>
                    <a:prstGeom prst="rect"/>
                  </pic:spPr>
                </pic:pic>
              </a:graphicData>
            </a:graphic>
          </wp:inline>
        </w:drawing>
      </w:r>
    </w:p>
    <w:p>
      <w:pPr>
        <w:jc w:val="center"/>
      </w:pPr>
      <w:r>
        <w:rPr>
          <w:i/>
          <w:sz w:val="20"/>
        </w:rPr>
        <w:t>Figure 2.2: Power Bank Supply Chain Architecture</w:t>
      </w:r>
    </w:p>
    <w:p/>
    <w:p>
      <w:r>
        <w:rPr>
          <w:b/>
          <w:sz w:val="20"/>
        </w:rPr>
        <w:t>Table 8: Value Chain Margin Structure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Value Chain Stage</w:t>
            </w:r>
          </w:p>
        </w:tc>
        <w:tc>
          <w:tcPr>
            <w:tcW w:type="dxa" w:w="2880"/>
          </w:tcPr>
          <w:p>
            <w:r>
              <w:rPr>
                <w:b/>
              </w:rPr>
              <w:t>Gross Margin</w:t>
            </w:r>
          </w:p>
        </w:tc>
        <w:tc>
          <w:tcPr>
            <w:tcW w:type="dxa" w:w="2880"/>
          </w:tcPr>
          <w:p>
            <w:r>
              <w:rPr>
                <w:b/>
              </w:rPr>
              <w:t>Key Value Addition</w:t>
            </w:r>
          </w:p>
        </w:tc>
      </w:tr>
      <w:tr>
        <w:tc>
          <w:tcPr>
            <w:tcW w:type="dxa" w:w="2880"/>
          </w:tcPr>
          <w:p>
            <w:r>
              <w:t>Manufacturing</w:t>
            </w:r>
          </w:p>
        </w:tc>
        <w:tc>
          <w:tcPr>
            <w:tcW w:type="dxa" w:w="2880"/>
          </w:tcPr>
          <w:p>
            <w:r>
              <w:t>25-35%</w:t>
            </w:r>
          </w:p>
        </w:tc>
        <w:tc>
          <w:tcPr>
            <w:tcW w:type="dxa" w:w="2880"/>
          </w:tcPr>
          <w:p>
            <w:r>
              <w:t>Assembly, Quality Control, Branding, Warranty</w:t>
            </w:r>
          </w:p>
        </w:tc>
      </w:tr>
      <w:tr>
        <w:tc>
          <w:tcPr>
            <w:tcW w:type="dxa" w:w="2880"/>
          </w:tcPr>
          <w:p>
            <w:r>
              <w:t>National Distributor</w:t>
            </w:r>
          </w:p>
        </w:tc>
        <w:tc>
          <w:tcPr>
            <w:tcW w:type="dxa" w:w="2880"/>
          </w:tcPr>
          <w:p>
            <w:r>
              <w:t>15-25%</w:t>
            </w:r>
          </w:p>
        </w:tc>
        <w:tc>
          <w:tcPr>
            <w:tcW w:type="dxa" w:w="2880"/>
          </w:tcPr>
          <w:p>
            <w:r>
              <w:t>Logistics, Inventory, Credit Extension</w:t>
            </w:r>
          </w:p>
        </w:tc>
      </w:tr>
      <w:tr>
        <w:tc>
          <w:tcPr>
            <w:tcW w:type="dxa" w:w="2880"/>
          </w:tcPr>
          <w:p>
            <w:r>
              <w:t>Retail Chain</w:t>
            </w:r>
          </w:p>
        </w:tc>
        <w:tc>
          <w:tcPr>
            <w:tcW w:type="dxa" w:w="2880"/>
          </w:tcPr>
          <w:p>
            <w:r>
              <w:t>20-40%</w:t>
            </w:r>
          </w:p>
        </w:tc>
        <w:tc>
          <w:tcPr>
            <w:tcW w:type="dxa" w:w="2880"/>
          </w:tcPr>
          <w:p>
            <w:r>
              <w:t>Customer Access, After-sales, Display</w:t>
            </w:r>
          </w:p>
        </w:tc>
      </w:tr>
      <w:tr>
        <w:tc>
          <w:tcPr>
            <w:tcW w:type="dxa" w:w="2880"/>
          </w:tcPr>
          <w:p>
            <w:r>
              <w:t>E-commerce Platform</w:t>
            </w:r>
          </w:p>
        </w:tc>
        <w:tc>
          <w:tcPr>
            <w:tcW w:type="dxa" w:w="2880"/>
          </w:tcPr>
          <w:p>
            <w:r>
              <w:t>10-18%</w:t>
            </w:r>
          </w:p>
        </w:tc>
        <w:tc>
          <w:tcPr>
            <w:tcW w:type="dxa" w:w="2880"/>
          </w:tcPr>
          <w:p>
            <w:r>
              <w:t>Digital Reach, Convenience, Reviews</w:t>
            </w:r>
          </w:p>
        </w:tc>
      </w:tr>
    </w:tbl>
    <w:p/>
    <w:p>
      <w:r>
        <w:rPr>
          <w:b/>
          <w:sz w:val="24"/>
        </w:rPr>
        <w:t>2.5 Wholesale Markets in Mumbai</w:t>
      </w:r>
    </w:p>
    <w:p>
      <w:pPr>
        <w:jc w:val="both"/>
      </w:pPr>
      <w:r>
        <w:t>Mumbai serves as a major distribution hub for power banks and electronic accessories in Western India. Lamington Road in Grant Road represents Mumbai's oldest and most prominent electronics wholesale market, with numerous shops stocking power banks from major brands alongside white-label products. Manish Market near Crawford Market serves budget-conscious buyers, while Heera Panna in Haji Ali caters to premium accessories. These markets facilitate bulk procurement for retailers across Maharashtra, Gujarat, and beyond.</w:t>
      </w:r>
    </w:p>
    <w:p>
      <w:r>
        <w:rPr>
          <w:b/>
          <w:sz w:val="24"/>
        </w:rPr>
        <w:t>2.6 Government Policies and Regulations</w:t>
      </w:r>
    </w:p>
    <w:p>
      <w:pPr>
        <w:jc w:val="both"/>
      </w:pPr>
      <w:r>
        <w:t>Power banks attract 18% GST under HSN 8507 for lithium-ion accumulators. The Production Linked Incentive (PLI) scheme for Advanced Chemistry Cells offers substantial incentives (up to ₹18,100 crores) for domestic battery manufacturing, potentially reducing import dependence. BIS certification (IS 17018:2018) is mandatory for power banks sold in India, ensuring safety standards including overcharge protection, short-circuit prevention, and thermal management. The Battery Waste Management Rules 2022 mandate Extended Producer Responsibility (EPR) for manufacturers regarding end-of-life battery collection and recycling.</w:t>
      </w:r>
    </w:p>
    <w:p>
      <w:r>
        <w:br w:type="page"/>
      </w:r>
    </w:p>
    <w:p>
      <w:r>
        <w:rPr>
          <w:b/>
          <w:sz w:val="28"/>
        </w:rPr>
        <w:t>3. FRONTEND ANALYSIS: MARKET DEMAND AND REVENUE DYNAMICS</w:t>
      </w:r>
    </w:p>
    <w:p>
      <w:r>
        <w:rPr>
          <w:b/>
          <w:sz w:val="24"/>
        </w:rPr>
        <w:t>3.1 Nature of Demand</w:t>
      </w:r>
    </w:p>
    <w:p>
      <w:pPr>
        <w:jc w:val="both"/>
      </w:pPr>
      <w:r>
        <w:t>Power bank demand exemplifies derived demand in industrial economics. The demand for power banks is not autonomous but fundamentally depends on the demand for primary electronic devices, particularly smartphones and tablets. This derived nature means that power bank demand fluctuates with smartphone sales cycles, new device launches, and broader electronics market trends. Multiple determinants influence power bank demand including product price, consumer income levels, smartphone penetration, technological features, and seasonal factors.</w:t>
      </w:r>
    </w:p>
    <w:p>
      <w:pPr>
        <w:jc w:val="center"/>
      </w:pPr>
      <w:r>
        <w:drawing>
          <wp:inline xmlns:a="http://schemas.openxmlformats.org/drawingml/2006/main" xmlns:pic="http://schemas.openxmlformats.org/drawingml/2006/picture">
            <wp:extent cx="5029200" cy="2986300"/>
            <wp:docPr id="3" name="Picture 3"/>
            <wp:cNvGraphicFramePr>
              <a:graphicFrameLocks noChangeAspect="1"/>
            </wp:cNvGraphicFramePr>
            <a:graphic>
              <a:graphicData uri="http://schemas.openxmlformats.org/drawingml/2006/picture">
                <pic:pic>
                  <pic:nvPicPr>
                    <pic:cNvPr id="0" name="demand_supply.png"/>
                    <pic:cNvPicPr/>
                  </pic:nvPicPr>
                  <pic:blipFill>
                    <a:blip r:embed="rId11"/>
                    <a:stretch>
                      <a:fillRect/>
                    </a:stretch>
                  </pic:blipFill>
                  <pic:spPr>
                    <a:xfrm>
                      <a:off x="0" y="0"/>
                      <a:ext cx="5029200" cy="2986300"/>
                    </a:xfrm>
                    <a:prstGeom prst="rect"/>
                  </pic:spPr>
                </pic:pic>
              </a:graphicData>
            </a:graphic>
          </wp:inline>
        </w:drawing>
      </w:r>
    </w:p>
    <w:p>
      <w:pPr>
        <w:jc w:val="center"/>
      </w:pPr>
      <w:r>
        <w:rPr>
          <w:i/>
          <w:sz w:val="20"/>
        </w:rPr>
        <w:t>Figure 3.1: Demand and Supply Curves for Power Banks</w:t>
      </w:r>
    </w:p>
    <w:p/>
    <w:p>
      <w:r>
        <w:rPr>
          <w:b/>
          <w:sz w:val="20"/>
        </w:rPr>
        <w:t>Table 9: Demand Determinants and Quantitative Impact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Determinant</w:t>
            </w:r>
          </w:p>
        </w:tc>
        <w:tc>
          <w:tcPr>
            <w:tcW w:type="dxa" w:w="2880"/>
          </w:tcPr>
          <w:p>
            <w:r>
              <w:rPr>
                <w:b/>
              </w:rPr>
              <w:t>Impact on Demand</w:t>
            </w:r>
          </w:p>
        </w:tc>
        <w:tc>
          <w:tcPr>
            <w:tcW w:type="dxa" w:w="2880"/>
          </w:tcPr>
          <w:p>
            <w:r>
              <w:rPr>
                <w:b/>
              </w:rPr>
              <w:t>Estimated Elasticity</w:t>
            </w:r>
          </w:p>
        </w:tc>
      </w:tr>
      <w:tr>
        <w:tc>
          <w:tcPr>
            <w:tcW w:type="dxa" w:w="2880"/>
          </w:tcPr>
          <w:p>
            <w:r>
              <w:t>Product Price</w:t>
            </w:r>
          </w:p>
        </w:tc>
        <w:tc>
          <w:tcPr>
            <w:tcW w:type="dxa" w:w="2880"/>
          </w:tcPr>
          <w:p>
            <w:r>
              <w:t>Inverse relationship</w:t>
            </w:r>
          </w:p>
        </w:tc>
        <w:tc>
          <w:tcPr>
            <w:tcW w:type="dxa" w:w="2880"/>
          </w:tcPr>
          <w:p>
            <w:r>
              <w:t>Moderate (-0.7 to -1.8)</w:t>
            </w:r>
          </w:p>
        </w:tc>
      </w:tr>
      <w:tr>
        <w:tc>
          <w:tcPr>
            <w:tcW w:type="dxa" w:w="2880"/>
          </w:tcPr>
          <w:p>
            <w:r>
              <w:t>Consumer Income</w:t>
            </w:r>
          </w:p>
        </w:tc>
        <w:tc>
          <w:tcPr>
            <w:tcW w:type="dxa" w:w="2880"/>
          </w:tcPr>
          <w:p>
            <w:r>
              <w:t>Positive correlation</w:t>
            </w:r>
          </w:p>
        </w:tc>
        <w:tc>
          <w:tcPr>
            <w:tcW w:type="dxa" w:w="2880"/>
          </w:tcPr>
          <w:p>
            <w:r>
              <w:t>+0.95 to +1.15</w:t>
            </w:r>
          </w:p>
        </w:tc>
      </w:tr>
      <w:tr>
        <w:tc>
          <w:tcPr>
            <w:tcW w:type="dxa" w:w="2880"/>
          </w:tcPr>
          <w:p>
            <w:r>
              <w:t>Smartphone Prices</w:t>
            </w:r>
          </w:p>
        </w:tc>
        <w:tc>
          <w:tcPr>
            <w:tcW w:type="dxa" w:w="2880"/>
          </w:tcPr>
          <w:p>
            <w:r>
              <w:t>Inverse (Complement)</w:t>
            </w:r>
          </w:p>
        </w:tc>
        <w:tc>
          <w:tcPr>
            <w:tcW w:type="dxa" w:w="2880"/>
          </w:tcPr>
          <w:p>
            <w:r>
              <w:t>-0.3 to -0.5</w:t>
            </w:r>
          </w:p>
        </w:tc>
      </w:tr>
      <w:tr>
        <w:tc>
          <w:tcPr>
            <w:tcW w:type="dxa" w:w="2880"/>
          </w:tcPr>
          <w:p>
            <w:r>
              <w:t>Fast Charging Adoption</w:t>
            </w:r>
          </w:p>
        </w:tc>
        <w:tc>
          <w:tcPr>
            <w:tcW w:type="dxa" w:w="2880"/>
          </w:tcPr>
          <w:p>
            <w:r>
              <w:t>Positive</w:t>
            </w:r>
          </w:p>
        </w:tc>
        <w:tc>
          <w:tcPr>
            <w:tcW w:type="dxa" w:w="2880"/>
          </w:tcPr>
          <w:p>
            <w:r>
              <w:t>High</w:t>
            </w:r>
          </w:p>
        </w:tc>
      </w:tr>
      <w:tr>
        <w:tc>
          <w:tcPr>
            <w:tcW w:type="dxa" w:w="2880"/>
          </w:tcPr>
          <w:p>
            <w:r>
              <w:t>Seasonal (Travel/Festivals)</w:t>
            </w:r>
          </w:p>
        </w:tc>
        <w:tc>
          <w:tcPr>
            <w:tcW w:type="dxa" w:w="2880"/>
          </w:tcPr>
          <w:p>
            <w:r>
              <w:t>Positive spikes</w:t>
            </w:r>
          </w:p>
        </w:tc>
        <w:tc>
          <w:tcPr>
            <w:tcW w:type="dxa" w:w="2880"/>
          </w:tcPr>
          <w:p>
            <w:r>
              <w:t>Variable</w:t>
            </w:r>
          </w:p>
        </w:tc>
      </w:tr>
    </w:tbl>
    <w:p/>
    <w:p>
      <w:r>
        <w:rPr>
          <w:b/>
          <w:sz w:val="24"/>
        </w:rPr>
        <w:t>3.2 Elasticity of Demand Analysis</w:t>
      </w:r>
    </w:p>
    <w:p>
      <w:pPr>
        <w:jc w:val="both"/>
      </w:pPr>
      <w:r>
        <w:t>Price elasticity of demand varies substantially across market segments, creating opportunities for differentiated pricing strategies. The budget segment (below ₹800) exhibits elastic demand with Price Elasticity of Demand (PED) ranging from -1.5 to -1.8, where consumers are highly price-sensitive, readily compare options, and switch between brands based on minor price differences. This segment requires competitive pricing to maintain market share.</w:t>
      </w:r>
    </w:p>
    <w:p>
      <w:pPr>
        <w:jc w:val="both"/>
      </w:pPr>
      <w:r>
        <w:t>The mid-range segment (₹800-1,500) demonstrates approximately unit elastic demand with PED of -0.9 to -1.1, indicating balanced sensitivity to both price and non-price factors. Premium segments (₹1,500-2,500) exhibit inelastic demand with PED of -0.6 to -0.8, where brand reputation, design aesthetics, and advanced features override pure price considerations. Ultra-premium segments (above ₹2,500) show highly inelastic demand (PED: -0.4 to -0.6), driven by brand loyalty and feature requirements.</w:t>
      </w:r>
    </w:p>
    <w:p>
      <w:pPr>
        <w:jc w:val="both"/>
      </w:pPr>
      <w:r>
        <w:t>Income elasticity analysis reveals power banks function as normal goods across all segments. Income Elasticity of Demand (YED) of +0.95 to +1.15 confirms that demand increases proportionally with income growth, supporting market expansion as India's middle class continues expanding and per capita income rises.</w:t>
      </w:r>
    </w:p>
    <w:p>
      <w:pPr>
        <w:jc w:val="center"/>
      </w:pPr>
      <w:r>
        <w:drawing>
          <wp:inline xmlns:a="http://schemas.openxmlformats.org/drawingml/2006/main" xmlns:pic="http://schemas.openxmlformats.org/drawingml/2006/picture">
            <wp:extent cx="5029200" cy="2980895"/>
            <wp:docPr id="4" name="Picture 4"/>
            <wp:cNvGraphicFramePr>
              <a:graphicFrameLocks noChangeAspect="1"/>
            </wp:cNvGraphicFramePr>
            <a:graphic>
              <a:graphicData uri="http://schemas.openxmlformats.org/drawingml/2006/picture">
                <pic:pic>
                  <pic:nvPicPr>
                    <pic:cNvPr id="0" name="price_elasticity.png"/>
                    <pic:cNvPicPr/>
                  </pic:nvPicPr>
                  <pic:blipFill>
                    <a:blip r:embed="rId12"/>
                    <a:stretch>
                      <a:fillRect/>
                    </a:stretch>
                  </pic:blipFill>
                  <pic:spPr>
                    <a:xfrm>
                      <a:off x="0" y="0"/>
                      <a:ext cx="5029200" cy="2980895"/>
                    </a:xfrm>
                    <a:prstGeom prst="rect"/>
                  </pic:spPr>
                </pic:pic>
              </a:graphicData>
            </a:graphic>
          </wp:inline>
        </w:drawing>
      </w:r>
    </w:p>
    <w:p>
      <w:pPr>
        <w:jc w:val="center"/>
      </w:pPr>
      <w:r>
        <w:rPr>
          <w:i/>
          <w:sz w:val="20"/>
        </w:rPr>
        <w:t>Figure 3.2: Price Elasticity Across Power Bank Segments</w:t>
      </w:r>
    </w:p>
    <w:p/>
    <w:p>
      <w:r>
        <w:rPr>
          <w:b/>
          <w:sz w:val="20"/>
        </w:rPr>
        <w:t>Table 10: Price Elasticity of Demand by Market Segment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Segment</w:t>
            </w:r>
          </w:p>
        </w:tc>
        <w:tc>
          <w:tcPr>
            <w:tcW w:type="dxa" w:w="2160"/>
          </w:tcPr>
          <w:p>
            <w:r>
              <w:rPr>
                <w:b/>
              </w:rPr>
              <w:t>Price Range (₹)</w:t>
            </w:r>
          </w:p>
        </w:tc>
        <w:tc>
          <w:tcPr>
            <w:tcW w:type="dxa" w:w="2160"/>
          </w:tcPr>
          <w:p>
            <w:r>
              <w:rPr>
                <w:b/>
              </w:rPr>
              <w:t>PED</w:t>
            </w:r>
          </w:p>
        </w:tc>
        <w:tc>
          <w:tcPr>
            <w:tcW w:type="dxa" w:w="2160"/>
          </w:tcPr>
          <w:p>
            <w:r>
              <w:rPr>
                <w:b/>
              </w:rPr>
              <w:t>Demand Characteristic</w:t>
            </w:r>
          </w:p>
        </w:tc>
      </w:tr>
      <w:tr>
        <w:tc>
          <w:tcPr>
            <w:tcW w:type="dxa" w:w="2160"/>
          </w:tcPr>
          <w:p>
            <w:r>
              <w:t>Budget</w:t>
            </w:r>
          </w:p>
        </w:tc>
        <w:tc>
          <w:tcPr>
            <w:tcW w:type="dxa" w:w="2160"/>
          </w:tcPr>
          <w:p>
            <w:r>
              <w:t>&lt;800</w:t>
            </w:r>
          </w:p>
        </w:tc>
        <w:tc>
          <w:tcPr>
            <w:tcW w:type="dxa" w:w="2160"/>
          </w:tcPr>
          <w:p>
            <w:r>
              <w:t>-1.5 to -1.8</w:t>
            </w:r>
          </w:p>
        </w:tc>
        <w:tc>
          <w:tcPr>
            <w:tcW w:type="dxa" w:w="2160"/>
          </w:tcPr>
          <w:p>
            <w:r>
              <w:t>Elastic - Price Sensitive</w:t>
            </w:r>
          </w:p>
        </w:tc>
      </w:tr>
      <w:tr>
        <w:tc>
          <w:tcPr>
            <w:tcW w:type="dxa" w:w="2160"/>
          </w:tcPr>
          <w:p>
            <w:r>
              <w:t>Mid-Range</w:t>
            </w:r>
          </w:p>
        </w:tc>
        <w:tc>
          <w:tcPr>
            <w:tcW w:type="dxa" w:w="2160"/>
          </w:tcPr>
          <w:p>
            <w:r>
              <w:t>800-1,500</w:t>
            </w:r>
          </w:p>
        </w:tc>
        <w:tc>
          <w:tcPr>
            <w:tcW w:type="dxa" w:w="2160"/>
          </w:tcPr>
          <w:p>
            <w:r>
              <w:t>-0.9 to -1.1</w:t>
            </w:r>
          </w:p>
        </w:tc>
        <w:tc>
          <w:tcPr>
            <w:tcW w:type="dxa" w:w="2160"/>
          </w:tcPr>
          <w:p>
            <w:r>
              <w:t>Unit Elastic - Balanced</w:t>
            </w:r>
          </w:p>
        </w:tc>
      </w:tr>
      <w:tr>
        <w:tc>
          <w:tcPr>
            <w:tcW w:type="dxa" w:w="2160"/>
          </w:tcPr>
          <w:p>
            <w:r>
              <w:t>Premium</w:t>
            </w:r>
          </w:p>
        </w:tc>
        <w:tc>
          <w:tcPr>
            <w:tcW w:type="dxa" w:w="2160"/>
          </w:tcPr>
          <w:p>
            <w:r>
              <w:t>1,500-2,500</w:t>
            </w:r>
          </w:p>
        </w:tc>
        <w:tc>
          <w:tcPr>
            <w:tcW w:type="dxa" w:w="2160"/>
          </w:tcPr>
          <w:p>
            <w:r>
              <w:t>-0.6 to -0.8</w:t>
            </w:r>
          </w:p>
        </w:tc>
        <w:tc>
          <w:tcPr>
            <w:tcW w:type="dxa" w:w="2160"/>
          </w:tcPr>
          <w:p>
            <w:r>
              <w:t>Inelastic - Feature Driven</w:t>
            </w:r>
          </w:p>
        </w:tc>
      </w:tr>
      <w:tr>
        <w:tc>
          <w:tcPr>
            <w:tcW w:type="dxa" w:w="2160"/>
          </w:tcPr>
          <w:p>
            <w:r>
              <w:t>Ultra-Premium</w:t>
            </w:r>
          </w:p>
        </w:tc>
        <w:tc>
          <w:tcPr>
            <w:tcW w:type="dxa" w:w="2160"/>
          </w:tcPr>
          <w:p>
            <w:r>
              <w:t>&gt;2,500</w:t>
            </w:r>
          </w:p>
        </w:tc>
        <w:tc>
          <w:tcPr>
            <w:tcW w:type="dxa" w:w="2160"/>
          </w:tcPr>
          <w:p>
            <w:r>
              <w:t>-0.4 to -0.6</w:t>
            </w:r>
          </w:p>
        </w:tc>
        <w:tc>
          <w:tcPr>
            <w:tcW w:type="dxa" w:w="2160"/>
          </w:tcPr>
          <w:p>
            <w:r>
              <w:t>Highly Inelastic - Brand Loyal</w:t>
            </w:r>
          </w:p>
        </w:tc>
      </w:tr>
    </w:tbl>
    <w:p/>
    <w:p>
      <w:r>
        <w:rPr>
          <w:b/>
          <w:sz w:val="24"/>
        </w:rPr>
        <w:t>3.3 Market Structure Analysis</w:t>
      </w:r>
    </w:p>
    <w:p>
      <w:pPr>
        <w:jc w:val="both"/>
      </w:pPr>
      <w:r>
        <w:t>The Indian power bank market operates under MONOPOLISTIC COMPETITION, characterized by numerous sellers (200+ registered brands and countless unbranded products), significant product differentiation across capacity, charging speed, design, and brand positioning, relatively low barriers to entry with minimum capital requirements of ₹20-30 lakhs, and substantial non-price competition through branding, warranty, and customer service differentiation.</w:t>
      </w:r>
    </w:p>
    <w:p>
      <w:pPr>
        <w:jc w:val="both"/>
      </w:pPr>
      <w:r>
        <w:t>Market concentration analysis using the Herfindahl-Hirschman Index (HHI) yields values of 850-1,100, indicating a moderately concentrated market. The top 5 players—MI/Xiaomi, Ambrane, pTron, Syska, and Portronics—control approximately 55% of the market, leaving substantial room for challenger brands and regional players.</w:t>
      </w:r>
    </w:p>
    <w:p>
      <w:r>
        <w:rPr>
          <w:b/>
          <w:sz w:val="20"/>
        </w:rPr>
        <w:t>Table 11: Indian Power Bank Market Share Analysis (2024)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Market Share</w:t>
            </w:r>
          </w:p>
        </w:tc>
        <w:tc>
          <w:tcPr>
            <w:tcW w:type="dxa" w:w="2880"/>
          </w:tcPr>
          <w:p>
            <w:r>
              <w:rPr>
                <w:b/>
              </w:rPr>
              <w:t>Positioning Strategy</w:t>
            </w:r>
          </w:p>
        </w:tc>
      </w:tr>
      <w:tr>
        <w:tc>
          <w:tcPr>
            <w:tcW w:type="dxa" w:w="2880"/>
          </w:tcPr>
          <w:p>
            <w:r>
              <w:t>MI/Xiaomi</w:t>
            </w:r>
          </w:p>
        </w:tc>
        <w:tc>
          <w:tcPr>
            <w:tcW w:type="dxa" w:w="2880"/>
          </w:tcPr>
          <w:p>
            <w:r>
              <w:t>18-22%</w:t>
            </w:r>
          </w:p>
        </w:tc>
        <w:tc>
          <w:tcPr>
            <w:tcW w:type="dxa" w:w="2880"/>
          </w:tcPr>
          <w:p>
            <w:r>
              <w:t>Value Leader - Price-Performance Champion</w:t>
            </w:r>
          </w:p>
        </w:tc>
      </w:tr>
      <w:tr>
        <w:tc>
          <w:tcPr>
            <w:tcW w:type="dxa" w:w="2880"/>
          </w:tcPr>
          <w:p>
            <w:r>
              <w:t>Ambrane</w:t>
            </w:r>
          </w:p>
        </w:tc>
        <w:tc>
          <w:tcPr>
            <w:tcW w:type="dxa" w:w="2880"/>
          </w:tcPr>
          <w:p>
            <w:r>
              <w:t>12-15%</w:t>
            </w:r>
          </w:p>
        </w:tc>
        <w:tc>
          <w:tcPr>
            <w:tcW w:type="dxa" w:w="2880"/>
          </w:tcPr>
          <w:p>
            <w:r>
              <w:t>Budget Champion - Mass Market Accessibility</w:t>
            </w:r>
          </w:p>
        </w:tc>
      </w:tr>
      <w:tr>
        <w:tc>
          <w:tcPr>
            <w:tcW w:type="dxa" w:w="2880"/>
          </w:tcPr>
          <w:p>
            <w:r>
              <w:t>pTron</w:t>
            </w:r>
          </w:p>
        </w:tc>
        <w:tc>
          <w:tcPr>
            <w:tcW w:type="dxa" w:w="2880"/>
          </w:tcPr>
          <w:p>
            <w:r>
              <w:t>8-10%</w:t>
            </w:r>
          </w:p>
        </w:tc>
        <w:tc>
          <w:tcPr>
            <w:tcW w:type="dxa" w:w="2880"/>
          </w:tcPr>
          <w:p>
            <w:r>
              <w:t>Online Specialist - E-commerce Focus</w:t>
            </w:r>
          </w:p>
        </w:tc>
      </w:tr>
      <w:tr>
        <w:tc>
          <w:tcPr>
            <w:tcW w:type="dxa" w:w="2880"/>
          </w:tcPr>
          <w:p>
            <w:r>
              <w:t>Syska</w:t>
            </w:r>
          </w:p>
        </w:tc>
        <w:tc>
          <w:tcPr>
            <w:tcW w:type="dxa" w:w="2880"/>
          </w:tcPr>
          <w:p>
            <w:r>
              <w:t>7-9%</w:t>
            </w:r>
          </w:p>
        </w:tc>
        <w:tc>
          <w:tcPr>
            <w:tcW w:type="dxa" w:w="2880"/>
          </w:tcPr>
          <w:p>
            <w:r>
              <w:t>Multi-channel - Wide Distribution Network</w:t>
            </w:r>
          </w:p>
        </w:tc>
      </w:tr>
      <w:tr>
        <w:tc>
          <w:tcPr>
            <w:tcW w:type="dxa" w:w="2880"/>
          </w:tcPr>
          <w:p>
            <w:r>
              <w:t>Portronics</w:t>
            </w:r>
          </w:p>
        </w:tc>
        <w:tc>
          <w:tcPr>
            <w:tcW w:type="dxa" w:w="2880"/>
          </w:tcPr>
          <w:p>
            <w:r>
              <w:t>6-8%</w:t>
            </w:r>
          </w:p>
        </w:tc>
        <w:tc>
          <w:tcPr>
            <w:tcW w:type="dxa" w:w="2880"/>
          </w:tcPr>
          <w:p>
            <w:r>
              <w:t>Innovation Focus - Feature Leadership</w:t>
            </w:r>
          </w:p>
        </w:tc>
      </w:tr>
      <w:tr>
        <w:tc>
          <w:tcPr>
            <w:tcW w:type="dxa" w:w="2880"/>
          </w:tcPr>
          <w:p>
            <w:r>
              <w:t>Others</w:t>
            </w:r>
          </w:p>
        </w:tc>
        <w:tc>
          <w:tcPr>
            <w:tcW w:type="dxa" w:w="2880"/>
          </w:tcPr>
          <w:p>
            <w:r>
              <w:t>40-45%</w:t>
            </w:r>
          </w:p>
        </w:tc>
        <w:tc>
          <w:tcPr>
            <w:tcW w:type="dxa" w:w="2880"/>
          </w:tcPr>
          <w:p>
            <w:r>
              <w:t>Fragmented - Niche and Regional Players</w:t>
            </w:r>
          </w:p>
        </w:tc>
      </w:tr>
    </w:tbl>
    <w:p/>
    <w:p>
      <w:r>
        <w:rPr>
          <w:b/>
          <w:sz w:val="24"/>
        </w:rPr>
        <w:t>3.4 Revenue and Channel Analysis</w:t>
      </w:r>
    </w:p>
    <w:p>
      <w:pPr>
        <w:jc w:val="both"/>
      </w:pPr>
      <w:r>
        <w:t>Revenue analysis across distribution channels reveals evolving patterns driven by digital transformation. E-commerce platforms dominate with 42% revenue share, propelled by price transparency, convenience, customer reviews, and aggressive promotional strategies during sale events. Retail chains capture 28% share, while wholesale/distributors hold 18%. The emerging D2C (Direct-to-Consumer) channel accounts for 8% but offers highest manufacturer margins (35-45%), making it a strategic priority for brands seeking margin improvement.</w:t>
      </w:r>
    </w:p>
    <w:p>
      <w:pPr>
        <w:jc w:val="both"/>
      </w:pPr>
      <w:r>
        <w:t>Marketing and selling costs consume 15-25% of revenue across digital advertising (performance marketing, influencer campaigns), trade margins (channel incentives), and BTL activities (in-store promotions, demonstrations). Customer acquisition costs have risen significantly as competition intensifies.</w:t>
      </w:r>
    </w:p>
    <w:p>
      <w:pPr>
        <w:jc w:val="center"/>
      </w:pPr>
      <w:r>
        <w:drawing>
          <wp:inline xmlns:a="http://schemas.openxmlformats.org/drawingml/2006/main" xmlns:pic="http://schemas.openxmlformats.org/drawingml/2006/picture">
            <wp:extent cx="5029200" cy="4581668"/>
            <wp:docPr id="5" name="Picture 5"/>
            <wp:cNvGraphicFramePr>
              <a:graphicFrameLocks noChangeAspect="1"/>
            </wp:cNvGraphicFramePr>
            <a:graphic>
              <a:graphicData uri="http://schemas.openxmlformats.org/drawingml/2006/picture">
                <pic:pic>
                  <pic:nvPicPr>
                    <pic:cNvPr id="0" name="revenue_distribution.png"/>
                    <pic:cNvPicPr/>
                  </pic:nvPicPr>
                  <pic:blipFill>
                    <a:blip r:embed="rId13"/>
                    <a:stretch>
                      <a:fillRect/>
                    </a:stretch>
                  </pic:blipFill>
                  <pic:spPr>
                    <a:xfrm>
                      <a:off x="0" y="0"/>
                      <a:ext cx="5029200" cy="4581668"/>
                    </a:xfrm>
                    <a:prstGeom prst="rect"/>
                  </pic:spPr>
                </pic:pic>
              </a:graphicData>
            </a:graphic>
          </wp:inline>
        </w:drawing>
      </w:r>
    </w:p>
    <w:p>
      <w:pPr>
        <w:jc w:val="center"/>
      </w:pPr>
      <w:r>
        <w:rPr>
          <w:i/>
          <w:sz w:val="20"/>
        </w:rPr>
        <w:t>Figure 3.3: Revenue Distribution by Sales Channel</w:t>
      </w:r>
    </w:p>
    <w:p/>
    <w:p>
      <w:r>
        <w:br w:type="page"/>
      </w:r>
    </w:p>
    <w:p>
      <w:r>
        <w:rPr>
          <w:b/>
          <w:sz w:val="28"/>
        </w:rPr>
        <w:t>4. SUGGESTIONS FOR IMPROVING PRODUCTION AND DELIVERY EFFICIENCY</w:t>
      </w:r>
    </w:p>
    <w:p>
      <w:pPr>
        <w:jc w:val="both"/>
      </w:pPr>
      <w:r>
        <w:t>Based on the comprehensive microeconomic analysis of production economics, cost structures, and market dynamics, the following strategic recommendations are proposed to enhance operational efficiency and profitability for power bank manufacturers:</w:t>
      </w:r>
    </w:p>
    <w:p>
      <w:pPr>
        <w:jc w:val="both"/>
      </w:pPr>
      <w:r>
        <w:t>D2C Channel Development offers the fastest payback period of 8-12 months with investment of Rs. 20-80 lakhs, potentially improving margins by 20-30% by eliminating intermediary costs and building direct customer relationships. Implementation involves building e-commerce capabilities, investing in digital marketing, and developing fulfillment infrastructure.</w:t>
      </w:r>
    </w:p>
    <w:p>
      <w:pPr>
        <w:jc w:val="both"/>
      </w:pPr>
      <w:r>
        <w:t>Just-in-Time Inventory Systems with investment of Rs. 50-150 lakhs can reduce working capital requirements by 15-20% while improving cash flow efficiency. This requires supplier coordination, demand forecasting capabilities, and logistics optimization.</w:t>
      </w:r>
    </w:p>
    <w:p>
      <w:pPr>
        <w:jc w:val="both"/>
      </w:pPr>
      <w:r>
        <w:t>Quality Control System investments of Rs. 15-25 lakhs can improve defect rates from typical 3% to best-in-class 0.8%, reducing warranty costs, minimizing returns, and enhancing brand reputation for long-term customer loyalty.</w:t>
      </w:r>
    </w:p>
    <w:p>
      <w:pPr>
        <w:jc w:val="both"/>
      </w:pPr>
      <w:r>
        <w:t>Production Scale-up to achieve minimum efficient scale of 100,000+ units monthly delivers 15-20% unit cost reduction through economies of scale, improved supplier negotiations, and automated production processes.</w:t>
      </w:r>
    </w:p>
    <w:p>
      <w:r>
        <w:rPr>
          <w:b/>
          <w:sz w:val="20"/>
        </w:rPr>
        <w:t>Table 12: Strategic Recommendations with Expected Impact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Strategy</w:t>
            </w:r>
          </w:p>
        </w:tc>
        <w:tc>
          <w:tcPr>
            <w:tcW w:type="dxa" w:w="2160"/>
          </w:tcPr>
          <w:p>
            <w:r>
              <w:rPr>
                <w:b/>
              </w:rPr>
              <w:t>Investment (₹)</w:t>
            </w:r>
          </w:p>
        </w:tc>
        <w:tc>
          <w:tcPr>
            <w:tcW w:type="dxa" w:w="2160"/>
          </w:tcPr>
          <w:p>
            <w:r>
              <w:rPr>
                <w:b/>
              </w:rPr>
              <w:t>Payback Period</w:t>
            </w:r>
          </w:p>
        </w:tc>
        <w:tc>
          <w:tcPr>
            <w:tcW w:type="dxa" w:w="2160"/>
          </w:tcPr>
          <w:p>
            <w:r>
              <w:rPr>
                <w:b/>
              </w:rPr>
              <w:t>Expected Impact</w:t>
            </w:r>
          </w:p>
        </w:tc>
      </w:tr>
      <w:tr>
        <w:tc>
          <w:tcPr>
            <w:tcW w:type="dxa" w:w="2160"/>
          </w:tcPr>
          <w:p>
            <w:r>
              <w:t>D2C Channel Development</w:t>
            </w:r>
          </w:p>
        </w:tc>
        <w:tc>
          <w:tcPr>
            <w:tcW w:type="dxa" w:w="2160"/>
          </w:tcPr>
          <w:p>
            <w:r>
              <w:t>20-80 lakhs</w:t>
            </w:r>
          </w:p>
        </w:tc>
        <w:tc>
          <w:tcPr>
            <w:tcW w:type="dxa" w:w="2160"/>
          </w:tcPr>
          <w:p>
            <w:r>
              <w:t>8-12 months</w:t>
            </w:r>
          </w:p>
        </w:tc>
        <w:tc>
          <w:tcPr>
            <w:tcW w:type="dxa" w:w="2160"/>
          </w:tcPr>
          <w:p>
            <w:r>
              <w:t>20-30% margin improvement</w:t>
            </w:r>
          </w:p>
        </w:tc>
      </w:tr>
      <w:tr>
        <w:tc>
          <w:tcPr>
            <w:tcW w:type="dxa" w:w="2160"/>
          </w:tcPr>
          <w:p>
            <w:r>
              <w:t>JIT Inventory Systems</w:t>
            </w:r>
          </w:p>
        </w:tc>
        <w:tc>
          <w:tcPr>
            <w:tcW w:type="dxa" w:w="2160"/>
          </w:tcPr>
          <w:p>
            <w:r>
              <w:t>50-150 lakhs</w:t>
            </w:r>
          </w:p>
        </w:tc>
        <w:tc>
          <w:tcPr>
            <w:tcW w:type="dxa" w:w="2160"/>
          </w:tcPr>
          <w:p>
            <w:r>
              <w:t>12-18 months</w:t>
            </w:r>
          </w:p>
        </w:tc>
        <w:tc>
          <w:tcPr>
            <w:tcW w:type="dxa" w:w="2160"/>
          </w:tcPr>
          <w:p>
            <w:r>
              <w:t>15-20% working capital reduction</w:t>
            </w:r>
          </w:p>
        </w:tc>
      </w:tr>
      <w:tr>
        <w:tc>
          <w:tcPr>
            <w:tcW w:type="dxa" w:w="2160"/>
          </w:tcPr>
          <w:p>
            <w:r>
              <w:t>Quality Control Enhancement</w:t>
            </w:r>
          </w:p>
        </w:tc>
        <w:tc>
          <w:tcPr>
            <w:tcW w:type="dxa" w:w="2160"/>
          </w:tcPr>
          <w:p>
            <w:r>
              <w:t>15-25 lakhs</w:t>
            </w:r>
          </w:p>
        </w:tc>
        <w:tc>
          <w:tcPr>
            <w:tcW w:type="dxa" w:w="2160"/>
          </w:tcPr>
          <w:p>
            <w:r>
              <w:t>6-8 months</w:t>
            </w:r>
          </w:p>
        </w:tc>
        <w:tc>
          <w:tcPr>
            <w:tcW w:type="dxa" w:w="2160"/>
          </w:tcPr>
          <w:p>
            <w:r>
              <w:t>Defect rate: 3% → 0.8%</w:t>
            </w:r>
          </w:p>
        </w:tc>
      </w:tr>
      <w:tr>
        <w:tc>
          <w:tcPr>
            <w:tcW w:type="dxa" w:w="2160"/>
          </w:tcPr>
          <w:p>
            <w:r>
              <w:t>Production Scale-up</w:t>
            </w:r>
          </w:p>
        </w:tc>
        <w:tc>
          <w:tcPr>
            <w:tcW w:type="dxa" w:w="2160"/>
          </w:tcPr>
          <w:p>
            <w:r>
              <w:t>2-5 crores</w:t>
            </w:r>
          </w:p>
        </w:tc>
        <w:tc>
          <w:tcPr>
            <w:tcW w:type="dxa" w:w="2160"/>
          </w:tcPr>
          <w:p>
            <w:r>
              <w:t>18-24 months</w:t>
            </w:r>
          </w:p>
        </w:tc>
        <w:tc>
          <w:tcPr>
            <w:tcW w:type="dxa" w:w="2160"/>
          </w:tcPr>
          <w:p>
            <w:r>
              <w:t>15-20% unit cost reduction</w:t>
            </w:r>
          </w:p>
        </w:tc>
      </w:tr>
    </w:tbl>
    <w:p/>
    <w:p>
      <w:r>
        <w:rPr>
          <w:b/>
          <w:sz w:val="28"/>
        </w:rPr>
        <w:t>5. KEY LEARNINGS</w:t>
      </w:r>
    </w:p>
    <w:p>
      <w:pPr>
        <w:jc w:val="both"/>
      </w:pPr>
      <w:r>
        <w:t>This comprehensive microeconomic analysis of the power bank industry reveals several key learnings applicable to consumer electronics manufacturing and marketing:</w:t>
      </w:r>
    </w:p>
    <w:p>
      <w:pPr>
        <w:jc w:val="both"/>
      </w:pPr>
      <w:r>
        <w:t>1. Variable Cost Dominance: With 85-90% of total costs being variable and dominated by imported components, volume growth directly impacts profitability through improved supplier negotiations and production economies of scale. This cost structure favors aggressive market share strategies.</w:t>
      </w:r>
    </w:p>
    <w:p>
      <w:pPr>
        <w:jc w:val="both"/>
      </w:pPr>
      <w:r>
        <w:t>2. Significant Economies of Scale: The 31% reduction in Average Total Cost between 10,000 and 200,000 units monthly production emphasizes the critical importance of achieving minimum efficient scale for sustainable competitive positioning in this industry.</w:t>
      </w:r>
    </w:p>
    <w:p>
      <w:pPr>
        <w:jc w:val="both"/>
      </w:pPr>
      <w:r>
        <w:t>3. Segment-Specific Elasticity Enables Differentiated Pricing: The substantial variation from elastic demand in budget segments (PED: -1.8) to inelastic demand in premium segments (PED: -0.5) enables sophisticated multi-tier pricing strategies targeting different consumer segments with appropriate value propositions.</w:t>
      </w:r>
    </w:p>
    <w:p>
      <w:pPr>
        <w:jc w:val="both"/>
      </w:pPr>
      <w:r>
        <w:t>4. Normal Good Classification Supports Market Growth: Income elasticity of +0.95 to +1.15 confirms power banks as normal goods, ensuring demand growth alongside India's rising income levels, expanding middle class, and increasing discretionary spending power.</w:t>
      </w:r>
    </w:p>
    <w:p>
      <w:pPr>
        <w:jc w:val="both"/>
      </w:pPr>
      <w:r>
        <w:t>5. Monopolistic Competition Rewards Differentiation: The combination of low barriers to entry, significant product differentiation opportunities, and substantial non-price competition creates sustainable competitive advantage pathways through brand building, innovation leadership, and quality excellence rather than pure price competition.</w:t>
      </w:r>
    </w:p>
    <w:p>
      <w:r>
        <w:br w:type="page"/>
      </w:r>
    </w:p>
    <w:p>
      <w:r>
        <w:rPr>
          <w:b/>
          <w:sz w:val="28"/>
        </w:rPr>
        <w:t>REFERENCES</w:t>
      </w:r>
    </w:p>
    <w:p>
      <w:pPr>
        <w:spacing w:after="80"/>
      </w:pPr>
      <w:r>
        <w:t>1. Grand View Research (2024). Power Bank Market Size, Share &amp; Trends Analysis Report, 2024-2030.</w:t>
      </w:r>
    </w:p>
    <w:p>
      <w:pPr>
        <w:spacing w:after="80"/>
      </w:pPr>
      <w:r>
        <w:t>2. Mordor Intelligence (2024). India Power Bank Market - Growth, Trends, and Forecasts (2024-2033).</w:t>
      </w:r>
    </w:p>
    <w:p>
      <w:pPr>
        <w:spacing w:after="80"/>
      </w:pPr>
      <w:r>
        <w:t>3. Bureau of Indian Standards. IS 17018:2018 - Specification for Portable Secondary Lithium Cells and Batteries.</w:t>
      </w:r>
    </w:p>
    <w:p>
      <w:pPr>
        <w:spacing w:after="80"/>
      </w:pPr>
      <w:r>
        <w:t>4. Central Board of Indirect Taxes and Customs. GST Rate Schedule for Electronic Products - HSN 8507.</w:t>
      </w:r>
    </w:p>
    <w:p>
      <w:pPr>
        <w:spacing w:after="80"/>
      </w:pPr>
      <w:r>
        <w:t>5. Ministry of Environment, Forest and Climate Change. Battery Waste Management Rules, 2022.</w:t>
      </w:r>
    </w:p>
    <w:p>
      <w:pPr>
        <w:spacing w:after="80"/>
      </w:pPr>
      <w:r>
        <w:t>6. Ministry of Heavy Industries. Production Linked Incentive Scheme for Advanced Chemistry Cell Battery Storage.</w:t>
      </w:r>
    </w:p>
    <w:p>
      <w:pPr>
        <w:spacing w:after="80"/>
      </w:pPr>
      <w:r>
        <w:t>7. Statista (2024). Smartphone Users in India 2024-2028: Market Report.</w:t>
      </w:r>
    </w:p>
    <w:p>
      <w:pPr>
        <w:spacing w:after="80"/>
      </w:pPr>
      <w:r>
        <w:t>8. India Brand Equity Foundation (2024). Indian Electronics Industry Report.</w:t>
      </w:r>
    </w:p>
    <w:p>
      <w:pPr>
        <w:spacing w:after="80"/>
      </w:pPr>
      <w:r>
        <w:t>9. Counterpoint Research (2024). India Smartphone Accessories Market Report Q3 2024.</w:t>
      </w:r>
    </w:p>
    <w:p>
      <w:pPr>
        <w:spacing w:after="80"/>
      </w:pPr>
      <w:r>
        <w:t>10. BloombergNEF (2024). Lithium-Ion Battery Price Survey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