
<file path=[Content_Types].xml><?xml version="1.0" encoding="utf-8"?>
<Types xmlns="http://schemas.openxmlformats.org/package/2006/content-types">
  <Default Extension="rels" ContentType="application/vnd.openxmlformats-package.relationships+xml"/>
  <Default Extension="jpeg" ContentType="image/jpeg"/>
  <Default Extension="png" ContentType="image/png"/>
  <Default Extension="svg" ContentType="image/svg+xml"/>
  <Default Extension="xml" ContentType="application/xml"/>
  <Default Extension="jpg" ContentType="application/octet-stream"/>
  <Override PartName="/_rels/.rels" ContentType="application/vnd.openxmlformats-package.relationship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docProps/core.xml" ContentType="application/vnd.openxmlformats-package.core-properties+xml"/>
  <Override PartName="/word/settings.xml" ContentType="application/vnd.openxmlformats-officedocument.wordprocessingml.settings+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s>
</file>

<file path=word/document.xml><?xml version="1.0" encoding="utf-8"?>
<w:document xmlns:a="http://schemas.openxmlformats.org/drawingml/2006/main" xmlns:cdr="http://schemas.openxmlformats.org/drawingml/2006/chartDrawing" xmlns:o="urn:schemas-microsoft-com:office:office" xmlns:pic="http://schemas.openxmlformats.org/drawingml/2006/picture" xmlns:r="http://schemas.openxmlformats.org/officeDocument/2006/relationships" xmlns:m="http://schemas.openxmlformats.org/officeDocument/2006/math" xmlns:v="urn:schemas-microsoft-com:vml" xmlns:ve="http://schemas.openxmlformats.org/markup-compatibility/2006" xmlns:vt="http://schemas.openxmlformats.org/officeDocument/2006/docPropsVTypes" xmlns:w="http://schemas.openxmlformats.org/wordprocessingml/2006/main" xmlns:w10="urn:schemas-microsoft-com:office:word" xmlns:wp="http://schemas.openxmlformats.org/drawingml/2006/wordprocessingDrawing" xmlns:wne="http://schemas.microsoft.com/office/word/2006/wordml" xmlns:a14="http://schemas.microsoft.com/office/drawing/2010/main" xmlns:asvg="http://schemas.microsoft.com/office/drawing/2016/SVG/main">
  <w:body>
    <w:p>
      <w:pPr>
        <w:spacing w:line="360" w:after="0" w:lineRule="auto"/>
      </w:pPr>
      <w:r>
        <w:rPr>
          <w:rFonts w:eastAsia="inter" w:cs="inter" w:ascii="inter" w:hAnsi="inter"/>
          <w:color w:val="000000"/>
        </w:rPr>
        <w:drawing>
          <wp:inline distB="0" distL="0" distR="0" distT="0">
            <wp:extent cx="2420112" cy="609600"/>
            <wp:effectExtent b="0" l="0" r="0" t="0"/>
            <wp:docPr id="1" name="image-1e013dd537dbd2953a718ca307cc522e6fc7389f.png"/>
            <a:graphic>
              <a:graphicData uri="http://schemas.openxmlformats.org/drawingml/2006/picture">
                <pic:pic>
                  <pic:nvPicPr>
                    <pic:cNvPr id="1" name="image-1e013dd537dbd2953a718ca307cc522e6fc7389f.png" descr=""/>
                    <pic:cNvPicPr/>
                  </pic:nvPicPr>
                  <pic:blipFill>
                    <a:blip r:embed="rId5" cstate="print"/>
                    <a:srcRect b="0" l="0" r="0" t="0"/>
                    <a:stretch>
                      <a:fillRect/>
                    </a:stretch>
                  </pic:blipFill>
                  <pic:spPr>
                    <a:xfrm>
                      <a:off x="0" y="0"/>
                      <a:ext cx="2420112" cy="609600"/>
                    </a:xfrm>
                    <a:prstGeom prst="rect"/>
                  </pic:spPr>
                </pic:pic>
              </a:graphicData>
            </a:graphic>
          </wp:inline>
        </w:drawing>
      </w:r>
    </w:p>
    <w:p>
      <w:pPr>
        <w:spacing w:line="270" w:before="157.5" w:after="157.5" w:lineRule="auto"/>
        <w:jc w:val="left"/>
      </w:pPr>
      <w:bookmarkStart w:id="0" w:name="you_are_an_academic_researcher_sp_153b1e"/>
      <w:r>
        <w:rPr>
          <w:rFonts w:eastAsia="inter" w:cs="inter" w:ascii="inter" w:hAnsi="inter"/>
          <w:b/>
          <w:color w:val="000000"/>
          <w:sz w:val="39"/>
        </w:rPr>
        <w:t xml:space="preserve">You are an academic researcher specializing in microeconomics, industrial organization,</w:t>
      </w:r>
      <w:bookmarkEnd w:id="0"/>
    </w:p>
    <w:p>
      <w:pPr>
        <w:spacing w:line="360" w:after="210" w:lineRule="auto"/>
      </w:pPr>
      <w:r>
        <w:rPr>
          <w:rFonts w:eastAsia="inter" w:cs="inter" w:ascii="inter" w:hAnsi="inter"/>
          <w:color w:val="000000"/>
        </w:rPr>
        <w:t xml:space="preserve">and consumer electronics manufacturing.</w:t>
      </w:r>
    </w:p>
    <w:p>
      <w:pPr>
        <w:spacing w:line="360" w:after="210" w:lineRule="auto"/>
      </w:pPr>
      <w:r>
        <w:rPr>
          <w:rFonts w:eastAsia="inter" w:cs="inter" w:ascii="inter" w:hAnsi="inter"/>
          <w:color w:val="000000"/>
        </w:rPr>
        <w:t xml:space="preserve">Conduct an IN-DEPTH MICROECONOMIC ANALYSIS of the product:</w:t>
      </w:r>
      <w:r>
        <w:rPr>
          <w:rFonts w:eastAsia="inter" w:cs="inter" w:ascii="inter" w:hAnsi="inter"/>
          <w:color w:val="000000"/>
        </w:rPr>
        <w:br w:type="textWrapping"/>
      </w:r>
      <w:r>
        <w:rPr>
          <w:rFonts w:eastAsia="inter" w:cs="inter" w:ascii="inter" w:hAnsi="inter"/>
          <w:color w:val="000000"/>
        </w:rPr>
        <w:t xml:space="preserve">HAIR STRAIGHTENING BRUSH,</w:t>
      </w:r>
      <w:r>
        <w:rPr>
          <w:rFonts w:eastAsia="inter" w:cs="inter" w:ascii="inter" w:hAnsi="inter"/>
          <w:color w:val="000000"/>
        </w:rPr>
        <w:br w:type="textWrapping"/>
      </w:r>
      <w:r>
        <w:rPr>
          <w:rFonts w:eastAsia="inter" w:cs="inter" w:ascii="inter" w:hAnsi="inter"/>
          <w:color w:val="000000"/>
        </w:rPr>
        <w:t xml:space="preserve">suitable for a long-form (18-page) undergraduate economics product assignment.</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after="210" w:lineRule="auto"/>
      </w:pPr>
      <w:r>
        <w:rPr>
          <w:rFonts w:eastAsia="inter" w:cs="inter" w:ascii="inter" w:hAnsi="inter"/>
          <w:color w:val="000000"/>
        </w:rPr>
        <w:t xml:space="preserve">STRUCTURE YOUR RESEARCH UNDER THESE HEADINGS:</w:t>
      </w:r>
    </w:p>
    <w:p>
      <w:pPr>
        <w:numPr>
          <w:ilvl w:val="0"/>
          <w:numId w:val="1"/>
        </w:numPr>
        <w:spacing w:line="360" w:before="105" w:after="105" w:lineRule="auto"/>
      </w:pPr>
      <w:r>
        <w:rPr>
          <w:rFonts w:eastAsia="inter" w:cs="inter" w:ascii="inter" w:hAnsi="inter"/>
          <w:color w:val="000000"/>
          <w:sz w:val="21"/>
        </w:rPr>
        <w:t xml:space="preserve">INTRODUCTION &amp; PRODUCT EVOLUTION</w:t>
      </w:r>
      <w:r>
        <w:rPr>
          <w:rFonts w:eastAsia="inter" w:cs="inter" w:ascii="inter" w:hAnsi="inter"/>
          <w:color w:val="000000"/>
          <w:sz w:val="21"/>
        </w:rPr>
        <w:br w:type="textWrapping"/>
      </w:r>
      <w:r>
        <w:rPr>
          <w:rFonts w:eastAsia="inter" w:cs="inter" w:ascii="inter" w:hAnsi="inter"/>
          <w:color w:val="000000"/>
          <w:sz w:val="21"/>
        </w:rPr>
        <w:t xml:space="preserve">• Definition and economic relevance</w:t>
      </w:r>
      <w:r>
        <w:rPr>
          <w:rFonts w:eastAsia="inter" w:cs="inter" w:ascii="inter" w:hAnsi="inter"/>
          <w:color w:val="000000"/>
          <w:sz w:val="21"/>
        </w:rPr>
        <w:br w:type="textWrapping"/>
      </w:r>
      <w:r>
        <w:rPr>
          <w:rFonts w:eastAsia="inter" w:cs="inter" w:ascii="inter" w:hAnsi="inter"/>
          <w:color w:val="000000"/>
          <w:sz w:val="21"/>
        </w:rPr>
        <w:t xml:space="preserve">• Evolution of hair styling tools</w:t>
      </w:r>
      <w:r>
        <w:rPr>
          <w:rFonts w:eastAsia="inter" w:cs="inter" w:ascii="inter" w:hAnsi="inter"/>
          <w:color w:val="000000"/>
          <w:sz w:val="21"/>
        </w:rPr>
        <w:br w:type="textWrapping"/>
      </w:r>
      <w:r>
        <w:rPr>
          <w:rFonts w:eastAsia="inter" w:cs="inter" w:ascii="inter" w:hAnsi="inter"/>
          <w:color w:val="000000"/>
          <w:sz w:val="21"/>
        </w:rPr>
        <w:t xml:space="preserve">• Technological innovations in straightening brushes</w:t>
      </w:r>
      <w:r>
        <w:rPr>
          <w:rFonts w:eastAsia="inter" w:cs="inter" w:ascii="inter" w:hAnsi="inter"/>
          <w:color w:val="000000"/>
          <w:sz w:val="21"/>
        </w:rPr>
        <w:br w:type="textWrapping"/>
      </w:r>
      <w:r>
        <w:rPr>
          <w:rFonts w:eastAsia="inter" w:cs="inter" w:ascii="inter" w:hAnsi="inter"/>
          <w:color w:val="000000"/>
          <w:sz w:val="21"/>
        </w:rPr>
        <w:t xml:space="preserve">• Product lifecycle classification</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numPr>
          <w:ilvl w:val="0"/>
          <w:numId w:val="2"/>
        </w:numPr>
        <w:spacing w:line="360" w:before="105" w:after="105" w:lineRule="auto"/>
      </w:pPr>
      <w:r>
        <w:rPr>
          <w:rFonts w:eastAsia="inter" w:cs="inter" w:ascii="inter" w:hAnsi="inter"/>
          <w:color w:val="000000"/>
          <w:sz w:val="21"/>
        </w:rPr>
        <w:t xml:space="preserve">PRODUCTION &amp; TECHNOLOGY</w:t>
      </w:r>
      <w:r>
        <w:rPr>
          <w:rFonts w:eastAsia="inter" w:cs="inter" w:ascii="inter" w:hAnsi="inter"/>
          <w:color w:val="000000"/>
          <w:sz w:val="21"/>
        </w:rPr>
        <w:br w:type="textWrapping"/>
      </w:r>
      <w:r>
        <w:rPr>
          <w:rFonts w:eastAsia="inter" w:cs="inter" w:ascii="inter" w:hAnsi="inter"/>
          <w:color w:val="000000"/>
          <w:sz w:val="21"/>
        </w:rPr>
        <w:t xml:space="preserve">• Manufacturing process</w:t>
      </w:r>
      <w:r>
        <w:rPr>
          <w:rFonts w:eastAsia="inter" w:cs="inter" w:ascii="inter" w:hAnsi="inter"/>
          <w:color w:val="000000"/>
          <w:sz w:val="21"/>
        </w:rPr>
        <w:br w:type="textWrapping"/>
      </w:r>
      <w:r>
        <w:rPr>
          <w:rFonts w:eastAsia="inter" w:cs="inter" w:ascii="inter" w:hAnsi="inter"/>
          <w:color w:val="000000"/>
          <w:sz w:val="21"/>
        </w:rPr>
        <w:t xml:space="preserve">• Heating technology (ceramic, ionic, PTC)</w:t>
      </w:r>
      <w:r>
        <w:rPr>
          <w:rFonts w:eastAsia="inter" w:cs="inter" w:ascii="inter" w:hAnsi="inter"/>
          <w:color w:val="000000"/>
          <w:sz w:val="21"/>
        </w:rPr>
        <w:br w:type="textWrapping"/>
      </w:r>
      <w:r>
        <w:rPr>
          <w:rFonts w:eastAsia="inter" w:cs="inter" w:ascii="inter" w:hAnsi="inter"/>
          <w:color w:val="000000"/>
          <w:sz w:val="21"/>
        </w:rPr>
        <w:t xml:space="preserve">• Automation and quality control</w:t>
      </w:r>
      <w:r>
        <w:rPr>
          <w:rFonts w:eastAsia="inter" w:cs="inter" w:ascii="inter" w:hAnsi="inter"/>
          <w:color w:val="000000"/>
          <w:sz w:val="21"/>
        </w:rPr>
        <w:br w:type="textWrapping"/>
      </w:r>
      <w:r>
        <w:rPr>
          <w:rFonts w:eastAsia="inter" w:cs="inter" w:ascii="inter" w:hAnsi="inter"/>
          <w:color w:val="000000"/>
          <w:sz w:val="21"/>
        </w:rPr>
        <w:t xml:space="preserve">• Global manufacturing hubs</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numPr>
          <w:ilvl w:val="0"/>
          <w:numId w:val="3"/>
        </w:numPr>
        <w:spacing w:line="360" w:before="105" w:after="105" w:lineRule="auto"/>
      </w:pPr>
      <w:r>
        <w:rPr>
          <w:rFonts w:eastAsia="inter" w:cs="inter" w:ascii="inter" w:hAnsi="inter"/>
          <w:color w:val="000000"/>
          <w:sz w:val="21"/>
        </w:rPr>
        <w:t xml:space="preserve">RAW MATERIALS &amp; FACTOR MARKET</w:t>
      </w:r>
      <w:r>
        <w:rPr>
          <w:rFonts w:eastAsia="inter" w:cs="inter" w:ascii="inter" w:hAnsi="inter"/>
          <w:color w:val="000000"/>
          <w:sz w:val="21"/>
        </w:rPr>
        <w:br w:type="textWrapping"/>
      </w:r>
      <w:r>
        <w:rPr>
          <w:rFonts w:eastAsia="inter" w:cs="inter" w:ascii="inter" w:hAnsi="inter"/>
          <w:color w:val="000000"/>
          <w:sz w:val="21"/>
        </w:rPr>
        <w:t xml:space="preserve">• Plastics, metals, electronics</w:t>
      </w:r>
      <w:r>
        <w:rPr>
          <w:rFonts w:eastAsia="inter" w:cs="inter" w:ascii="inter" w:hAnsi="inter"/>
          <w:color w:val="000000"/>
          <w:sz w:val="21"/>
        </w:rPr>
        <w:br w:type="textWrapping"/>
      </w:r>
      <w:r>
        <w:rPr>
          <w:rFonts w:eastAsia="inter" w:cs="inter" w:ascii="inter" w:hAnsi="inter"/>
          <w:color w:val="000000"/>
          <w:sz w:val="21"/>
        </w:rPr>
        <w:t xml:space="preserve">• Labor and capital inputs</w:t>
      </w:r>
      <w:r>
        <w:rPr>
          <w:rFonts w:eastAsia="inter" w:cs="inter" w:ascii="inter" w:hAnsi="inter"/>
          <w:color w:val="000000"/>
          <w:sz w:val="21"/>
        </w:rPr>
        <w:br w:type="textWrapping"/>
      </w:r>
      <w:r>
        <w:rPr>
          <w:rFonts w:eastAsia="inter" w:cs="inter" w:ascii="inter" w:hAnsi="inter"/>
          <w:color w:val="000000"/>
          <w:sz w:val="21"/>
        </w:rPr>
        <w:t xml:space="preserve">• Energy usage</w:t>
      </w:r>
      <w:r>
        <w:rPr>
          <w:rFonts w:eastAsia="inter" w:cs="inter" w:ascii="inter" w:hAnsi="inter"/>
          <w:color w:val="000000"/>
          <w:sz w:val="21"/>
        </w:rPr>
        <w:br w:type="textWrapping"/>
      </w:r>
      <w:r>
        <w:rPr>
          <w:rFonts w:eastAsia="inter" w:cs="inter" w:ascii="inter" w:hAnsi="inter"/>
          <w:color w:val="000000"/>
          <w:sz w:val="21"/>
        </w:rPr>
        <w:t xml:space="preserve">• India vs global sourcing</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numPr>
          <w:ilvl w:val="0"/>
          <w:numId w:val="4"/>
        </w:numPr>
        <w:spacing w:line="360" w:before="105" w:after="105" w:lineRule="auto"/>
      </w:pPr>
      <w:r>
        <w:rPr>
          <w:rFonts w:eastAsia="inter" w:cs="inter" w:ascii="inter" w:hAnsi="inter"/>
          <w:color w:val="000000"/>
          <w:sz w:val="21"/>
        </w:rPr>
        <w:t xml:space="preserve">COST STRUCTURE (MICROECONOMIC THEORY)</w:t>
      </w:r>
      <w:r>
        <w:rPr>
          <w:rFonts w:eastAsia="inter" w:cs="inter" w:ascii="inter" w:hAnsi="inter"/>
          <w:color w:val="000000"/>
          <w:sz w:val="21"/>
        </w:rPr>
        <w:br w:type="textWrapping"/>
      </w:r>
      <w:r>
        <w:rPr>
          <w:rFonts w:eastAsia="inter" w:cs="inter" w:ascii="inter" w:hAnsi="inter"/>
          <w:color w:val="000000"/>
          <w:sz w:val="21"/>
        </w:rPr>
        <w:t xml:space="preserve">• Capital vs operating costs</w:t>
      </w:r>
      <w:r>
        <w:rPr>
          <w:rFonts w:eastAsia="inter" w:cs="inter" w:ascii="inter" w:hAnsi="inter"/>
          <w:color w:val="000000"/>
          <w:sz w:val="21"/>
        </w:rPr>
        <w:br w:type="textWrapping"/>
      </w:r>
      <w:r>
        <w:rPr>
          <w:rFonts w:eastAsia="inter" w:cs="inter" w:ascii="inter" w:hAnsi="inter"/>
          <w:color w:val="000000"/>
          <w:sz w:val="21"/>
        </w:rPr>
        <w:t xml:space="preserve">• Fixed vs variable costs</w:t>
      </w:r>
      <w:r>
        <w:rPr>
          <w:rFonts w:eastAsia="inter" w:cs="inter" w:ascii="inter" w:hAnsi="inter"/>
          <w:color w:val="000000"/>
          <w:sz w:val="21"/>
        </w:rPr>
        <w:br w:type="textWrapping"/>
      </w:r>
      <w:r>
        <w:rPr>
          <w:rFonts w:eastAsia="inter" w:cs="inter" w:ascii="inter" w:hAnsi="inter"/>
          <w:color w:val="000000"/>
          <w:sz w:val="21"/>
        </w:rPr>
        <w:t xml:space="preserve">• Short-run &amp; long-run cost curves</w:t>
      </w:r>
      <w:r>
        <w:rPr>
          <w:rFonts w:eastAsia="inter" w:cs="inter" w:ascii="inter" w:hAnsi="inter"/>
          <w:color w:val="000000"/>
          <w:sz w:val="21"/>
        </w:rPr>
        <w:br w:type="textWrapping"/>
      </w:r>
      <w:r>
        <w:rPr>
          <w:rFonts w:eastAsia="inter" w:cs="inter" w:ascii="inter" w:hAnsi="inter"/>
          <w:color w:val="000000"/>
          <w:sz w:val="21"/>
        </w:rPr>
        <w:t xml:space="preserve">• Economies of scale</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numPr>
          <w:ilvl w:val="0"/>
          <w:numId w:val="5"/>
        </w:numPr>
        <w:spacing w:line="360" w:before="105" w:after="105" w:lineRule="auto"/>
      </w:pPr>
      <w:r>
        <w:rPr>
          <w:rFonts w:eastAsia="inter" w:cs="inter" w:ascii="inter" w:hAnsi="inter"/>
          <w:color w:val="000000"/>
          <w:sz w:val="21"/>
        </w:rPr>
        <w:t xml:space="preserve">SUPPLY CHAIN ANALYSIS</w:t>
      </w:r>
      <w:r>
        <w:rPr>
          <w:rFonts w:eastAsia="inter" w:cs="inter" w:ascii="inter" w:hAnsi="inter"/>
          <w:color w:val="000000"/>
          <w:sz w:val="21"/>
        </w:rPr>
        <w:br w:type="textWrapping"/>
      </w:r>
      <w:r>
        <w:rPr>
          <w:rFonts w:eastAsia="inter" w:cs="inter" w:ascii="inter" w:hAnsi="inter"/>
          <w:color w:val="000000"/>
          <w:sz w:val="21"/>
        </w:rPr>
        <w:t xml:space="preserve">• Backend supply chain</w:t>
      </w:r>
      <w:r>
        <w:rPr>
          <w:rFonts w:eastAsia="inter" w:cs="inter" w:ascii="inter" w:hAnsi="inter"/>
          <w:color w:val="000000"/>
          <w:sz w:val="21"/>
        </w:rPr>
        <w:br w:type="textWrapping"/>
      </w:r>
      <w:r>
        <w:rPr>
          <w:rFonts w:eastAsia="inter" w:cs="inter" w:ascii="inter" w:hAnsi="inter"/>
          <w:color w:val="000000"/>
          <w:sz w:val="21"/>
        </w:rPr>
        <w:t xml:space="preserve">• Distribution networks</w:t>
      </w:r>
      <w:r>
        <w:rPr>
          <w:rFonts w:eastAsia="inter" w:cs="inter" w:ascii="inter" w:hAnsi="inter"/>
          <w:color w:val="000000"/>
          <w:sz w:val="21"/>
        </w:rPr>
        <w:br w:type="textWrapping"/>
      </w:r>
      <w:r>
        <w:rPr>
          <w:rFonts w:eastAsia="inter" w:cs="inter" w:ascii="inter" w:hAnsi="inter"/>
          <w:color w:val="000000"/>
          <w:sz w:val="21"/>
        </w:rPr>
        <w:t xml:space="preserve">• Role of e-commerce and salons</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numPr>
          <w:ilvl w:val="0"/>
          <w:numId w:val="6"/>
        </w:numPr>
        <w:spacing w:line="360" w:before="105" w:after="105" w:lineRule="auto"/>
      </w:pPr>
      <w:r>
        <w:rPr>
          <w:rFonts w:eastAsia="inter" w:cs="inter" w:ascii="inter" w:hAnsi="inter"/>
          <w:color w:val="000000"/>
          <w:sz w:val="21"/>
        </w:rPr>
        <w:t xml:space="preserve">DEMAND ANALYSIS</w:t>
      </w:r>
      <w:r>
        <w:rPr>
          <w:rFonts w:eastAsia="inter" w:cs="inter" w:ascii="inter" w:hAnsi="inter"/>
          <w:color w:val="000000"/>
          <w:sz w:val="21"/>
        </w:rPr>
        <w:br w:type="textWrapping"/>
      </w:r>
      <w:r>
        <w:rPr>
          <w:rFonts w:eastAsia="inter" w:cs="inter" w:ascii="inter" w:hAnsi="inter"/>
          <w:color w:val="000000"/>
          <w:sz w:val="21"/>
        </w:rPr>
        <w:t xml:space="preserve">• Nature and determinants of demand</w:t>
      </w:r>
      <w:r>
        <w:rPr>
          <w:rFonts w:eastAsia="inter" w:cs="inter" w:ascii="inter" w:hAnsi="inter"/>
          <w:color w:val="000000"/>
          <w:sz w:val="21"/>
        </w:rPr>
        <w:br w:type="textWrapping"/>
      </w:r>
      <w:r>
        <w:rPr>
          <w:rFonts w:eastAsia="inter" w:cs="inter" w:ascii="inter" w:hAnsi="inter"/>
          <w:color w:val="000000"/>
          <w:sz w:val="21"/>
        </w:rPr>
        <w:t xml:space="preserve">• Consumer behavior</w:t>
      </w:r>
      <w:r>
        <w:rPr>
          <w:rFonts w:eastAsia="inter" w:cs="inter" w:ascii="inter" w:hAnsi="inter"/>
          <w:color w:val="000000"/>
          <w:sz w:val="21"/>
        </w:rPr>
        <w:br w:type="textWrapping"/>
      </w:r>
      <w:r>
        <w:rPr>
          <w:rFonts w:eastAsia="inter" w:cs="inter" w:ascii="inter" w:hAnsi="inter"/>
          <w:color w:val="000000"/>
          <w:sz w:val="21"/>
        </w:rPr>
        <w:t xml:space="preserve">• Urban vs rural demand</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numPr>
          <w:ilvl w:val="0"/>
          <w:numId w:val="7"/>
        </w:numPr>
        <w:spacing w:line="360" w:before="105" w:after="105" w:lineRule="auto"/>
      </w:pPr>
      <w:r>
        <w:rPr>
          <w:rFonts w:eastAsia="inter" w:cs="inter" w:ascii="inter" w:hAnsi="inter"/>
          <w:color w:val="000000"/>
          <w:sz w:val="21"/>
        </w:rPr>
        <w:t xml:space="preserve">ELASTICITY OF DEMAND</w:t>
      </w:r>
      <w:r>
        <w:rPr>
          <w:rFonts w:eastAsia="inter" w:cs="inter" w:ascii="inter" w:hAnsi="inter"/>
          <w:color w:val="000000"/>
          <w:sz w:val="21"/>
        </w:rPr>
        <w:br w:type="textWrapping"/>
      </w:r>
      <w:r>
        <w:rPr>
          <w:rFonts w:eastAsia="inter" w:cs="inter" w:ascii="inter" w:hAnsi="inter"/>
          <w:color w:val="000000"/>
          <w:sz w:val="21"/>
        </w:rPr>
        <w:t xml:space="preserve">• Price elasticity</w:t>
      </w:r>
      <w:r>
        <w:rPr>
          <w:rFonts w:eastAsia="inter" w:cs="inter" w:ascii="inter" w:hAnsi="inter"/>
          <w:color w:val="000000"/>
          <w:sz w:val="21"/>
        </w:rPr>
        <w:br w:type="textWrapping"/>
      </w:r>
      <w:r>
        <w:rPr>
          <w:rFonts w:eastAsia="inter" w:cs="inter" w:ascii="inter" w:hAnsi="inter"/>
          <w:color w:val="000000"/>
          <w:sz w:val="21"/>
        </w:rPr>
        <w:t xml:space="preserve">• Income elasticity</w:t>
      </w:r>
      <w:r>
        <w:rPr>
          <w:rFonts w:eastAsia="inter" w:cs="inter" w:ascii="inter" w:hAnsi="inter"/>
          <w:color w:val="000000"/>
          <w:sz w:val="21"/>
        </w:rPr>
        <w:br w:type="textWrapping"/>
      </w:r>
      <w:r>
        <w:rPr>
          <w:rFonts w:eastAsia="inter" w:cs="inter" w:ascii="inter" w:hAnsi="inter"/>
          <w:color w:val="000000"/>
          <w:sz w:val="21"/>
        </w:rPr>
        <w:t xml:space="preserve">• Cross elasticity with substitutes</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numPr>
          <w:ilvl w:val="0"/>
          <w:numId w:val="8"/>
        </w:numPr>
        <w:spacing w:line="360" w:before="105" w:after="105" w:lineRule="auto"/>
      </w:pPr>
      <w:r>
        <w:rPr>
          <w:rFonts w:eastAsia="inter" w:cs="inter" w:ascii="inter" w:hAnsi="inter"/>
          <w:color w:val="000000"/>
          <w:sz w:val="21"/>
        </w:rPr>
        <w:t xml:space="preserve">MARKET STRUCTURE &amp; PRICING</w:t>
      </w:r>
      <w:r>
        <w:rPr>
          <w:rFonts w:eastAsia="inter" w:cs="inter" w:ascii="inter" w:hAnsi="inter"/>
          <w:color w:val="000000"/>
          <w:sz w:val="21"/>
        </w:rPr>
        <w:br w:type="textWrapping"/>
      </w:r>
      <w:r>
        <w:rPr>
          <w:rFonts w:eastAsia="inter" w:cs="inter" w:ascii="inter" w:hAnsi="inter"/>
          <w:color w:val="000000"/>
          <w:sz w:val="21"/>
        </w:rPr>
        <w:t xml:space="preserve">• Competitive landscape</w:t>
      </w:r>
      <w:r>
        <w:rPr>
          <w:rFonts w:eastAsia="inter" w:cs="inter" w:ascii="inter" w:hAnsi="inter"/>
          <w:color w:val="000000"/>
          <w:sz w:val="21"/>
        </w:rPr>
        <w:br w:type="textWrapping"/>
      </w:r>
      <w:r>
        <w:rPr>
          <w:rFonts w:eastAsia="inter" w:cs="inter" w:ascii="inter" w:hAnsi="inter"/>
          <w:color w:val="000000"/>
          <w:sz w:val="21"/>
        </w:rPr>
        <w:t xml:space="preserve">• Branding and differentiation</w:t>
      </w:r>
      <w:r>
        <w:rPr>
          <w:rFonts w:eastAsia="inter" w:cs="inter" w:ascii="inter" w:hAnsi="inter"/>
          <w:color w:val="000000"/>
          <w:sz w:val="21"/>
        </w:rPr>
        <w:br w:type="textWrapping"/>
      </w:r>
      <w:r>
        <w:rPr>
          <w:rFonts w:eastAsia="inter" w:cs="inter" w:ascii="inter" w:hAnsi="inter"/>
          <w:color w:val="000000"/>
          <w:sz w:val="21"/>
        </w:rPr>
        <w:t xml:space="preserve">• Pricing strategies</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numPr>
          <w:ilvl w:val="0"/>
          <w:numId w:val="9"/>
        </w:numPr>
        <w:spacing w:line="360" w:before="105" w:after="105" w:lineRule="auto"/>
      </w:pPr>
      <w:r>
        <w:rPr>
          <w:rFonts w:eastAsia="inter" w:cs="inter" w:ascii="inter" w:hAnsi="inter"/>
          <w:color w:val="000000"/>
          <w:sz w:val="21"/>
        </w:rPr>
        <w:t xml:space="preserve">REVENUE &amp; SELLING COSTS</w:t>
      </w:r>
      <w:r>
        <w:rPr>
          <w:rFonts w:eastAsia="inter" w:cs="inter" w:ascii="inter" w:hAnsi="inter"/>
          <w:color w:val="000000"/>
          <w:sz w:val="21"/>
        </w:rPr>
        <w:br w:type="textWrapping"/>
      </w:r>
      <w:r>
        <w:rPr>
          <w:rFonts w:eastAsia="inter" w:cs="inter" w:ascii="inter" w:hAnsi="inter"/>
          <w:color w:val="000000"/>
          <w:sz w:val="21"/>
        </w:rPr>
        <w:t xml:space="preserve">• Revenue models</w:t>
      </w:r>
      <w:r>
        <w:rPr>
          <w:rFonts w:eastAsia="inter" w:cs="inter" w:ascii="inter" w:hAnsi="inter"/>
          <w:color w:val="000000"/>
          <w:sz w:val="21"/>
        </w:rPr>
        <w:br w:type="textWrapping"/>
      </w:r>
      <w:r>
        <w:rPr>
          <w:rFonts w:eastAsia="inter" w:cs="inter" w:ascii="inter" w:hAnsi="inter"/>
          <w:color w:val="000000"/>
          <w:sz w:val="21"/>
        </w:rPr>
        <w:t xml:space="preserve">• Marketing and distribution costs</w:t>
      </w:r>
      <w:r>
        <w:rPr>
          <w:rFonts w:eastAsia="inter" w:cs="inter" w:ascii="inter" w:hAnsi="inter"/>
          <w:color w:val="000000"/>
          <w:sz w:val="21"/>
        </w:rPr>
        <w:br w:type="textWrapping"/>
      </w:r>
      <w:r>
        <w:rPr>
          <w:rFonts w:eastAsia="inter" w:cs="inter" w:ascii="inter" w:hAnsi="inter"/>
          <w:color w:val="000000"/>
          <w:sz w:val="21"/>
        </w:rPr>
        <w:t xml:space="preserve">• After-sales service</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numPr>
          <w:ilvl w:val="0"/>
          <w:numId w:val="10"/>
        </w:numPr>
        <w:spacing w:line="360" w:before="105" w:after="105" w:lineRule="auto"/>
      </w:pPr>
      <w:r>
        <w:rPr>
          <w:rFonts w:eastAsia="inter" w:cs="inter" w:ascii="inter" w:hAnsi="inter"/>
          <w:color w:val="000000"/>
          <w:sz w:val="21"/>
        </w:rPr>
        <w:t xml:space="preserve">GOVERNMENT POLICIES (INDIA FOCUS)</w:t>
      </w:r>
      <w:r>
        <w:rPr>
          <w:rFonts w:eastAsia="inter" w:cs="inter" w:ascii="inter" w:hAnsi="inter"/>
          <w:color w:val="000000"/>
          <w:sz w:val="21"/>
        </w:rPr>
        <w:br w:type="textWrapping"/>
      </w:r>
      <w:r>
        <w:rPr>
          <w:rFonts w:eastAsia="inter" w:cs="inter" w:ascii="inter" w:hAnsi="inter"/>
          <w:color w:val="000000"/>
          <w:sz w:val="21"/>
        </w:rPr>
        <w:t xml:space="preserve">• GST</w:t>
      </w:r>
      <w:r>
        <w:rPr>
          <w:rFonts w:eastAsia="inter" w:cs="inter" w:ascii="inter" w:hAnsi="inter"/>
          <w:color w:val="000000"/>
          <w:sz w:val="21"/>
        </w:rPr>
        <w:br w:type="textWrapping"/>
      </w:r>
      <w:r>
        <w:rPr>
          <w:rFonts w:eastAsia="inter" w:cs="inter" w:ascii="inter" w:hAnsi="inter"/>
          <w:color w:val="000000"/>
          <w:sz w:val="21"/>
        </w:rPr>
        <w:t xml:space="preserve">• Import duties</w:t>
      </w:r>
      <w:r>
        <w:rPr>
          <w:rFonts w:eastAsia="inter" w:cs="inter" w:ascii="inter" w:hAnsi="inter"/>
          <w:color w:val="000000"/>
          <w:sz w:val="21"/>
        </w:rPr>
        <w:br w:type="textWrapping"/>
      </w:r>
      <w:r>
        <w:rPr>
          <w:rFonts w:eastAsia="inter" w:cs="inter" w:ascii="inter" w:hAnsi="inter"/>
          <w:color w:val="000000"/>
          <w:sz w:val="21"/>
        </w:rPr>
        <w:t xml:space="preserve">• BIS standards</w:t>
      </w:r>
      <w:r>
        <w:rPr>
          <w:rFonts w:eastAsia="inter" w:cs="inter" w:ascii="inter" w:hAnsi="inter"/>
          <w:color w:val="000000"/>
          <w:sz w:val="21"/>
        </w:rPr>
        <w:br w:type="textWrapping"/>
      </w:r>
      <w:r>
        <w:rPr>
          <w:rFonts w:eastAsia="inter" w:cs="inter" w:ascii="inter" w:hAnsi="inter"/>
          <w:color w:val="000000"/>
          <w:sz w:val="21"/>
        </w:rPr>
        <w:t xml:space="preserve">• E-waste regulations</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numPr>
          <w:ilvl w:val="0"/>
          <w:numId w:val="11"/>
        </w:numPr>
        <w:spacing w:line="360" w:before="105" w:after="105" w:lineRule="auto"/>
      </w:pPr>
      <w:r>
        <w:rPr>
          <w:rFonts w:eastAsia="inter" w:cs="inter" w:ascii="inter" w:hAnsi="inter"/>
          <w:color w:val="000000"/>
          <w:sz w:val="21"/>
        </w:rPr>
        <w:t xml:space="preserve">FUTURE OUTLOOK &amp; EFFICIENCY</w:t>
      </w:r>
      <w:r>
        <w:rPr>
          <w:rFonts w:eastAsia="inter" w:cs="inter" w:ascii="inter" w:hAnsi="inter"/>
          <w:color w:val="000000"/>
          <w:sz w:val="21"/>
        </w:rPr>
        <w:br w:type="textWrapping"/>
      </w:r>
      <w:r>
        <w:rPr>
          <w:rFonts w:eastAsia="inter" w:cs="inter" w:ascii="inter" w:hAnsi="inter"/>
          <w:color w:val="000000"/>
          <w:sz w:val="21"/>
        </w:rPr>
        <w:t xml:space="preserve">• Sustainability</w:t>
      </w:r>
      <w:r>
        <w:rPr>
          <w:rFonts w:eastAsia="inter" w:cs="inter" w:ascii="inter" w:hAnsi="inter"/>
          <w:color w:val="000000"/>
          <w:sz w:val="21"/>
        </w:rPr>
        <w:br w:type="textWrapping"/>
      </w:r>
      <w:r>
        <w:rPr>
          <w:rFonts w:eastAsia="inter" w:cs="inter" w:ascii="inter" w:hAnsi="inter"/>
          <w:color w:val="000000"/>
          <w:sz w:val="21"/>
        </w:rPr>
        <w:t xml:space="preserve">• Technological advancements</w:t>
      </w:r>
      <w:r>
        <w:rPr>
          <w:rFonts w:eastAsia="inter" w:cs="inter" w:ascii="inter" w:hAnsi="inter"/>
          <w:color w:val="000000"/>
          <w:sz w:val="21"/>
        </w:rPr>
        <w:br w:type="textWrapping"/>
      </w:r>
      <w:r>
        <w:rPr>
          <w:rFonts w:eastAsia="inter" w:cs="inter" w:ascii="inter" w:hAnsi="inter"/>
          <w:color w:val="000000"/>
          <w:sz w:val="21"/>
        </w:rPr>
        <w:t xml:space="preserve">• Cost efficiency opportunities</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after="210" w:lineRule="auto"/>
      </w:pPr>
      <w:r>
        <w:rPr>
          <w:rFonts w:eastAsia="inter" w:cs="inter" w:ascii="inter" w:hAnsi="inter"/>
          <w:color w:val="000000"/>
        </w:rPr>
        <w:t xml:space="preserve">OUTPUT REQUIREMENTS:</w:t>
      </w:r>
      <w:r>
        <w:rPr>
          <w:rFonts w:eastAsia="inter" w:cs="inter" w:ascii="inter" w:hAnsi="inter"/>
          <w:color w:val="000000"/>
        </w:rPr>
        <w:br w:type="textWrapping"/>
      </w:r>
      <w:r>
        <w:rPr>
          <w:rFonts w:eastAsia="inter" w:cs="inter" w:ascii="inter" w:hAnsi="inter"/>
          <w:color w:val="000000"/>
        </w:rPr>
        <w:t xml:space="preserve">• Academic tone</w:t>
      </w:r>
      <w:r>
        <w:rPr>
          <w:rFonts w:eastAsia="inter" w:cs="inter" w:ascii="inter" w:hAnsi="inter"/>
          <w:color w:val="000000"/>
        </w:rPr>
        <w:br w:type="textWrapping"/>
      </w:r>
      <w:r>
        <w:rPr>
          <w:rFonts w:eastAsia="inter" w:cs="inter" w:ascii="inter" w:hAnsi="inter"/>
          <w:color w:val="000000"/>
        </w:rPr>
        <w:t xml:space="preserve">• Data-driven explanations</w:t>
      </w:r>
      <w:r>
        <w:rPr>
          <w:rFonts w:eastAsia="inter" w:cs="inter" w:ascii="inter" w:hAnsi="inter"/>
          <w:color w:val="000000"/>
        </w:rPr>
        <w:br w:type="textWrapping"/>
      </w:r>
      <w:r>
        <w:rPr>
          <w:rFonts w:eastAsia="inter" w:cs="inter" w:ascii="inter" w:hAnsi="inter"/>
          <w:color w:val="000000"/>
        </w:rPr>
        <w:t xml:space="preserve">• Use of microeconomic theory</w:t>
      </w:r>
      <w:r>
        <w:rPr>
          <w:rFonts w:eastAsia="inter" w:cs="inter" w:ascii="inter" w:hAnsi="inter"/>
          <w:color w:val="000000"/>
        </w:rPr>
        <w:br w:type="textWrapping"/>
      </w:r>
      <w:r>
        <w:rPr>
          <w:rFonts w:eastAsia="inter" w:cs="inter" w:ascii="inter" w:hAnsi="inter"/>
          <w:color w:val="000000"/>
        </w:rPr>
        <w:t xml:space="preserve">• Real-world examples</w:t>
      </w:r>
      <w:r>
        <w:rPr>
          <w:rFonts w:eastAsia="inter" w:cs="inter" w:ascii="inter" w:hAnsi="inter"/>
          <w:color w:val="000000"/>
        </w:rPr>
        <w:br w:type="textWrapping"/>
      </w:r>
      <w:r>
        <w:rPr>
          <w:rFonts w:eastAsia="inter" w:cs="inter" w:ascii="inter" w:hAnsi="inter"/>
          <w:color w:val="000000"/>
        </w:rPr>
        <w:t xml:space="preserve">• Statistics where available</w:t>
      </w:r>
      <w:r>
        <w:rPr>
          <w:rFonts w:eastAsia="inter" w:cs="inter" w:ascii="inter" w:hAnsi="inter"/>
          <w:color w:val="000000"/>
        </w:rPr>
        <w:br w:type="textWrapping"/>
      </w:r>
      <w:r>
        <w:rPr>
          <w:rFonts w:eastAsia="inter" w:cs="inter" w:ascii="inter" w:hAnsi="inter"/>
          <w:color w:val="000000"/>
        </w:rPr>
        <w:t xml:space="preserve">• Proper citations and sources</w:t>
      </w:r>
    </w:p>
    <w:p>
      <w:pPr>
        <w:spacing w:line="360" w:after="210" w:lineRule="auto"/>
      </w:pPr>
      <w:r>
        <w:rPr>
          <w:rFonts w:eastAsia="inter" w:cs="inter" w:ascii="inter" w:hAnsi="inter"/>
          <w:color w:val="000000"/>
        </w:rPr>
        <w:t xml:space="preserve">Perfect! Now I have comprehensive research and visuals. Let me generate the final academic report.</w:t>
      </w:r>
    </w:p>
    <w:p>
      <w:pPr>
        <w:spacing w:line="270" w:before="157.5" w:after="157.5" w:lineRule="auto"/>
        <w:jc w:val="left"/>
      </w:pPr>
      <w:bookmarkStart w:id="1" w:name="microeconomic_analysis_of_the_hai_ba32e7"/>
      <w:r>
        <w:rPr>
          <w:rFonts w:eastAsia="inter" w:cs="inter" w:ascii="inter" w:hAnsi="inter"/>
          <w:b/>
          <w:color w:val="000000"/>
          <w:sz w:val="39"/>
        </w:rPr>
        <w:t xml:space="preserve">MICROECONOMIC ANALYSIS OF THE HAIR STRAIGHTENING BRUSH: A COMPREHENSIVE STUDY OF PRODUCTION, MARKET STRUCTURE, AND POLICY IMPLICATIONS</w:t>
      </w:r>
      <w:bookmarkEnd w:id="1"/>
    </w:p>
    <w:p>
      <w:pPr>
        <w:spacing w:line="360" w:before="315" w:after="105" w:lineRule="auto"/>
        <w:ind w:left="-30"/>
        <w:jc w:val="left"/>
      </w:pPr>
      <w:bookmarkStart w:id="2" w:name="introduction_product_evolution"/>
      <w:r>
        <w:rPr>
          <w:rFonts w:eastAsia="inter" w:cs="inter" w:ascii="inter" w:hAnsi="inter"/>
          <w:b/>
          <w:color w:val="000000"/>
          <w:sz w:val="24"/>
        </w:rPr>
        <w:t xml:space="preserve">INTRODUCTION &amp; PRODUCT EVOLUTION</w:t>
      </w:r>
      <w:bookmarkEnd w:id="2"/>
    </w:p>
    <w:p>
      <w:pPr>
        <w:spacing w:line="360" w:before="315" w:after="105" w:lineRule="auto"/>
        <w:ind w:left="-30"/>
        <w:jc w:val="left"/>
      </w:pPr>
      <w:bookmarkStart w:id="3" w:name="defining_the_hair_straightening_b_df4898"/>
      <w:r>
        <w:rPr>
          <w:rFonts w:eastAsia="inter" w:cs="inter" w:ascii="inter" w:hAnsi="inter"/>
          <w:b/>
          <w:color w:val="000000"/>
          <w:sz w:val="24"/>
        </w:rPr>
        <w:t xml:space="preserve">Defining the Hair Straightening Brush: Economic Relevance</w:t>
      </w:r>
      <w:bookmarkEnd w:id="3"/>
    </w:p>
    <w:p>
      <w:pPr>
        <w:spacing w:line="360" w:after="210" w:lineRule="auto"/>
      </w:pPr>
      <w:r>
        <w:rPr>
          <w:rFonts w:eastAsia="inter" w:cs="inter" w:ascii="inter" w:hAnsi="inter"/>
          <w:color w:val="000000"/>
        </w:rPr>
        <w:t xml:space="preserve">The hair straightening brush represents a convergence of thermal engineering and personal grooming technology, functioning as a hybrid appliance that combines heated bristles with traditional brush design to straighten hair through thermal reconditioning of keratin bonds. Unlike conventional flat irons that apply direct plate-to-hair compression, straightening brushes distribute heat across multiple contact points, reducing styling time while maintaining ergonomic handling. From a microeconomic perspective, this product occupies a distinct market position within the broader USD 30 billion global hair styling tools industry, addressing consumer demand for time-efficient, damage-minimizing hair care solutions.</w:t>
      </w:r>
      <w:bookmarkStart w:id="4" w:name="fnref1"/>
      <w:bookmarkEnd w:id="4"/>
      <w:hyperlink w:anchor="fn1">
        <w:r>
          <w:rPr>
            <w:rFonts w:eastAsia="inter" w:cs="inter" w:ascii="inter" w:hAnsi="inter"/>
            <w:color w:val="#000"/>
            <w:u w:val="single"/>
            <w:vertAlign w:val="superscript"/>
          </w:rPr>
          <w:t xml:space="preserve">[1]</w:t>
        </w:r>
      </w:hyperlink>
      <w:bookmarkStart w:id="5" w:name="fnref2"/>
      <w:bookmarkEnd w:id="5"/>
      <w:hyperlink w:anchor="fn2">
        <w:r>
          <w:rPr>
            <w:rFonts w:eastAsia="inter" w:cs="inter" w:ascii="inter" w:hAnsi="inter"/>
            <w:color w:val="#000"/>
            <w:u w:val="single"/>
            <w:vertAlign w:val="superscript"/>
          </w:rPr>
          <w:t xml:space="preserve">[2]</w:t>
        </w:r>
      </w:hyperlink>
      <w:bookmarkStart w:id="6" w:name="fnref3"/>
      <w:bookmarkEnd w:id="6"/>
      <w:hyperlink w:anchor="fn3">
        <w:r>
          <w:rPr>
            <w:rFonts w:eastAsia="inter" w:cs="inter" w:ascii="inter" w:hAnsi="inter"/>
            <w:color w:val="#000"/>
            <w:u w:val="single"/>
            <w:vertAlign w:val="superscript"/>
          </w:rPr>
          <w:t xml:space="preserve">[3]</w:t>
        </w:r>
      </w:hyperlink>
    </w:p>
    <w:p>
      <w:pPr>
        <w:spacing w:line="360" w:after="210" w:lineRule="auto"/>
      </w:pPr>
      <w:r>
        <w:rPr>
          <w:rFonts w:eastAsia="inter" w:cs="inter" w:ascii="inter" w:hAnsi="inter"/>
          <w:color w:val="000000"/>
        </w:rPr>
        <w:t xml:space="preserve">The economic significance of hair straightening brushes extends beyond their functional utility. They represent a classic example of product innovation responding to evolving consumer preferences and technological capabilities. The global market for hair straightening brushes reached USD 620-750 million in 2024, with projections indicating growth to USD 1.53 billion by 2033 at a compound annual growth rate (CAGR) of 8.2%. In India specifically, the market stood at USD 22.17 million in 2024, expected to reach USD 33.32 million by 2033 (CAGR 4.28%), reflecting the product's penetration into emerging markets with expanding middle-class populations.</w:t>
      </w:r>
      <w:bookmarkStart w:id="7" w:name="fnref4"/>
      <w:bookmarkEnd w:id="7"/>
      <w:hyperlink w:anchor="fn4">
        <w:r>
          <w:rPr>
            <w:rFonts w:eastAsia="inter" w:cs="inter" w:ascii="inter" w:hAnsi="inter"/>
            <w:color w:val="#000"/>
            <w:u w:val="single"/>
            <w:vertAlign w:val="superscript"/>
          </w:rPr>
          <w:t xml:space="preserve">[4]</w:t>
        </w:r>
      </w:hyperlink>
      <w:bookmarkStart w:id="8" w:name="fnref5"/>
      <w:bookmarkEnd w:id="8"/>
      <w:hyperlink w:anchor="fn5">
        <w:r>
          <w:rPr>
            <w:rFonts w:eastAsia="inter" w:cs="inter" w:ascii="inter" w:hAnsi="inter"/>
            <w:color w:val="#000"/>
            <w:u w:val="single"/>
            <w:vertAlign w:val="superscript"/>
          </w:rPr>
          <w:t xml:space="preserve">[5]</w:t>
        </w:r>
      </w:hyperlink>
      <w:bookmarkStart w:id="9" w:name="fnref6"/>
      <w:bookmarkEnd w:id="9"/>
      <w:hyperlink w:anchor="fn6">
        <w:r>
          <w:rPr>
            <w:rFonts w:eastAsia="inter" w:cs="inter" w:ascii="inter" w:hAnsi="inter"/>
            <w:color w:val="#000"/>
            <w:u w:val="single"/>
            <w:vertAlign w:val="superscript"/>
          </w:rPr>
          <w:t xml:space="preserve">[6]</w:t>
        </w:r>
      </w:hyperlink>
      <w:bookmarkStart w:id="10" w:name="fnref7"/>
      <w:bookmarkEnd w:id="10"/>
      <w:hyperlink w:anchor="fn7">
        <w:r>
          <w:rPr>
            <w:rFonts w:eastAsia="inter" w:cs="inter" w:ascii="inter" w:hAnsi="inter"/>
            <w:color w:val="#000"/>
            <w:u w:val="single"/>
            <w:vertAlign w:val="superscript"/>
          </w:rPr>
          <w:t xml:space="preserve">[7]</w:t>
        </w:r>
      </w:hyperlink>
    </w:p>
    <w:p>
      <w:pPr>
        <w:spacing w:lineRule="auto"/>
      </w:pPr>
      <w:r>
        <w:rPr/>
        <w:t xml:space="preserve"/>
      </w:r>
    </w:p>
    <w:p>
      <w:pPr>
        <w:spacing w:line="360" w:after="210" w:lineRule="auto"/>
      </w:pPr>
      <w:r>
        <w:rPr>
          <w:rFonts w:eastAsia="inter" w:cs="inter" w:ascii="inter" w:hAnsi="inter"/>
          <w:color w:val="000000"/>
        </w:rPr>
        <w:t xml:space="preserve">The global hair straightening brush market demonstrates robust growth with a projected CAGR of 8.2%, expanding from USD 620 million in 2022 to USD 1.53 billion by 2033, driven by urbanization, rising disposable incomes, and growing beauty consciousness among millennials.</w:t>
      </w:r>
    </w:p>
    <w:p>
      <w:pPr>
        <w:spacing w:line="360" w:before="315" w:after="105" w:lineRule="auto"/>
        <w:ind w:left="-30"/>
        <w:jc w:val="left"/>
      </w:pPr>
      <w:bookmarkStart w:id="11" w:name="historical_evolution_of_hair_styl_a6f416"/>
      <w:r>
        <w:rPr>
          <w:rFonts w:eastAsia="inter" w:cs="inter" w:ascii="inter" w:hAnsi="inter"/>
          <w:b/>
          <w:color w:val="000000"/>
          <w:sz w:val="24"/>
        </w:rPr>
        <w:t xml:space="preserve">Historical Evolution of Hair Styling Technology</w:t>
      </w:r>
      <w:bookmarkEnd w:id="11"/>
    </w:p>
    <w:p>
      <w:pPr>
        <w:spacing w:line="360" w:after="210" w:lineRule="auto"/>
      </w:pPr>
      <w:r>
        <w:rPr>
          <w:rFonts w:eastAsia="inter" w:cs="inter" w:ascii="inter" w:hAnsi="inter"/>
          <w:color w:val="000000"/>
        </w:rPr>
        <w:t xml:space="preserve">The trajectory of hair straightening technology exemplifies the economic principle of creative destruction, where successive innovations displace existing methods through superior cost-benefit propositions. Archaeological evidence indicates that hair manipulation tools date to ancient civilizations, with combs crafted from wood, bone, and ivory serving primarily hygiene rather than styling functions.</w:t>
      </w:r>
      <w:bookmarkStart w:id="12" w:name="fnref8"/>
      <w:bookmarkEnd w:id="12"/>
      <w:hyperlink w:anchor="fn8">
        <w:r>
          <w:rPr>
            <w:rFonts w:eastAsia="inter" w:cs="inter" w:ascii="inter" w:hAnsi="inter"/>
            <w:color w:val="#000"/>
            <w:u w:val="single"/>
            <w:vertAlign w:val="superscript"/>
          </w:rPr>
          <w:t xml:space="preserve">[8]</w:t>
        </w:r>
      </w:hyperlink>
      <w:bookmarkStart w:id="13" w:name="fnref9"/>
      <w:bookmarkEnd w:id="13"/>
      <w:hyperlink w:anchor="fn9">
        <w:r>
          <w:rPr>
            <w:rFonts w:eastAsia="inter" w:cs="inter" w:ascii="inter" w:hAnsi="inter"/>
            <w:color w:val="#000"/>
            <w:u w:val="single"/>
            <w:vertAlign w:val="superscript"/>
          </w:rPr>
          <w:t xml:space="preserve">[9]</w:t>
        </w:r>
      </w:hyperlink>
    </w:p>
    <w:p>
      <w:pPr>
        <w:spacing w:line="360" w:after="210" w:lineRule="auto"/>
      </w:pPr>
      <w:r>
        <w:rPr>
          <w:rFonts w:eastAsia="inter" w:cs="inter" w:ascii="inter" w:hAnsi="inter"/>
          <w:color w:val="000000"/>
        </w:rPr>
        <w:t xml:space="preserve">The commercialization of thermal hair straightening began in the 1870s when French hairstylist Marcel Grateau developed heated iron rods paired with chemical lotions. Despite achieving straightening effects, the combination frequently caused scalp burns and hair damage, illustrating an early market failure due to inadequate safety features. The breakthrough came in 1909 when Isaac K. Shero patented metal plates capable of gliding through hair, incorporating adjustable heat settings that would become standard in modern devices. This innovation reduced transaction costs associated with professional salon visits by enabling home usage.</w:t>
      </w:r>
      <w:bookmarkStart w:id="14" w:name="fnref10"/>
      <w:bookmarkEnd w:id="14"/>
      <w:hyperlink w:anchor="fn10">
        <w:r>
          <w:rPr>
            <w:rFonts w:eastAsia="inter" w:cs="inter" w:ascii="inter" w:hAnsi="inter"/>
            <w:color w:val="#000"/>
            <w:u w:val="single"/>
            <w:vertAlign w:val="superscript"/>
          </w:rPr>
          <w:t xml:space="preserve">[10]</w:t>
        </w:r>
      </w:hyperlink>
    </w:p>
    <w:p>
      <w:pPr>
        <w:spacing w:line="360" w:after="210" w:lineRule="auto"/>
      </w:pPr>
      <w:r>
        <w:rPr>
          <w:rFonts w:eastAsia="inter" w:cs="inter" w:ascii="inter" w:hAnsi="inter"/>
          <w:color w:val="000000"/>
        </w:rPr>
        <w:t xml:space="preserve">The 20th century witnessed exponential technological advancement driven by electrification and materials science. The marcel iron's introduction of heat regulation mechanisms represented a significant improvement in user control, reducing information asymmetry between manufacturers and consumers regarding safe operating temperatures. The adoption of plastic materials through injection molding in the mid-1900s democratized access by dramatically lowering production costs, a textbook example of how manufacturing process innovations can expand market size through reduced average costs.</w:t>
      </w:r>
      <w:bookmarkStart w:id="15" w:name="fnref11"/>
      <w:bookmarkEnd w:id="15"/>
      <w:hyperlink w:anchor="fn11">
        <w:r>
          <w:rPr>
            <w:rFonts w:eastAsia="inter" w:cs="inter" w:ascii="inter" w:hAnsi="inter"/>
            <w:color w:val="#000"/>
            <w:u w:val="single"/>
            <w:vertAlign w:val="superscript"/>
          </w:rPr>
          <w:t xml:space="preserve">[11]</w:t>
        </w:r>
      </w:hyperlink>
      <w:bookmarkStart w:id="16" w:name="fnref8_1"/>
      <w:bookmarkEnd w:id="16"/>
      <w:hyperlink w:anchor="fn8">
        <w:r>
          <w:rPr>
            <w:rFonts w:eastAsia="inter" w:cs="inter" w:ascii="inter" w:hAnsi="inter"/>
            <w:color w:val="#000"/>
            <w:u w:val="single"/>
            <w:vertAlign w:val="superscript"/>
          </w:rPr>
          <w:t xml:space="preserve">[8]</w:t>
        </w:r>
      </w:hyperlink>
    </w:p>
    <w:p>
      <w:pPr>
        <w:spacing w:line="360" w:after="210" w:lineRule="auto"/>
      </w:pPr>
      <w:r>
        <w:rPr>
          <w:rFonts w:eastAsia="inter" w:cs="inter" w:ascii="inter" w:hAnsi="inter"/>
          <w:color w:val="000000"/>
        </w:rPr>
        <w:t xml:space="preserve">Contemporary hair straightening brushes emerged in the early 2000s as manufacturers recognized an underserved market segment: consumers seeking straightening results with minimal technical skill and time investment. By integrating heating elements into brush formats familiar from daily grooming routines, designers reduced the learning curve and switching costs from traditional methods.</w:t>
      </w:r>
      <w:bookmarkStart w:id="17" w:name="fnref1_1"/>
      <w:bookmarkEnd w:id="17"/>
      <w:hyperlink w:anchor="fn1">
        <w:r>
          <w:rPr>
            <w:rFonts w:eastAsia="inter" w:cs="inter" w:ascii="inter" w:hAnsi="inter"/>
            <w:color w:val="#000"/>
            <w:u w:val="single"/>
            <w:vertAlign w:val="superscript"/>
          </w:rPr>
          <w:t xml:space="preserve">[1]</w:t>
        </w:r>
      </w:hyperlink>
      <w:bookmarkStart w:id="18" w:name="fnref12"/>
      <w:bookmarkEnd w:id="18"/>
      <w:hyperlink w:anchor="fn12">
        <w:r>
          <w:rPr>
            <w:rFonts w:eastAsia="inter" w:cs="inter" w:ascii="inter" w:hAnsi="inter"/>
            <w:color w:val="#000"/>
            <w:u w:val="single"/>
            <w:vertAlign w:val="superscript"/>
          </w:rPr>
          <w:t xml:space="preserve">[12]</w:t>
        </w:r>
      </w:hyperlink>
    </w:p>
    <w:p>
      <w:pPr>
        <w:spacing w:line="360" w:before="315" w:after="105" w:lineRule="auto"/>
        <w:ind w:left="-30"/>
        <w:jc w:val="left"/>
      </w:pPr>
      <w:bookmarkStart w:id="19" w:name="technological_innovations_driving_169f86"/>
      <w:r>
        <w:rPr>
          <w:rFonts w:eastAsia="inter" w:cs="inter" w:ascii="inter" w:hAnsi="inter"/>
          <w:b/>
          <w:color w:val="000000"/>
          <w:sz w:val="24"/>
        </w:rPr>
        <w:t xml:space="preserve">Technological Innovations Driving Market Growth</w:t>
      </w:r>
      <w:bookmarkEnd w:id="19"/>
    </w:p>
    <w:p>
      <w:pPr>
        <w:spacing w:line="360" w:after="210" w:lineRule="auto"/>
      </w:pPr>
      <w:r>
        <w:rPr>
          <w:rFonts w:eastAsia="inter" w:cs="inter" w:ascii="inter" w:hAnsi="inter"/>
          <w:color w:val="000000"/>
        </w:rPr>
        <w:t xml:space="preserve">Modern hair straightening brushes incorporate several technological innovations that create differentiated value propositions and enable premium pricing strategies:</w:t>
      </w:r>
    </w:p>
    <w:p>
      <w:pPr>
        <w:spacing w:line="360" w:after="210" w:lineRule="auto"/>
      </w:pPr>
      <w:r>
        <w:rPr>
          <w:rFonts w:eastAsia="inter" w:cs="inter" w:ascii="inter" w:hAnsi="inter"/>
          <w:b/>
          <w:color w:val="000000"/>
        </w:rPr>
        <w:t xml:space="preserve">Ceramic Heating Technology</w:t>
      </w:r>
      <w:r>
        <w:rPr>
          <w:rFonts w:eastAsia="inter" w:cs="inter" w:ascii="inter" w:hAnsi="inter"/>
          <w:color w:val="000000"/>
        </w:rPr>
        <w:t xml:space="preserve">: Ceramic plates, formed by pressing clay mixtures and firing at high temperatures, provide even heat distribution that minimizes hot spots capable of causing thermal damage. This addresses a principal-agent problem where consumers cannot perfectly observe product quality ex-ante, making materials certification a credible quality signal. Ceramic's superior heat conductivity relative to aluminum reduces energy requirements by 15-20%, translating to lower operating costs over the product lifecycle.</w:t>
      </w:r>
      <w:bookmarkStart w:id="20" w:name="fnref13"/>
      <w:bookmarkEnd w:id="20"/>
      <w:hyperlink w:anchor="fn13">
        <w:r>
          <w:rPr>
            <w:rFonts w:eastAsia="inter" w:cs="inter" w:ascii="inter" w:hAnsi="inter"/>
            <w:color w:val="#000"/>
            <w:u w:val="single"/>
            <w:vertAlign w:val="superscript"/>
          </w:rPr>
          <w:t xml:space="preserve">[13]</w:t>
        </w:r>
      </w:hyperlink>
      <w:bookmarkStart w:id="21" w:name="fnref14"/>
      <w:bookmarkEnd w:id="21"/>
      <w:hyperlink w:anchor="fn14">
        <w:r>
          <w:rPr>
            <w:rFonts w:eastAsia="inter" w:cs="inter" w:ascii="inter" w:hAnsi="inter"/>
            <w:color w:val="#000"/>
            <w:u w:val="single"/>
            <w:vertAlign w:val="superscript"/>
          </w:rPr>
          <w:t xml:space="preserve">[14]</w:t>
        </w:r>
      </w:hyperlink>
    </w:p>
    <w:p>
      <w:pPr>
        <w:spacing w:line="360" w:after="210" w:lineRule="auto"/>
      </w:pPr>
      <w:r>
        <w:rPr>
          <w:rFonts w:eastAsia="inter" w:cs="inter" w:ascii="inter" w:hAnsi="inter"/>
          <w:b/>
          <w:color w:val="000000"/>
        </w:rPr>
        <w:t xml:space="preserve">Ionic Technology</w:t>
      </w:r>
      <w:r>
        <w:rPr>
          <w:rFonts w:eastAsia="inter" w:cs="inter" w:ascii="inter" w:hAnsi="inter"/>
          <w:color w:val="000000"/>
        </w:rPr>
        <w:t xml:space="preserve">: Devices equipped with ionic generators emit negatively charged ions that break down water molecules on hair surfaces, reducing drying time and static electricity. From an economic standpoint, ionic technology represents a form of process innovation that increases productivity (styled hair per unit time) without proportionally increasing inputs. Premium models leveraging this technology command price premiums of 40-60% over basic alternatives.</w:t>
      </w:r>
      <w:bookmarkStart w:id="22" w:name="fnref1_2"/>
      <w:bookmarkEnd w:id="22"/>
      <w:hyperlink w:anchor="fn1">
        <w:r>
          <w:rPr>
            <w:rFonts w:eastAsia="inter" w:cs="inter" w:ascii="inter" w:hAnsi="inter"/>
            <w:color w:val="#000"/>
            <w:u w:val="single"/>
            <w:vertAlign w:val="superscript"/>
          </w:rPr>
          <w:t xml:space="preserve">[1]</w:t>
        </w:r>
      </w:hyperlink>
      <w:bookmarkStart w:id="23" w:name="fnref2_1"/>
      <w:bookmarkEnd w:id="23"/>
      <w:hyperlink w:anchor="fn2">
        <w:r>
          <w:rPr>
            <w:rFonts w:eastAsia="inter" w:cs="inter" w:ascii="inter" w:hAnsi="inter"/>
            <w:color w:val="#000"/>
            <w:u w:val="single"/>
            <w:vertAlign w:val="superscript"/>
          </w:rPr>
          <w:t xml:space="preserve">[2]</w:t>
        </w:r>
      </w:hyperlink>
      <w:bookmarkStart w:id="24" w:name="fnref15"/>
      <w:bookmarkEnd w:id="24"/>
      <w:hyperlink w:anchor="fn15">
        <w:r>
          <w:rPr>
            <w:rFonts w:eastAsia="inter" w:cs="inter" w:ascii="inter" w:hAnsi="inter"/>
            <w:color w:val="#000"/>
            <w:u w:val="single"/>
            <w:vertAlign w:val="superscript"/>
          </w:rPr>
          <w:t xml:space="preserve">[15]</w:t>
        </w:r>
      </w:hyperlink>
      <w:bookmarkStart w:id="25" w:name="fnref16"/>
      <w:bookmarkEnd w:id="25"/>
      <w:hyperlink w:anchor="fn16">
        <w:r>
          <w:rPr>
            <w:rFonts w:eastAsia="inter" w:cs="inter" w:ascii="inter" w:hAnsi="inter"/>
            <w:color w:val="#000"/>
            <w:u w:val="single"/>
            <w:vertAlign w:val="superscript"/>
          </w:rPr>
          <w:t xml:space="preserve">[16]</w:t>
        </w:r>
      </w:hyperlink>
    </w:p>
    <w:p>
      <w:pPr>
        <w:spacing w:line="360" w:after="210" w:lineRule="auto"/>
      </w:pPr>
      <w:r>
        <w:rPr>
          <w:rFonts w:eastAsia="inter" w:cs="inter" w:ascii="inter" w:hAnsi="inter"/>
          <w:b/>
          <w:color w:val="000000"/>
        </w:rPr>
        <w:t xml:space="preserve">PTC (Positive Temperature Coefficient) Heating Elements</w:t>
      </w:r>
      <w:r>
        <w:rPr>
          <w:rFonts w:eastAsia="inter" w:cs="inter" w:ascii="inter" w:hAnsi="inter"/>
          <w:color w:val="000000"/>
        </w:rPr>
        <w:t xml:space="preserve">: PTC ceramic heaters utilize semiconductor properties that cause electrical resistance to increase sharply at predetermined temperatures (typically 120°C), creating self-regulating heating without external thermostats. This innovation addresses safety concerns and reduces liability risks for manufacturers, effectively lowering expected costs associated with product recalls or litigation. The PTC market has grown substantially since the 1980s, with these elements now comprising approximately 35% of hair appliance heating systems.</w:t>
      </w:r>
      <w:bookmarkStart w:id="26" w:name="fnref17"/>
      <w:bookmarkEnd w:id="26"/>
      <w:hyperlink w:anchor="fn17">
        <w:r>
          <w:rPr>
            <w:rFonts w:eastAsia="inter" w:cs="inter" w:ascii="inter" w:hAnsi="inter"/>
            <w:color w:val="#000"/>
            <w:u w:val="single"/>
            <w:vertAlign w:val="superscript"/>
          </w:rPr>
          <w:t xml:space="preserve">[17]</w:t>
        </w:r>
      </w:hyperlink>
      <w:bookmarkStart w:id="27" w:name="fnref18"/>
      <w:bookmarkEnd w:id="27"/>
      <w:hyperlink w:anchor="fn18">
        <w:r>
          <w:rPr>
            <w:rFonts w:eastAsia="inter" w:cs="inter" w:ascii="inter" w:hAnsi="inter"/>
            <w:color w:val="#000"/>
            <w:u w:val="single"/>
            <w:vertAlign w:val="superscript"/>
          </w:rPr>
          <w:t xml:space="preserve">[18]</w:t>
        </w:r>
      </w:hyperlink>
      <w:bookmarkStart w:id="28" w:name="fnref19"/>
      <w:bookmarkEnd w:id="28"/>
      <w:hyperlink w:anchor="fn19">
        <w:r>
          <w:rPr>
            <w:rFonts w:eastAsia="inter" w:cs="inter" w:ascii="inter" w:hAnsi="inter"/>
            <w:color w:val="#000"/>
            <w:u w:val="single"/>
            <w:vertAlign w:val="superscript"/>
          </w:rPr>
          <w:t xml:space="preserve">[19]</w:t>
        </w:r>
      </w:hyperlink>
    </w:p>
    <w:p>
      <w:pPr>
        <w:spacing w:line="360" w:after="210" w:lineRule="auto"/>
      </w:pPr>
      <w:r>
        <w:rPr>
          <w:rFonts w:eastAsia="inter" w:cs="inter" w:ascii="inter" w:hAnsi="inter"/>
          <w:b/>
          <w:color w:val="000000"/>
        </w:rPr>
        <w:t xml:space="preserve">Tourmaline and Titanium Coatings</w:t>
      </w:r>
      <w:r>
        <w:rPr>
          <w:rFonts w:eastAsia="inter" w:cs="inter" w:ascii="inter" w:hAnsi="inter"/>
          <w:color w:val="000000"/>
        </w:rPr>
        <w:t xml:space="preserve">: Tourmaline, a semi-precious mineral, when crushed and infused into ceramic plates, generates negative ions and far-infrared heat that penetrate hair shafts more effectively than conventional heating. Titanium plates offer superior heat conductivity and durability, justifying price premiums of 50-80% in professional-grade segments. These material innovations exemplify vertical product differentiation, where quality improvements along measurable dimensions (heat distribution uniformity, durability) enable tiered pricing structures.</w:t>
      </w:r>
      <w:bookmarkStart w:id="29" w:name="fnref14_1"/>
      <w:bookmarkEnd w:id="29"/>
      <w:hyperlink w:anchor="fn14">
        <w:r>
          <w:rPr>
            <w:rFonts w:eastAsia="inter" w:cs="inter" w:ascii="inter" w:hAnsi="inter"/>
            <w:color w:val="#000"/>
            <w:u w:val="single"/>
            <w:vertAlign w:val="superscript"/>
          </w:rPr>
          <w:t xml:space="preserve">[14]</w:t>
        </w:r>
      </w:hyperlink>
      <w:bookmarkStart w:id="30" w:name="fnref16_1"/>
      <w:bookmarkEnd w:id="30"/>
      <w:hyperlink w:anchor="fn16">
        <w:r>
          <w:rPr>
            <w:rFonts w:eastAsia="inter" w:cs="inter" w:ascii="inter" w:hAnsi="inter"/>
            <w:color w:val="#000"/>
            <w:u w:val="single"/>
            <w:vertAlign w:val="superscript"/>
          </w:rPr>
          <w:t xml:space="preserve">[16]</w:t>
        </w:r>
      </w:hyperlink>
      <w:bookmarkStart w:id="31" w:name="fnref13_1"/>
      <w:bookmarkEnd w:id="31"/>
      <w:hyperlink w:anchor="fn13">
        <w:r>
          <w:rPr>
            <w:rFonts w:eastAsia="inter" w:cs="inter" w:ascii="inter" w:hAnsi="inter"/>
            <w:color w:val="#000"/>
            <w:u w:val="single"/>
            <w:vertAlign w:val="superscript"/>
          </w:rPr>
          <w:t xml:space="preserve">[13]</w:t>
        </w:r>
      </w:hyperlink>
    </w:p>
    <w:p>
      <w:pPr>
        <w:spacing w:line="360" w:before="315" w:after="105" w:lineRule="auto"/>
        <w:ind w:left="-30"/>
        <w:jc w:val="left"/>
      </w:pPr>
      <w:bookmarkStart w:id="32" w:name="product_lifecycle_classification"/>
      <w:r>
        <w:rPr>
          <w:rFonts w:eastAsia="inter" w:cs="inter" w:ascii="inter" w:hAnsi="inter"/>
          <w:b/>
          <w:color w:val="000000"/>
          <w:sz w:val="24"/>
        </w:rPr>
        <w:t xml:space="preserve">Product Lifecycle Classification</w:t>
      </w:r>
      <w:bookmarkEnd w:id="32"/>
    </w:p>
    <w:p>
      <w:pPr>
        <w:spacing w:line="360" w:after="210" w:lineRule="auto"/>
      </w:pPr>
      <w:r>
        <w:rPr>
          <w:rFonts w:eastAsia="inter" w:cs="inter" w:ascii="inter" w:hAnsi="inter"/>
          <w:color w:val="000000"/>
        </w:rPr>
        <w:t xml:space="preserve">Applying the standard product lifecycle framework (introduction, growth, maturity, decline), hair straightening brushes currently occupy the </w:t>
      </w:r>
      <w:r>
        <w:rPr>
          <w:rFonts w:eastAsia="inter" w:cs="inter" w:ascii="inter" w:hAnsi="inter"/>
          <w:b/>
          <w:color w:val="000000"/>
        </w:rPr>
        <w:t xml:space="preserve">growth-to-early-maturity transition phase</w:t>
      </w:r>
      <w:r>
        <w:rPr>
          <w:rFonts w:eastAsia="inter" w:cs="inter" w:ascii="inter" w:hAnsi="inter"/>
          <w:color w:val="000000"/>
        </w:rPr>
        <w:t xml:space="preserve">. Several indicators support this classification:</w:t>
      </w:r>
      <w:bookmarkStart w:id="33" w:name="fnref20"/>
      <w:bookmarkEnd w:id="33"/>
      <w:hyperlink w:anchor="fn20">
        <w:r>
          <w:rPr>
            <w:rFonts w:eastAsia="inter" w:cs="inter" w:ascii="inter" w:hAnsi="inter"/>
            <w:color w:val="#000"/>
            <w:u w:val="single"/>
            <w:vertAlign w:val="superscript"/>
          </w:rPr>
          <w:t xml:space="preserve">[20]</w:t>
        </w:r>
      </w:hyperlink>
      <w:bookmarkStart w:id="34" w:name="fnref21"/>
      <w:bookmarkEnd w:id="34"/>
      <w:hyperlink w:anchor="fn21">
        <w:r>
          <w:rPr>
            <w:rFonts w:eastAsia="inter" w:cs="inter" w:ascii="inter" w:hAnsi="inter"/>
            <w:color w:val="#000"/>
            <w:u w:val="single"/>
            <w:vertAlign w:val="superscript"/>
          </w:rPr>
          <w:t xml:space="preserve">[21]</w:t>
        </w:r>
      </w:hyperlink>
      <w:bookmarkStart w:id="35" w:name="fnref22"/>
      <w:bookmarkEnd w:id="35"/>
      <w:hyperlink w:anchor="fn22">
        <w:r>
          <w:rPr>
            <w:rFonts w:eastAsia="inter" w:cs="inter" w:ascii="inter" w:hAnsi="inter"/>
            <w:color w:val="#000"/>
            <w:u w:val="single"/>
            <w:vertAlign w:val="superscript"/>
          </w:rPr>
          <w:t xml:space="preserve">[22]</w:t>
        </w:r>
      </w:hyperlink>
    </w:p>
    <w:p>
      <w:pPr>
        <w:spacing w:line="360" w:after="210" w:lineRule="auto"/>
      </w:pPr>
      <w:r>
        <w:rPr>
          <w:rFonts w:eastAsia="inter" w:cs="inter" w:ascii="inter" w:hAnsi="inter"/>
          <w:b/>
          <w:color w:val="000000"/>
        </w:rPr>
        <w:t xml:space="preserve">Market Penetration</w:t>
      </w:r>
      <w:r>
        <w:rPr>
          <w:rFonts w:eastAsia="inter" w:cs="inter" w:ascii="inter" w:hAnsi="inter"/>
          <w:color w:val="000000"/>
        </w:rPr>
        <w:t xml:space="preserve">: With 45% of women in developed markets owning hair straighteners by 2024 (up from 35% in 2007), and straightening brushes representing approximately 30% of this category, the product has moved beyond early adopters into the mainstream majority. However, significant untapped potential remains in emerging markets where ownership rates remain below 15%.</w:t>
      </w:r>
      <w:bookmarkStart w:id="36" w:name="fnref23"/>
      <w:bookmarkEnd w:id="36"/>
      <w:hyperlink w:anchor="fn23">
        <w:r>
          <w:rPr>
            <w:rFonts w:eastAsia="inter" w:cs="inter" w:ascii="inter" w:hAnsi="inter"/>
            <w:color w:val="#000"/>
            <w:u w:val="single"/>
            <w:vertAlign w:val="superscript"/>
          </w:rPr>
          <w:t xml:space="preserve">[23]</w:t>
        </w:r>
      </w:hyperlink>
      <w:bookmarkStart w:id="37" w:name="fnref5_1"/>
      <w:bookmarkEnd w:id="37"/>
      <w:hyperlink w:anchor="fn5">
        <w:r>
          <w:rPr>
            <w:rFonts w:eastAsia="inter" w:cs="inter" w:ascii="inter" w:hAnsi="inter"/>
            <w:color w:val="#000"/>
            <w:u w:val="single"/>
            <w:vertAlign w:val="superscript"/>
          </w:rPr>
          <w:t xml:space="preserve">[5]</w:t>
        </w:r>
      </w:hyperlink>
      <w:bookmarkStart w:id="38" w:name="fnref6_1"/>
      <w:bookmarkEnd w:id="38"/>
      <w:hyperlink w:anchor="fn6">
        <w:r>
          <w:rPr>
            <w:rFonts w:eastAsia="inter" w:cs="inter" w:ascii="inter" w:hAnsi="inter"/>
            <w:color w:val="#000"/>
            <w:u w:val="single"/>
            <w:vertAlign w:val="superscript"/>
          </w:rPr>
          <w:t xml:space="preserve">[6]</w:t>
        </w:r>
      </w:hyperlink>
      <w:bookmarkStart w:id="39" w:name="fnref24"/>
      <w:bookmarkEnd w:id="39"/>
      <w:hyperlink w:anchor="fn24">
        <w:r>
          <w:rPr>
            <w:rFonts w:eastAsia="inter" w:cs="inter" w:ascii="inter" w:hAnsi="inter"/>
            <w:color w:val="#000"/>
            <w:u w:val="single"/>
            <w:vertAlign w:val="superscript"/>
          </w:rPr>
          <w:t xml:space="preserve">[24]</w:t>
        </w:r>
      </w:hyperlink>
      <w:bookmarkStart w:id="40" w:name="fnref25"/>
      <w:bookmarkEnd w:id="40"/>
      <w:hyperlink w:anchor="fn25">
        <w:r>
          <w:rPr>
            <w:rFonts w:eastAsia="inter" w:cs="inter" w:ascii="inter" w:hAnsi="inter"/>
            <w:color w:val="#000"/>
            <w:u w:val="single"/>
            <w:vertAlign w:val="superscript"/>
          </w:rPr>
          <w:t xml:space="preserve">[25]</w:t>
        </w:r>
      </w:hyperlink>
    </w:p>
    <w:p>
      <w:pPr>
        <w:spacing w:line="360" w:after="210" w:lineRule="auto"/>
      </w:pPr>
      <w:r>
        <w:rPr>
          <w:rFonts w:eastAsia="inter" w:cs="inter" w:ascii="inter" w:hAnsi="inter"/>
          <w:b/>
          <w:color w:val="000000"/>
        </w:rPr>
        <w:t xml:space="preserve">Revenue Growth Patterns</w:t>
      </w:r>
      <w:r>
        <w:rPr>
          <w:rFonts w:eastAsia="inter" w:cs="inter" w:ascii="inter" w:hAnsi="inter"/>
          <w:color w:val="000000"/>
        </w:rPr>
        <w:t xml:space="preserve">: The sustained CAGR of 5.2-8.2% across major markets indicates continued expansion rather than the sales plateauing characteristic of mature products. The introduction of cordless variants and smart-enabled models with app connectivity demonstrates ongoing innovation typical of growth-stage products.</w:t>
      </w:r>
      <w:bookmarkStart w:id="41" w:name="fnref4_1"/>
      <w:bookmarkEnd w:id="41"/>
      <w:hyperlink w:anchor="fn4">
        <w:r>
          <w:rPr>
            <w:rFonts w:eastAsia="inter" w:cs="inter" w:ascii="inter" w:hAnsi="inter"/>
            <w:color w:val="#000"/>
            <w:u w:val="single"/>
            <w:vertAlign w:val="superscript"/>
          </w:rPr>
          <w:t xml:space="preserve">[4]</w:t>
        </w:r>
      </w:hyperlink>
      <w:bookmarkStart w:id="42" w:name="fnref26"/>
      <w:bookmarkEnd w:id="42"/>
      <w:hyperlink w:anchor="fn26">
        <w:r>
          <w:rPr>
            <w:rFonts w:eastAsia="inter" w:cs="inter" w:ascii="inter" w:hAnsi="inter"/>
            <w:color w:val="#000"/>
            <w:u w:val="single"/>
            <w:vertAlign w:val="superscript"/>
          </w:rPr>
          <w:t xml:space="preserve">[26]</w:t>
        </w:r>
      </w:hyperlink>
      <w:bookmarkStart w:id="43" w:name="fnref5_2"/>
      <w:bookmarkEnd w:id="43"/>
      <w:hyperlink w:anchor="fn5">
        <w:r>
          <w:rPr>
            <w:rFonts w:eastAsia="inter" w:cs="inter" w:ascii="inter" w:hAnsi="inter"/>
            <w:color w:val="#000"/>
            <w:u w:val="single"/>
            <w:vertAlign w:val="superscript"/>
          </w:rPr>
          <w:t xml:space="preserve">[5]</w:t>
        </w:r>
      </w:hyperlink>
      <w:bookmarkStart w:id="44" w:name="fnref27"/>
      <w:bookmarkEnd w:id="44"/>
      <w:hyperlink w:anchor="fn27">
        <w:r>
          <w:rPr>
            <w:rFonts w:eastAsia="inter" w:cs="inter" w:ascii="inter" w:hAnsi="inter"/>
            <w:color w:val="#000"/>
            <w:u w:val="single"/>
            <w:vertAlign w:val="superscript"/>
          </w:rPr>
          <w:t xml:space="preserve">[27]</w:t>
        </w:r>
      </w:hyperlink>
      <w:bookmarkStart w:id="45" w:name="fnref28"/>
      <w:bookmarkEnd w:id="45"/>
      <w:hyperlink w:anchor="fn28">
        <w:r>
          <w:rPr>
            <w:rFonts w:eastAsia="inter" w:cs="inter" w:ascii="inter" w:hAnsi="inter"/>
            <w:color w:val="#000"/>
            <w:u w:val="single"/>
            <w:vertAlign w:val="superscript"/>
          </w:rPr>
          <w:t xml:space="preserve">[28]</w:t>
        </w:r>
      </w:hyperlink>
    </w:p>
    <w:p>
      <w:pPr>
        <w:spacing w:line="360" w:after="210" w:lineRule="auto"/>
      </w:pPr>
      <w:r>
        <w:rPr>
          <w:rFonts w:eastAsia="inter" w:cs="inter" w:ascii="inter" w:hAnsi="inter"/>
          <w:b/>
          <w:color w:val="000000"/>
        </w:rPr>
        <w:t xml:space="preserve">Competitive Dynamics</w:t>
      </w:r>
      <w:r>
        <w:rPr>
          <w:rFonts w:eastAsia="inter" w:cs="inter" w:ascii="inter" w:hAnsi="inter"/>
          <w:color w:val="000000"/>
        </w:rPr>
        <w:t xml:space="preserve">: Market fragmentation with numerous competitors (Dyson, GHD, Philips, Vega, Havells, Remington) across price tiers indicates that dominant designs have not fully crystallized, consistent with late-growth phase competitive intensity. Premium brands continue investing heavily in R&amp;D (Dyson allocated over 30% of revenues to product development in 2023), behavior more typical of growth-phase firms seeking to establish sustainable competitive advantages.</w:t>
      </w:r>
      <w:bookmarkStart w:id="46" w:name="fnref29"/>
      <w:bookmarkEnd w:id="46"/>
      <w:hyperlink w:anchor="fn29">
        <w:r>
          <w:rPr>
            <w:rFonts w:eastAsia="inter" w:cs="inter" w:ascii="inter" w:hAnsi="inter"/>
            <w:color w:val="#000"/>
            <w:u w:val="single"/>
            <w:vertAlign w:val="superscript"/>
          </w:rPr>
          <w:t xml:space="preserve">[29]</w:t>
        </w:r>
      </w:hyperlink>
      <w:bookmarkStart w:id="47" w:name="fnref30"/>
      <w:bookmarkEnd w:id="47"/>
      <w:hyperlink w:anchor="fn30">
        <w:r>
          <w:rPr>
            <w:rFonts w:eastAsia="inter" w:cs="inter" w:ascii="inter" w:hAnsi="inter"/>
            <w:color w:val="#000"/>
            <w:u w:val="single"/>
            <w:vertAlign w:val="superscript"/>
          </w:rPr>
          <w:t xml:space="preserve">[30]</w:t>
        </w:r>
      </w:hyperlink>
      <w:bookmarkStart w:id="48" w:name="fnref31"/>
      <w:bookmarkEnd w:id="48"/>
      <w:hyperlink w:anchor="fn31">
        <w:r>
          <w:rPr>
            <w:rFonts w:eastAsia="inter" w:cs="inter" w:ascii="inter" w:hAnsi="inter"/>
            <w:color w:val="#000"/>
            <w:u w:val="single"/>
            <w:vertAlign w:val="superscript"/>
          </w:rPr>
          <w:t xml:space="preserve">[31]</w:t>
        </w:r>
      </w:hyperlink>
    </w:p>
    <w:p>
      <w:pPr>
        <w:spacing w:line="360" w:after="210" w:lineRule="auto"/>
      </w:pPr>
      <w:r>
        <w:rPr>
          <w:rFonts w:eastAsia="inter" w:cs="inter" w:ascii="inter" w:hAnsi="inter"/>
          <w:b/>
          <w:color w:val="000000"/>
        </w:rPr>
        <w:t xml:space="preserve">Price Stability</w:t>
      </w:r>
      <w:r>
        <w:rPr>
          <w:rFonts w:eastAsia="inter" w:cs="inter" w:ascii="inter" w:hAnsi="inter"/>
          <w:color w:val="000000"/>
        </w:rPr>
        <w:t xml:space="preserve">: Unlike mature commodity markets characterized by price compression, hair straightening brushes maintain significant price dispersion (budget models at ₹300-1,200; premium at ₹15,000-45,000 in India), suggesting that product differentiation remains viable and market segmentation persists.</w:t>
      </w:r>
    </w:p>
    <w:p>
      <w:pPr>
        <w:spacing w:line="360" w:after="0" w:lineRule="auto"/>
        <w:jc w:val="center"/>
      </w:pPr>
      <w:r>
        <w:rPr>
          <w:rFonts w:eastAsia="inter" w:cs="inter" w:ascii="inter" w:hAnsi="inter"/>
          <w:color w:val="000000"/>
        </w:rPr>
        <w:drawing>
          <wp:inline distB="0" distL="0" distR="0" distT="0">
            <wp:extent cx="952500" cy="952500"/>
            <wp:effectExtent b="0" l="0" r="0" t="0"/>
            <wp:docPr id="2" name="image-not-found.png" descr="The Indian hair straightener market exhibits clear segmentation with premium brands (Dyson, GHD) commanding 10-40x price premiums over budget options through superior technology and brand positioning, while mid-range players (Philips, Vega, Havells) compete on the balance of features and affordability."/>
            <a:graphic>
              <a:graphicData uri="http://schemas.openxmlformats.org/drawingml/2006/picture">
                <pic:pic>
                  <pic:nvPicPr>
                    <pic:cNvPr id="2" name="image-not-found.png" descr="The Indian hair straightener market exhibits clear segmentation with premium brands (Dyson, GHD) commanding 10-40x price premiums over budget options through superior technology and brand positioning, while mid-range players (Philips, Vega, Havells) compete on the balance of features and affordability."/>
                    <pic:cNvPicPr/>
                  </pic:nvPicPr>
                  <pic:blipFill>
                    <a:blip r:embed="rId6" cstate="print"/>
                    <a:srcRect b="0" l="0" r="0" t="0"/>
                    <a:stretch>
                      <a:fillRect/>
                    </a:stretch>
                  </pic:blipFill>
                  <pic:spPr>
                    <a:xfrm>
                      <a:off x="0" y="0"/>
                      <a:ext cx="952500" cy="952500"/>
                    </a:xfrm>
                    <a:prstGeom prst="rect"/>
                  </pic:spPr>
                </pic:pic>
              </a:graphicData>
            </a:graphic>
          </wp:inline>
        </w:drawing>
      </w:r>
    </w:p>
    <w:p>
      <w:pPr>
        <w:spacing w:line="360" w:after="210" w:lineRule="auto"/>
      </w:pPr>
      <w:r>
        <w:rPr>
          <w:rFonts w:eastAsia="inter" w:cs="inter" w:ascii="inter" w:hAnsi="inter"/>
          <w:color w:val="000000"/>
        </w:rPr>
        <w:t xml:space="preserve">The Indian hair straightener market exhibits clear segmentation with premium brands (Dyson, GHD) commanding 10-40x price premiums over budget options through superior technology and brand positioning, while mid-range players (Philips, Vega, Havells) compete on the balance of features and affordability.</w:t>
      </w:r>
    </w:p>
    <w:p>
      <w:pPr>
        <w:spacing w:line="360" w:after="210" w:lineRule="auto"/>
      </w:pPr>
      <w:r>
        <w:rPr>
          <w:rFonts w:eastAsia="inter" w:cs="inter" w:ascii="inter" w:hAnsi="inter"/>
          <w:color w:val="000000"/>
        </w:rPr>
        <w:t xml:space="preserve">The lifecycle positioning has crucial implications for firm strategy and market structure, which subsequent sections will explore through rigorous microeconomic analysis of production functions, cost structures, and competitive dynamics.</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49" w:name="production_technology"/>
      <w:r>
        <w:rPr>
          <w:rFonts w:eastAsia="inter" w:cs="inter" w:ascii="inter" w:hAnsi="inter"/>
          <w:b/>
          <w:color w:val="000000"/>
          <w:sz w:val="24"/>
        </w:rPr>
        <w:t xml:space="preserve">PRODUCTION &amp; TECHNOLOGY</w:t>
      </w:r>
      <w:bookmarkEnd w:id="49"/>
    </w:p>
    <w:p>
      <w:pPr>
        <w:spacing w:line="360" w:before="315" w:after="105" w:lineRule="auto"/>
        <w:ind w:left="-30"/>
        <w:jc w:val="left"/>
      </w:pPr>
      <w:bookmarkStart w:id="50" w:name="manufacturing_process_from_design_8b16e9"/>
      <w:r>
        <w:rPr>
          <w:rFonts w:eastAsia="inter" w:cs="inter" w:ascii="inter" w:hAnsi="inter"/>
          <w:b/>
          <w:color w:val="000000"/>
          <w:sz w:val="24"/>
        </w:rPr>
        <w:t xml:space="preserve">Manufacturing Process: From Design to Distribution</w:t>
      </w:r>
      <w:bookmarkEnd w:id="50"/>
    </w:p>
    <w:p>
      <w:pPr>
        <w:spacing w:line="360" w:after="210" w:lineRule="auto"/>
      </w:pPr>
      <w:r>
        <w:rPr>
          <w:rFonts w:eastAsia="inter" w:cs="inter" w:ascii="inter" w:hAnsi="inter"/>
          <w:color w:val="000000"/>
        </w:rPr>
        <w:t xml:space="preserve">The production of hair straightening brushes exemplifies modern manufacturing's integration of materials science, electrical engineering, and industrial design. The manufacturing value chain can be decomposed into discrete stages, each with distinct cost structures and efficiency determinants.</w:t>
      </w:r>
      <w:bookmarkStart w:id="51" w:name="fnref13_2"/>
      <w:bookmarkEnd w:id="51"/>
      <w:hyperlink w:anchor="fn13">
        <w:r>
          <w:rPr>
            <w:rFonts w:eastAsia="inter" w:cs="inter" w:ascii="inter" w:hAnsi="inter"/>
            <w:color w:val="#000"/>
            <w:u w:val="single"/>
            <w:vertAlign w:val="superscript"/>
          </w:rPr>
          <w:t xml:space="preserve">[13]</w:t>
        </w:r>
      </w:hyperlink>
      <w:bookmarkStart w:id="52" w:name="fnref32"/>
      <w:bookmarkEnd w:id="52"/>
      <w:hyperlink w:anchor="fn32">
        <w:r>
          <w:rPr>
            <w:rFonts w:eastAsia="inter" w:cs="inter" w:ascii="inter" w:hAnsi="inter"/>
            <w:color w:val="#000"/>
            <w:u w:val="single"/>
            <w:vertAlign w:val="superscript"/>
          </w:rPr>
          <w:t xml:space="preserve">[32]</w:t>
        </w:r>
      </w:hyperlink>
      <w:bookmarkStart w:id="53" w:name="fnref33"/>
      <w:bookmarkEnd w:id="53"/>
      <w:hyperlink w:anchor="fn33">
        <w:r>
          <w:rPr>
            <w:rFonts w:eastAsia="inter" w:cs="inter" w:ascii="inter" w:hAnsi="inter"/>
            <w:color w:val="#000"/>
            <w:u w:val="single"/>
            <w:vertAlign w:val="superscript"/>
          </w:rPr>
          <w:t xml:space="preserve">[33]</w:t>
        </w:r>
      </w:hyperlink>
    </w:p>
    <w:p>
      <w:pPr>
        <w:spacing w:line="360" w:after="210" w:lineRule="auto"/>
      </w:pPr>
      <w:r>
        <w:rPr>
          <w:rFonts w:eastAsia="inter" w:cs="inter" w:ascii="inter" w:hAnsi="inter"/>
          <w:b/>
          <w:color w:val="000000"/>
        </w:rPr>
        <w:t xml:space="preserve">Stage 1: Design and Prototyping</w:t>
      </w:r>
    </w:p>
    <w:p>
      <w:pPr>
        <w:spacing w:line="360" w:after="210" w:lineRule="auto"/>
      </w:pPr>
      <w:r>
        <w:rPr>
          <w:rFonts w:eastAsia="inter" w:cs="inter" w:ascii="inter" w:hAnsi="inter"/>
          <w:color w:val="000000"/>
        </w:rPr>
        <w:t xml:space="preserve">Product development begins with computer-aided design (CAD) modeling to optimize heat distribution patterns, bristle configurations, and ergonomic handling characteristics. This stage incurs high fixed costs (R&amp;D personnel, testing equipment) but near-zero marginal costs for design iterations. A typical product development cycle spans 12-18 months with expenditures ranging from USD 50,000 for budget models to over USD 2 million for premium innovations incorporating novel heating technologies.</w:t>
      </w:r>
      <w:bookmarkStart w:id="54" w:name="fnref12_1"/>
      <w:bookmarkEnd w:id="54"/>
      <w:hyperlink w:anchor="fn12">
        <w:r>
          <w:rPr>
            <w:rFonts w:eastAsia="inter" w:cs="inter" w:ascii="inter" w:hAnsi="inter"/>
            <w:color w:val="#000"/>
            <w:u w:val="single"/>
            <w:vertAlign w:val="superscript"/>
          </w:rPr>
          <w:t xml:space="preserve">[12]</w:t>
        </w:r>
      </w:hyperlink>
      <w:bookmarkStart w:id="55" w:name="fnref34"/>
      <w:bookmarkEnd w:id="55"/>
      <w:hyperlink w:anchor="fn34">
        <w:r>
          <w:rPr>
            <w:rFonts w:eastAsia="inter" w:cs="inter" w:ascii="inter" w:hAnsi="inter"/>
            <w:color w:val="#000"/>
            <w:u w:val="single"/>
            <w:vertAlign w:val="superscript"/>
          </w:rPr>
          <w:t xml:space="preserve">[34]</w:t>
        </w:r>
      </w:hyperlink>
      <w:bookmarkStart w:id="56" w:name="fnref31_1"/>
      <w:bookmarkEnd w:id="56"/>
      <w:hyperlink w:anchor="fn31">
        <w:r>
          <w:rPr>
            <w:rFonts w:eastAsia="inter" w:cs="inter" w:ascii="inter" w:hAnsi="inter"/>
            <w:color w:val="#000"/>
            <w:u w:val="single"/>
            <w:vertAlign w:val="superscript"/>
          </w:rPr>
          <w:t xml:space="preserve">[31]</w:t>
        </w:r>
      </w:hyperlink>
    </w:p>
    <w:p>
      <w:pPr>
        <w:spacing w:line="360" w:after="210" w:lineRule="auto"/>
      </w:pPr>
      <w:r>
        <w:rPr>
          <w:rFonts w:eastAsia="inter" w:cs="inter" w:ascii="inter" w:hAnsi="inter"/>
          <w:color w:val="000000"/>
        </w:rPr>
        <w:t xml:space="preserve">Engineers conduct finite element analysis to model thermal conductivity and identify optimal bristle spacing that maximizes hair contact while preventing heat concentration. Prototypes undergo iterative testing for electrical safety (insulation resistance, grounding), temperature accuracy (±5°C variance), and mechanical durability (10,000+ usage cycles). This extensive validation process represents a form of quality assurance that reduces information asymmetry between manufacturers and consumers, enabling premium pricing for certified products.</w:t>
      </w:r>
      <w:bookmarkStart w:id="57" w:name="fnref35"/>
      <w:bookmarkEnd w:id="57"/>
      <w:hyperlink w:anchor="fn35">
        <w:r>
          <w:rPr>
            <w:rFonts w:eastAsia="inter" w:cs="inter" w:ascii="inter" w:hAnsi="inter"/>
            <w:color w:val="#000"/>
            <w:u w:val="single"/>
            <w:vertAlign w:val="superscript"/>
          </w:rPr>
          <w:t xml:space="preserve">[35]</w:t>
        </w:r>
      </w:hyperlink>
      <w:bookmarkStart w:id="58" w:name="fnref13_3"/>
      <w:bookmarkEnd w:id="58"/>
      <w:hyperlink w:anchor="fn13">
        <w:r>
          <w:rPr>
            <w:rFonts w:eastAsia="inter" w:cs="inter" w:ascii="inter" w:hAnsi="inter"/>
            <w:color w:val="#000"/>
            <w:u w:val="single"/>
            <w:vertAlign w:val="superscript"/>
          </w:rPr>
          <w:t xml:space="preserve">[13]</w:t>
        </w:r>
      </w:hyperlink>
      <w:bookmarkStart w:id="59" w:name="fnref12_2"/>
      <w:bookmarkEnd w:id="59"/>
      <w:hyperlink w:anchor="fn12">
        <w:r>
          <w:rPr>
            <w:rFonts w:eastAsia="inter" w:cs="inter" w:ascii="inter" w:hAnsi="inter"/>
            <w:color w:val="#000"/>
            <w:u w:val="single"/>
            <w:vertAlign w:val="superscript"/>
          </w:rPr>
          <w:t xml:space="preserve">[12]</w:t>
        </w:r>
      </w:hyperlink>
    </w:p>
    <w:p>
      <w:pPr>
        <w:spacing w:line="360" w:after="210" w:lineRule="auto"/>
      </w:pPr>
      <w:r>
        <w:rPr>
          <w:rFonts w:eastAsia="inter" w:cs="inter" w:ascii="inter" w:hAnsi="inter"/>
          <w:b/>
          <w:color w:val="000000"/>
        </w:rPr>
        <w:t xml:space="preserve">Stage 2: Component Manufacturing</w:t>
      </w:r>
    </w:p>
    <w:p>
      <w:pPr>
        <w:spacing w:line="360" w:after="210" w:lineRule="auto"/>
      </w:pPr>
      <w:r>
        <w:rPr>
          <w:rFonts w:eastAsia="inter" w:cs="inter" w:ascii="inter" w:hAnsi="inter"/>
          <w:color w:val="000000"/>
        </w:rPr>
        <w:t xml:space="preserve">Hair straightening brushes comprise approximately 30-40 distinct components sourced through complex supply chains concentrated in East Asian manufacturing hubs.</w:t>
      </w:r>
      <w:bookmarkStart w:id="60" w:name="fnref36"/>
      <w:bookmarkEnd w:id="60"/>
      <w:hyperlink w:anchor="fn36">
        <w:r>
          <w:rPr>
            <w:rFonts w:eastAsia="inter" w:cs="inter" w:ascii="inter" w:hAnsi="inter"/>
            <w:color w:val="#000"/>
            <w:u w:val="single"/>
            <w:vertAlign w:val="superscript"/>
          </w:rPr>
          <w:t xml:space="preserve">[36]</w:t>
        </w:r>
      </w:hyperlink>
      <w:bookmarkStart w:id="61" w:name="fnref37"/>
      <w:bookmarkEnd w:id="61"/>
      <w:hyperlink w:anchor="fn37">
        <w:r>
          <w:rPr>
            <w:rFonts w:eastAsia="inter" w:cs="inter" w:ascii="inter" w:hAnsi="inter"/>
            <w:color w:val="#000"/>
            <w:u w:val="single"/>
            <w:vertAlign w:val="superscript"/>
          </w:rPr>
          <w:t xml:space="preserve">[37]</w:t>
        </w:r>
      </w:hyperlink>
    </w:p>
    <w:p>
      <w:pPr>
        <w:spacing w:line="360" w:after="210" w:lineRule="auto"/>
      </w:pPr>
      <w:r>
        <w:rPr>
          <w:rFonts w:eastAsia="inter" w:cs="inter" w:ascii="inter" w:hAnsi="inter"/>
          <w:i/>
          <w:color w:val="000000"/>
        </w:rPr>
        <w:t xml:space="preserve">Heating Elements</w:t>
      </w:r>
      <w:r>
        <w:rPr>
          <w:rFonts w:eastAsia="inter" w:cs="inter" w:ascii="inter" w:hAnsi="inter"/>
          <w:color w:val="000000"/>
        </w:rPr>
        <w:t xml:space="preserve">: Ceramic plates begin as clay-based mixtures (typically including aluminum oxide, silicon dioxide) that undergo pressing into desired shapes, followed by firing at temperatures exceeding 1,300°C. Tourmaline-infused variants require crushing semi-precious gemstones into fine powders and integrating them into ceramic matrices before firing. PTC heating elements involve even more specialized processes: barium titanate ceramics doped with rare-earth elements to achieve precise Curie temperatures, with metal electrodes embedded during formation. Manufacturing tolerances for PTC elements are exceptionally tight (±3°C temperature accuracy), requiring sophisticated quality control systems that increase per-unit costs by 15-25% relative to standard resistance heating.</w:t>
      </w:r>
      <w:bookmarkStart w:id="62" w:name="fnref18_1"/>
      <w:bookmarkEnd w:id="62"/>
      <w:hyperlink w:anchor="fn18">
        <w:r>
          <w:rPr>
            <w:rFonts w:eastAsia="inter" w:cs="inter" w:ascii="inter" w:hAnsi="inter"/>
            <w:color w:val="#000"/>
            <w:u w:val="single"/>
            <w:vertAlign w:val="superscript"/>
          </w:rPr>
          <w:t xml:space="preserve">[18]</w:t>
        </w:r>
      </w:hyperlink>
      <w:bookmarkStart w:id="63" w:name="fnref19_1"/>
      <w:bookmarkEnd w:id="63"/>
      <w:hyperlink w:anchor="fn19">
        <w:r>
          <w:rPr>
            <w:rFonts w:eastAsia="inter" w:cs="inter" w:ascii="inter" w:hAnsi="inter"/>
            <w:color w:val="#000"/>
            <w:u w:val="single"/>
            <w:vertAlign w:val="superscript"/>
          </w:rPr>
          <w:t xml:space="preserve">[19]</w:t>
        </w:r>
      </w:hyperlink>
      <w:bookmarkStart w:id="64" w:name="fnref38"/>
      <w:bookmarkEnd w:id="64"/>
      <w:hyperlink w:anchor="fn38">
        <w:r>
          <w:rPr>
            <w:rFonts w:eastAsia="inter" w:cs="inter" w:ascii="inter" w:hAnsi="inter"/>
            <w:color w:val="#000"/>
            <w:u w:val="single"/>
            <w:vertAlign w:val="superscript"/>
          </w:rPr>
          <w:t xml:space="preserve">[38]</w:t>
        </w:r>
      </w:hyperlink>
      <w:bookmarkStart w:id="65" w:name="fnref13_4"/>
      <w:bookmarkEnd w:id="65"/>
      <w:hyperlink w:anchor="fn13">
        <w:r>
          <w:rPr>
            <w:rFonts w:eastAsia="inter" w:cs="inter" w:ascii="inter" w:hAnsi="inter"/>
            <w:color w:val="#000"/>
            <w:u w:val="single"/>
            <w:vertAlign w:val="superscript"/>
          </w:rPr>
          <w:t xml:space="preserve">[13]</w:t>
        </w:r>
      </w:hyperlink>
    </w:p>
    <w:p>
      <w:pPr>
        <w:spacing w:line="360" w:after="210" w:lineRule="auto"/>
      </w:pPr>
      <w:r>
        <w:rPr>
          <w:rFonts w:eastAsia="inter" w:cs="inter" w:ascii="inter" w:hAnsi="inter"/>
          <w:i/>
          <w:color w:val="000000"/>
        </w:rPr>
        <w:t xml:space="preserve">Housing Components</w:t>
      </w:r>
      <w:r>
        <w:rPr>
          <w:rFonts w:eastAsia="inter" w:cs="inter" w:ascii="inter" w:hAnsi="inter"/>
          <w:color w:val="000000"/>
        </w:rPr>
        <w:t xml:space="preserve">: Plastic housings utilize injection molding, a high-fixed-cost, low-variable-cost process ideal for mass production. Thermoplastic resins (typically ABS plastic or polycarbonate with heat deflection temperatures exceeding 100°C) are heated to molten states and injected under pressure into precision molds. Initial mold fabrication costs range from USD 10,000-50,000 depending on complexity, but per-unit material costs decrease to USD 0.50-2.00 at production volumes exceeding 10,000 units annually. This cost structure creates substantial economies of scale, explaining why established manufacturers with high-volume production maintain significant cost advantages over smaller competitors.</w:t>
      </w:r>
      <w:bookmarkStart w:id="66" w:name="fnref14_2"/>
      <w:bookmarkEnd w:id="66"/>
      <w:hyperlink w:anchor="fn14">
        <w:r>
          <w:rPr>
            <w:rFonts w:eastAsia="inter" w:cs="inter" w:ascii="inter" w:hAnsi="inter"/>
            <w:color w:val="#000"/>
            <w:u w:val="single"/>
            <w:vertAlign w:val="superscript"/>
          </w:rPr>
          <w:t xml:space="preserve">[14]</w:t>
        </w:r>
      </w:hyperlink>
      <w:bookmarkStart w:id="67" w:name="fnref39"/>
      <w:bookmarkEnd w:id="67"/>
      <w:hyperlink w:anchor="fn39">
        <w:r>
          <w:rPr>
            <w:rFonts w:eastAsia="inter" w:cs="inter" w:ascii="inter" w:hAnsi="inter"/>
            <w:color w:val="#000"/>
            <w:u w:val="single"/>
            <w:vertAlign w:val="superscript"/>
          </w:rPr>
          <w:t xml:space="preserve">[39]</w:t>
        </w:r>
      </w:hyperlink>
      <w:bookmarkStart w:id="68" w:name="fnref34_1"/>
      <w:bookmarkEnd w:id="68"/>
      <w:hyperlink w:anchor="fn34">
        <w:r>
          <w:rPr>
            <w:rFonts w:eastAsia="inter" w:cs="inter" w:ascii="inter" w:hAnsi="inter"/>
            <w:color w:val="#000"/>
            <w:u w:val="single"/>
            <w:vertAlign w:val="superscript"/>
          </w:rPr>
          <w:t xml:space="preserve">[34]</w:t>
        </w:r>
      </w:hyperlink>
      <w:bookmarkStart w:id="69" w:name="fnref13_5"/>
      <w:bookmarkEnd w:id="69"/>
      <w:hyperlink w:anchor="fn13">
        <w:r>
          <w:rPr>
            <w:rFonts w:eastAsia="inter" w:cs="inter" w:ascii="inter" w:hAnsi="inter"/>
            <w:color w:val="#000"/>
            <w:u w:val="single"/>
            <w:vertAlign w:val="superscript"/>
          </w:rPr>
          <w:t xml:space="preserve">[13]</w:t>
        </w:r>
      </w:hyperlink>
    </w:p>
    <w:p>
      <w:pPr>
        <w:spacing w:line="360" w:after="210" w:lineRule="auto"/>
      </w:pPr>
      <w:r>
        <w:rPr>
          <w:rFonts w:eastAsia="inter" w:cs="inter" w:ascii="inter" w:hAnsi="inter"/>
          <w:color w:val="000000"/>
        </w:rPr>
        <w:t xml:space="preserve">Metal components (aluminum heat sinks, titanium plates) undergo stamping or CNC machining processes. Titanium, despite superior thermal properties, costs 3-5x more than aluminum and requires specialized machining tools due to its hardness, explaining its concentration in premium market segments.</w:t>
      </w:r>
      <w:bookmarkStart w:id="70" w:name="fnref39_1"/>
      <w:bookmarkEnd w:id="70"/>
      <w:hyperlink w:anchor="fn39">
        <w:r>
          <w:rPr>
            <w:rFonts w:eastAsia="inter" w:cs="inter" w:ascii="inter" w:hAnsi="inter"/>
            <w:color w:val="#000"/>
            <w:u w:val="single"/>
            <w:vertAlign w:val="superscript"/>
          </w:rPr>
          <w:t xml:space="preserve">[39]</w:t>
        </w:r>
      </w:hyperlink>
      <w:bookmarkStart w:id="71" w:name="fnref13_6"/>
      <w:bookmarkEnd w:id="71"/>
      <w:hyperlink w:anchor="fn13">
        <w:r>
          <w:rPr>
            <w:rFonts w:eastAsia="inter" w:cs="inter" w:ascii="inter" w:hAnsi="inter"/>
            <w:color w:val="#000"/>
            <w:u w:val="single"/>
            <w:vertAlign w:val="superscript"/>
          </w:rPr>
          <w:t xml:space="preserve">[13]</w:t>
        </w:r>
      </w:hyperlink>
      <w:bookmarkStart w:id="72" w:name="fnref14_3"/>
      <w:bookmarkEnd w:id="72"/>
      <w:hyperlink w:anchor="fn14">
        <w:r>
          <w:rPr>
            <w:rFonts w:eastAsia="inter" w:cs="inter" w:ascii="inter" w:hAnsi="inter"/>
            <w:color w:val="#000"/>
            <w:u w:val="single"/>
            <w:vertAlign w:val="superscript"/>
          </w:rPr>
          <w:t xml:space="preserve">[14]</w:t>
        </w:r>
      </w:hyperlink>
    </w:p>
    <w:p>
      <w:pPr>
        <w:spacing w:line="360" w:after="210" w:lineRule="auto"/>
      </w:pPr>
      <w:r>
        <w:rPr>
          <w:rFonts w:eastAsia="inter" w:cs="inter" w:ascii="inter" w:hAnsi="inter"/>
          <w:i/>
          <w:color w:val="000000"/>
        </w:rPr>
        <w:t xml:space="preserve">Electrical Systems</w:t>
      </w:r>
      <w:r>
        <w:rPr>
          <w:rFonts w:eastAsia="inter" w:cs="inter" w:ascii="inter" w:hAnsi="inter"/>
          <w:color w:val="000000"/>
        </w:rPr>
        <w:t xml:space="preserve">: Temperature control circuitry comprises printed circuit boards (PCBs) with microcontrollers, temperature sensors (thermistors or thermocouples), and power regulation components. PCB assembly increasingly utilizes surface-mount technology (SMT) with automated pick-and-place machines capable of positioning 20,000+ components per hour. This automation has reduced labor costs per unit from approximately USD 2.50 in 2010 to USD 0.40 in 2024 for mid-range models.</w:t>
      </w:r>
      <w:bookmarkStart w:id="73" w:name="fnref40"/>
      <w:bookmarkEnd w:id="73"/>
      <w:hyperlink w:anchor="fn40">
        <w:r>
          <w:rPr>
            <w:rFonts w:eastAsia="inter" w:cs="inter" w:ascii="inter" w:hAnsi="inter"/>
            <w:color w:val="#000"/>
            <w:u w:val="single"/>
            <w:vertAlign w:val="superscript"/>
          </w:rPr>
          <w:t xml:space="preserve">[40]</w:t>
        </w:r>
      </w:hyperlink>
      <w:bookmarkStart w:id="74" w:name="fnref37_1"/>
      <w:bookmarkEnd w:id="74"/>
      <w:hyperlink w:anchor="fn37">
        <w:r>
          <w:rPr>
            <w:rFonts w:eastAsia="inter" w:cs="inter" w:ascii="inter" w:hAnsi="inter"/>
            <w:color w:val="#000"/>
            <w:u w:val="single"/>
            <w:vertAlign w:val="superscript"/>
          </w:rPr>
          <w:t xml:space="preserve">[37]</w:t>
        </w:r>
      </w:hyperlink>
      <w:bookmarkStart w:id="75" w:name="fnref41"/>
      <w:bookmarkEnd w:id="75"/>
      <w:hyperlink w:anchor="fn41">
        <w:r>
          <w:rPr>
            <w:rFonts w:eastAsia="inter" w:cs="inter" w:ascii="inter" w:hAnsi="inter"/>
            <w:color w:val="#000"/>
            <w:u w:val="single"/>
            <w:vertAlign w:val="superscript"/>
          </w:rPr>
          <w:t xml:space="preserve">[41]</w:t>
        </w:r>
      </w:hyperlink>
      <w:bookmarkStart w:id="76" w:name="fnref13_7"/>
      <w:bookmarkEnd w:id="76"/>
      <w:hyperlink w:anchor="fn13">
        <w:r>
          <w:rPr>
            <w:rFonts w:eastAsia="inter" w:cs="inter" w:ascii="inter" w:hAnsi="inter"/>
            <w:color w:val="#000"/>
            <w:u w:val="single"/>
            <w:vertAlign w:val="superscript"/>
          </w:rPr>
          <w:t xml:space="preserve">[13]</w:t>
        </w:r>
      </w:hyperlink>
    </w:p>
    <w:p>
      <w:pPr>
        <w:spacing w:line="360" w:after="210" w:lineRule="auto"/>
      </w:pPr>
      <w:r>
        <w:rPr>
          <w:rFonts w:eastAsia="inter" w:cs="inter" w:ascii="inter" w:hAnsi="inter"/>
          <w:b/>
          <w:color w:val="000000"/>
        </w:rPr>
        <w:t xml:space="preserve">Stage 3: Final Assembly</w:t>
      </w:r>
    </w:p>
    <w:p>
      <w:pPr>
        <w:spacing w:line="360" w:after="210" w:lineRule="auto"/>
      </w:pPr>
      <w:r>
        <w:rPr>
          <w:rFonts w:eastAsia="inter" w:cs="inter" w:ascii="inter" w:hAnsi="inter"/>
          <w:color w:val="000000"/>
        </w:rPr>
        <w:t xml:space="preserve">Assembly lines integrate manufactured components through a combination of automated and manual processes. Typical workflow sequences include:</w:t>
      </w:r>
      <w:bookmarkStart w:id="77" w:name="fnref42"/>
      <w:bookmarkEnd w:id="77"/>
      <w:hyperlink w:anchor="fn42">
        <w:r>
          <w:rPr>
            <w:rFonts w:eastAsia="inter" w:cs="inter" w:ascii="inter" w:hAnsi="inter"/>
            <w:color w:val="#000"/>
            <w:u w:val="single"/>
            <w:vertAlign w:val="superscript"/>
          </w:rPr>
          <w:t xml:space="preserve">[42]</w:t>
        </w:r>
      </w:hyperlink>
      <w:bookmarkStart w:id="78" w:name="fnref13_8"/>
      <w:bookmarkEnd w:id="78"/>
      <w:hyperlink w:anchor="fn13">
        <w:r>
          <w:rPr>
            <w:rFonts w:eastAsia="inter" w:cs="inter" w:ascii="inter" w:hAnsi="inter"/>
            <w:color w:val="#000"/>
            <w:u w:val="single"/>
            <w:vertAlign w:val="superscript"/>
          </w:rPr>
          <w:t xml:space="preserve">[13]</w:t>
        </w:r>
      </w:hyperlink>
    </w:p>
    <w:p>
      <w:pPr>
        <w:numPr>
          <w:ilvl w:val="0"/>
          <w:numId w:val="12"/>
        </w:numPr>
        <w:spacing w:line="360" w:before="105" w:after="105" w:lineRule="auto"/>
      </w:pPr>
      <w:r>
        <w:rPr>
          <w:rFonts w:eastAsia="inter" w:cs="inter" w:ascii="inter" w:hAnsi="inter"/>
          <w:color w:val="000000"/>
          <w:sz w:val="21"/>
        </w:rPr>
        <w:t xml:space="preserve">Housing insertion of heating elements and electrical components</w:t>
      </w:r>
    </w:p>
    <w:p>
      <w:pPr>
        <w:numPr>
          <w:ilvl w:val="0"/>
          <w:numId w:val="12"/>
        </w:numPr>
        <w:spacing w:line="360" w:before="105" w:after="105" w:lineRule="auto"/>
      </w:pPr>
      <w:r>
        <w:rPr>
          <w:rFonts w:eastAsia="inter" w:cs="inter" w:ascii="inter" w:hAnsi="inter"/>
          <w:color w:val="000000"/>
          <w:sz w:val="21"/>
        </w:rPr>
        <w:t xml:space="preserve">Bristle attachment (either through injection molding or mechanical insertion)</w:t>
      </w:r>
      <w:bookmarkStart w:id="79" w:name="fnref43"/>
      <w:bookmarkEnd w:id="79"/>
      <w:hyperlink w:anchor="fn43">
        <w:r>
          <w:rPr>
            <w:rFonts w:eastAsia="inter" w:cs="inter" w:ascii="inter" w:hAnsi="inter"/>
            <w:color w:val="#000"/>
            <w:sz w:val="21"/>
            <w:u w:val="single"/>
            <w:vertAlign w:val="superscript"/>
          </w:rPr>
          <w:t xml:space="preserve">[43]</w:t>
        </w:r>
      </w:hyperlink>
      <w:bookmarkStart w:id="80" w:name="fnref12_3"/>
      <w:bookmarkEnd w:id="80"/>
      <w:hyperlink w:anchor="fn12">
        <w:r>
          <w:rPr>
            <w:rFonts w:eastAsia="inter" w:cs="inter" w:ascii="inter" w:hAnsi="inter"/>
            <w:color w:val="#000"/>
            <w:sz w:val="21"/>
            <w:u w:val="single"/>
            <w:vertAlign w:val="superscript"/>
          </w:rPr>
          <w:t xml:space="preserve">[12]</w:t>
        </w:r>
      </w:hyperlink>
    </w:p>
    <w:p>
      <w:pPr>
        <w:numPr>
          <w:ilvl w:val="0"/>
          <w:numId w:val="12"/>
        </w:numPr>
        <w:spacing w:line="360" w:before="105" w:after="105" w:lineRule="auto"/>
      </w:pPr>
      <w:r>
        <w:rPr>
          <w:rFonts w:eastAsia="inter" w:cs="inter" w:ascii="inter" w:hAnsi="inter"/>
          <w:color w:val="000000"/>
          <w:sz w:val="21"/>
        </w:rPr>
        <w:t xml:space="preserve">Wiring connection and soldering of electrical contacts</w:t>
      </w:r>
    </w:p>
    <w:p>
      <w:pPr>
        <w:numPr>
          <w:ilvl w:val="0"/>
          <w:numId w:val="12"/>
        </w:numPr>
        <w:spacing w:line="360" w:before="105" w:after="105" w:lineRule="auto"/>
      </w:pPr>
      <w:r>
        <w:rPr>
          <w:rFonts w:eastAsia="inter" w:cs="inter" w:ascii="inter" w:hAnsi="inter"/>
          <w:color w:val="000000"/>
          <w:sz w:val="21"/>
        </w:rPr>
        <w:t xml:space="preserve">Quality control testing (continuity checks, temperature calibration, safety grounding verification)</w:t>
      </w:r>
      <w:bookmarkStart w:id="81" w:name="fnref13_9"/>
      <w:bookmarkEnd w:id="81"/>
      <w:hyperlink w:anchor="fn13">
        <w:r>
          <w:rPr>
            <w:rFonts w:eastAsia="inter" w:cs="inter" w:ascii="inter" w:hAnsi="inter"/>
            <w:color w:val="#000"/>
            <w:sz w:val="21"/>
            <w:u w:val="single"/>
            <w:vertAlign w:val="superscript"/>
          </w:rPr>
          <w:t xml:space="preserve">[13]</w:t>
        </w:r>
      </w:hyperlink>
      <w:bookmarkStart w:id="82" w:name="fnref35_1"/>
      <w:bookmarkEnd w:id="82"/>
      <w:hyperlink w:anchor="fn35">
        <w:r>
          <w:rPr>
            <w:rFonts w:eastAsia="inter" w:cs="inter" w:ascii="inter" w:hAnsi="inter"/>
            <w:color w:val="#000"/>
            <w:sz w:val="21"/>
            <w:u w:val="single"/>
            <w:vertAlign w:val="superscript"/>
          </w:rPr>
          <w:t xml:space="preserve">[35]</w:t>
        </w:r>
      </w:hyperlink>
    </w:p>
    <w:p>
      <w:pPr>
        <w:numPr>
          <w:ilvl w:val="0"/>
          <w:numId w:val="12"/>
        </w:numPr>
        <w:spacing w:line="360" w:before="105" w:after="105" w:lineRule="auto"/>
      </w:pPr>
      <w:r>
        <w:rPr>
          <w:rFonts w:eastAsia="inter" w:cs="inter" w:ascii="inter" w:hAnsi="inter"/>
          <w:color w:val="000000"/>
          <w:sz w:val="21"/>
        </w:rPr>
        <w:t xml:space="preserve">Packaging with user manuals and accessories</w:t>
      </w:r>
    </w:p>
    <w:p>
      <w:pPr>
        <w:spacing w:line="360" w:after="210" w:lineRule="auto"/>
      </w:pPr>
      <w:r>
        <w:rPr>
          <w:rFonts w:eastAsia="inter" w:cs="inter" w:ascii="inter" w:hAnsi="inter"/>
          <w:color w:val="000000"/>
        </w:rPr>
        <w:t xml:space="preserve">Labor intensity varies significantly by price tier. Budget models (retail ≤USD 30) rely heavily on manual assembly in low-wage manufacturing zones, with labor costs comprising 20-30% of production expenses. Premium models increasingly incorporate automated assembly to ensure consistent build quality, reducing labor cost proportions to 8-12% but requiring capital investments of USD 500,000-2 million for automated production lines.</w:t>
      </w:r>
      <w:bookmarkStart w:id="83" w:name="fnref37_2"/>
      <w:bookmarkEnd w:id="83"/>
      <w:hyperlink w:anchor="fn37">
        <w:r>
          <w:rPr>
            <w:rFonts w:eastAsia="inter" w:cs="inter" w:ascii="inter" w:hAnsi="inter"/>
            <w:color w:val="#000"/>
            <w:u w:val="single"/>
            <w:vertAlign w:val="superscript"/>
          </w:rPr>
          <w:t xml:space="preserve">[37]</w:t>
        </w:r>
      </w:hyperlink>
      <w:bookmarkStart w:id="84" w:name="fnref34_2"/>
      <w:bookmarkEnd w:id="84"/>
      <w:hyperlink w:anchor="fn34">
        <w:r>
          <w:rPr>
            <w:rFonts w:eastAsia="inter" w:cs="inter" w:ascii="inter" w:hAnsi="inter"/>
            <w:color w:val="#000"/>
            <w:u w:val="single"/>
            <w:vertAlign w:val="superscript"/>
          </w:rPr>
          <w:t xml:space="preserve">[34]</w:t>
        </w:r>
      </w:hyperlink>
      <w:bookmarkStart w:id="85" w:name="fnref15_1"/>
      <w:bookmarkEnd w:id="85"/>
      <w:hyperlink w:anchor="fn15">
        <w:r>
          <w:rPr>
            <w:rFonts w:eastAsia="inter" w:cs="inter" w:ascii="inter" w:hAnsi="inter"/>
            <w:color w:val="#000"/>
            <w:u w:val="single"/>
            <w:vertAlign w:val="superscript"/>
          </w:rPr>
          <w:t xml:space="preserve">[15]</w:t>
        </w:r>
      </w:hyperlink>
      <w:bookmarkStart w:id="86" w:name="fnref41_1"/>
      <w:bookmarkEnd w:id="86"/>
      <w:hyperlink w:anchor="fn41">
        <w:r>
          <w:rPr>
            <w:rFonts w:eastAsia="inter" w:cs="inter" w:ascii="inter" w:hAnsi="inter"/>
            <w:color w:val="#000"/>
            <w:u w:val="single"/>
            <w:vertAlign w:val="superscript"/>
          </w:rPr>
          <w:t xml:space="preserve">[41]</w:t>
        </w:r>
      </w:hyperlink>
    </w:p>
    <w:p>
      <w:pPr>
        <w:spacing w:line="360" w:after="210" w:lineRule="auto"/>
      </w:pPr>
      <w:r>
        <w:rPr>
          <w:rFonts w:eastAsia="inter" w:cs="inter" w:ascii="inter" w:hAnsi="inter"/>
          <w:color w:val="000000"/>
        </w:rPr>
        <w:t xml:space="preserve">China dominates global production, accounting for 60-65% of worldwide output. This concentration reflects Marshallian industrial districts where external economies of scale (specialized labor pools, component supplier density, logistics infrastructure) reduce per-unit costs by an estimated 25-35% compared to dispersed production. Shenzhen and Guangdong provinces host integrated manufacturing ecosystems where a hair straightener producer can source electronics, plastics, and packaging within 50-kilometer radii, minimizing transportation costs and inventory holding periods.</w:t>
      </w:r>
      <w:bookmarkStart w:id="87" w:name="fnref44"/>
      <w:bookmarkEnd w:id="87"/>
      <w:hyperlink w:anchor="fn44">
        <w:r>
          <w:rPr>
            <w:rFonts w:eastAsia="inter" w:cs="inter" w:ascii="inter" w:hAnsi="inter"/>
            <w:color w:val="#000"/>
            <w:u w:val="single"/>
            <w:vertAlign w:val="superscript"/>
          </w:rPr>
          <w:t xml:space="preserve">[44]</w:t>
        </w:r>
      </w:hyperlink>
      <w:bookmarkStart w:id="88" w:name="fnref45"/>
      <w:bookmarkEnd w:id="88"/>
      <w:hyperlink w:anchor="fn45">
        <w:r>
          <w:rPr>
            <w:rFonts w:eastAsia="inter" w:cs="inter" w:ascii="inter" w:hAnsi="inter"/>
            <w:color w:val="#000"/>
            <w:u w:val="single"/>
            <w:vertAlign w:val="superscript"/>
          </w:rPr>
          <w:t xml:space="preserve">[45]</w:t>
        </w:r>
      </w:hyperlink>
      <w:bookmarkStart w:id="89" w:name="fnref46"/>
      <w:bookmarkEnd w:id="89"/>
      <w:hyperlink w:anchor="fn46">
        <w:r>
          <w:rPr>
            <w:rFonts w:eastAsia="inter" w:cs="inter" w:ascii="inter" w:hAnsi="inter"/>
            <w:color w:val="#000"/>
            <w:u w:val="single"/>
            <w:vertAlign w:val="superscript"/>
          </w:rPr>
          <w:t xml:space="preserve">[46]</w:t>
        </w:r>
      </w:hyperlink>
      <w:bookmarkStart w:id="90" w:name="fnref36_1"/>
      <w:bookmarkEnd w:id="90"/>
      <w:hyperlink w:anchor="fn36">
        <w:r>
          <w:rPr>
            <w:rFonts w:eastAsia="inter" w:cs="inter" w:ascii="inter" w:hAnsi="inter"/>
            <w:color w:val="#000"/>
            <w:u w:val="single"/>
            <w:vertAlign w:val="superscript"/>
          </w:rPr>
          <w:t xml:space="preserve">[36]</w:t>
        </w:r>
      </w:hyperlink>
      <w:bookmarkStart w:id="91" w:name="fnref37_3"/>
      <w:bookmarkEnd w:id="91"/>
      <w:hyperlink w:anchor="fn37">
        <w:r>
          <w:rPr>
            <w:rFonts w:eastAsia="inter" w:cs="inter" w:ascii="inter" w:hAnsi="inter"/>
            <w:color w:val="#000"/>
            <w:u w:val="single"/>
            <w:vertAlign w:val="superscript"/>
          </w:rPr>
          <w:t xml:space="preserve">[37]</w:t>
        </w:r>
      </w:hyperlink>
    </w:p>
    <w:p>
      <w:pPr>
        <w:spacing w:line="360" w:before="315" w:after="105" w:lineRule="auto"/>
        <w:ind w:left="-30"/>
        <w:jc w:val="left"/>
      </w:pPr>
      <w:bookmarkStart w:id="92" w:name="heating_technology_comparative_analysis"/>
      <w:r>
        <w:rPr>
          <w:rFonts w:eastAsia="inter" w:cs="inter" w:ascii="inter" w:hAnsi="inter"/>
          <w:b/>
          <w:color w:val="000000"/>
          <w:sz w:val="24"/>
        </w:rPr>
        <w:t xml:space="preserve">Heating Technology: Comparative Analysis</w:t>
      </w:r>
      <w:bookmarkEnd w:id="92"/>
    </w:p>
    <w:p>
      <w:pPr>
        <w:spacing w:line="360" w:after="210" w:lineRule="auto"/>
      </w:pPr>
      <w:r>
        <w:rPr>
          <w:rFonts w:eastAsia="inter" w:cs="inter" w:ascii="inter" w:hAnsi="inter"/>
          <w:color w:val="000000"/>
        </w:rPr>
        <w:t xml:space="preserve">Heating technology represents the core functional component differentiating product performance and determining production costs. Three dominant technologies compete in contemporary markets, each with distinct technical characteristics and economic implications.</w:t>
      </w:r>
    </w:p>
    <w:p>
      <w:pPr>
        <w:spacing w:lineRule="auto"/>
      </w:pPr>
      <w:r>
        <w:rPr/>
        <w:t xml:space="preserve"/>
      </w:r>
    </w:p>
    <w:p>
      <w:pPr>
        <w:spacing w:line="360" w:after="210" w:lineRule="auto"/>
      </w:pPr>
      <w:r>
        <w:rPr>
          <w:rFonts w:eastAsia="inter" w:cs="inter" w:ascii="inter" w:hAnsi="inter"/>
          <w:color w:val="000000"/>
        </w:rPr>
        <w:t xml:space="preserve">The production function illustrates the fundamental microeconomic principle of diminishing marginal returns in manufacturing: total output initially increases at an accelerating rate as workers specialize, but beyond 4 workers (with fixed capital), marginal productivity declines due to overcrowding and resource constraints.</w:t>
      </w:r>
    </w:p>
    <w:p>
      <w:pPr>
        <w:spacing w:line="360" w:after="210" w:lineRule="auto"/>
      </w:pPr>
      <w:r>
        <w:rPr>
          <w:rFonts w:eastAsia="inter" w:cs="inter" w:ascii="inter" w:hAnsi="inter"/>
          <w:b/>
          <w:color w:val="000000"/>
        </w:rPr>
        <w:t xml:space="preserve">Conventional Resistance Heating</w:t>
      </w:r>
    </w:p>
    <w:p>
      <w:pPr>
        <w:spacing w:line="360" w:after="210" w:lineRule="auto"/>
      </w:pPr>
      <w:r>
        <w:rPr>
          <w:rFonts w:eastAsia="inter" w:cs="inter" w:ascii="inter" w:hAnsi="inter"/>
          <w:color w:val="000000"/>
        </w:rPr>
        <w:t xml:space="preserve">Traditional metal coil heating elements pass electrical current through high-resistance wires (typically nichrome alloys), converting electrical energy to thermal energy through Joule heating. These systems are characterized by:</w:t>
      </w:r>
      <w:bookmarkStart w:id="93" w:name="fnref40_1"/>
      <w:bookmarkEnd w:id="93"/>
      <w:hyperlink w:anchor="fn40">
        <w:r>
          <w:rPr>
            <w:rFonts w:eastAsia="inter" w:cs="inter" w:ascii="inter" w:hAnsi="inter"/>
            <w:color w:val="#000"/>
            <w:u w:val="single"/>
            <w:vertAlign w:val="superscript"/>
          </w:rPr>
          <w:t xml:space="preserve">[40]</w:t>
        </w:r>
      </w:hyperlink>
    </w:p>
    <w:p>
      <w:pPr>
        <w:numPr>
          <w:ilvl w:val="0"/>
          <w:numId w:val="13"/>
        </w:numPr>
        <w:spacing w:line="360" w:before="105" w:after="105" w:lineRule="auto"/>
      </w:pPr>
      <w:r>
        <w:rPr>
          <w:rFonts w:eastAsia="inter" w:cs="inter" w:ascii="inter" w:hAnsi="inter"/>
          <w:b/>
          <w:color w:val="000000"/>
          <w:sz w:val="21"/>
        </w:rPr>
        <w:t xml:space="preserve">Low capital costs</w:t>
      </w:r>
      <w:r>
        <w:rPr>
          <w:rFonts w:eastAsia="inter" w:cs="inter" w:ascii="inter" w:hAnsi="inter"/>
          <w:color w:val="000000"/>
          <w:sz w:val="21"/>
        </w:rPr>
        <w:t xml:space="preserve">: Manufacturing requires only wire forming and insulation, with per-unit costs of USD 1.50-3.00</w:t>
      </w:r>
      <w:bookmarkStart w:id="94" w:name="fnref15_2"/>
      <w:bookmarkEnd w:id="94"/>
      <w:hyperlink w:anchor="fn15">
        <w:r>
          <w:rPr>
            <w:rFonts w:eastAsia="inter" w:cs="inter" w:ascii="inter" w:hAnsi="inter"/>
            <w:color w:val="#000"/>
            <w:sz w:val="21"/>
            <w:u w:val="single"/>
            <w:vertAlign w:val="superscript"/>
          </w:rPr>
          <w:t xml:space="preserve">[15]</w:t>
        </w:r>
      </w:hyperlink>
    </w:p>
    <w:p>
      <w:pPr>
        <w:numPr>
          <w:ilvl w:val="0"/>
          <w:numId w:val="13"/>
        </w:numPr>
        <w:spacing w:line="360" w:before="105" w:after="105" w:lineRule="auto"/>
      </w:pPr>
      <w:r>
        <w:rPr>
          <w:rFonts w:eastAsia="inter" w:cs="inter" w:ascii="inter" w:hAnsi="inter"/>
          <w:b/>
          <w:color w:val="000000"/>
          <w:sz w:val="21"/>
        </w:rPr>
        <w:t xml:space="preserve">Temperature instability</w:t>
      </w:r>
      <w:r>
        <w:rPr>
          <w:rFonts w:eastAsia="inter" w:cs="inter" w:ascii="inter" w:hAnsi="inter"/>
          <w:color w:val="000000"/>
          <w:sz w:val="21"/>
        </w:rPr>
        <w:t xml:space="preserve">: Resistance varies minimally with temperature, requiring external thermostats that add USD 2-4 in components plus complexity</w:t>
      </w:r>
      <w:bookmarkStart w:id="95" w:name="fnref17_1"/>
      <w:bookmarkEnd w:id="95"/>
      <w:hyperlink w:anchor="fn17">
        <w:r>
          <w:rPr>
            <w:rFonts w:eastAsia="inter" w:cs="inter" w:ascii="inter" w:hAnsi="inter"/>
            <w:color w:val="#000"/>
            <w:sz w:val="21"/>
            <w:u w:val="single"/>
            <w:vertAlign w:val="superscript"/>
          </w:rPr>
          <w:t xml:space="preserve">[17]</w:t>
        </w:r>
      </w:hyperlink>
      <w:bookmarkStart w:id="96" w:name="fnref40_2"/>
      <w:bookmarkEnd w:id="96"/>
      <w:hyperlink w:anchor="fn40">
        <w:r>
          <w:rPr>
            <w:rFonts w:eastAsia="inter" w:cs="inter" w:ascii="inter" w:hAnsi="inter"/>
            <w:color w:val="#000"/>
            <w:sz w:val="21"/>
            <w:u w:val="single"/>
            <w:vertAlign w:val="superscript"/>
          </w:rPr>
          <w:t xml:space="preserve">[40]</w:t>
        </w:r>
      </w:hyperlink>
    </w:p>
    <w:p>
      <w:pPr>
        <w:numPr>
          <w:ilvl w:val="0"/>
          <w:numId w:val="13"/>
        </w:numPr>
        <w:spacing w:line="360" w:before="105" w:after="105" w:lineRule="auto"/>
      </w:pPr>
      <w:r>
        <w:rPr>
          <w:rFonts w:eastAsia="inter" w:cs="inter" w:ascii="inter" w:hAnsi="inter"/>
          <w:b/>
          <w:color w:val="000000"/>
          <w:sz w:val="21"/>
        </w:rPr>
        <w:t xml:space="preserve">Higher energy consumption</w:t>
      </w:r>
      <w:r>
        <w:rPr>
          <w:rFonts w:eastAsia="inter" w:cs="inter" w:ascii="inter" w:hAnsi="inter"/>
          <w:color w:val="000000"/>
          <w:sz w:val="21"/>
        </w:rPr>
        <w:t xml:space="preserve">: Continuous power draw of 40-60 watts to maintain target temperatures</w:t>
      </w:r>
      <w:bookmarkStart w:id="97" w:name="fnref47"/>
      <w:bookmarkEnd w:id="97"/>
      <w:hyperlink w:anchor="fn47">
        <w:r>
          <w:rPr>
            <w:rFonts w:eastAsia="inter" w:cs="inter" w:ascii="inter" w:hAnsi="inter"/>
            <w:color w:val="#000"/>
            <w:sz w:val="21"/>
            <w:u w:val="single"/>
            <w:vertAlign w:val="superscript"/>
          </w:rPr>
          <w:t xml:space="preserve">[47]</w:t>
        </w:r>
      </w:hyperlink>
      <w:bookmarkStart w:id="98" w:name="fnref48"/>
      <w:bookmarkEnd w:id="98"/>
      <w:hyperlink w:anchor="fn48">
        <w:r>
          <w:rPr>
            <w:rFonts w:eastAsia="inter" w:cs="inter" w:ascii="inter" w:hAnsi="inter"/>
            <w:color w:val="#000"/>
            <w:sz w:val="21"/>
            <w:u w:val="single"/>
            <w:vertAlign w:val="superscript"/>
          </w:rPr>
          <w:t xml:space="preserve">[48]</w:t>
        </w:r>
      </w:hyperlink>
    </w:p>
    <w:p>
      <w:pPr>
        <w:numPr>
          <w:ilvl w:val="0"/>
          <w:numId w:val="13"/>
        </w:numPr>
        <w:spacing w:line="360" w:before="105" w:after="105" w:lineRule="auto"/>
      </w:pPr>
      <w:r>
        <w:rPr>
          <w:rFonts w:eastAsia="inter" w:cs="inter" w:ascii="inter" w:hAnsi="inter"/>
          <w:b/>
          <w:color w:val="000000"/>
          <w:sz w:val="21"/>
        </w:rPr>
        <w:t xml:space="preserve">Market positioning</w:t>
      </w:r>
      <w:r>
        <w:rPr>
          <w:rFonts w:eastAsia="inter" w:cs="inter" w:ascii="inter" w:hAnsi="inter"/>
          <w:color w:val="000000"/>
          <w:sz w:val="21"/>
        </w:rPr>
        <w:t xml:space="preserve">: Restricted primarily to budget segments (retail &lt;USD 25) due to inferior temperature control</w:t>
      </w:r>
      <w:bookmarkStart w:id="99" w:name="fnref49"/>
      <w:bookmarkEnd w:id="99"/>
      <w:hyperlink w:anchor="fn49">
        <w:r>
          <w:rPr>
            <w:rFonts w:eastAsia="inter" w:cs="inter" w:ascii="inter" w:hAnsi="inter"/>
            <w:color w:val="#000"/>
            <w:sz w:val="21"/>
            <w:u w:val="single"/>
            <w:vertAlign w:val="superscript"/>
          </w:rPr>
          <w:t xml:space="preserve">[49]</w:t>
        </w:r>
      </w:hyperlink>
      <w:bookmarkStart w:id="100" w:name="fnref15_3"/>
      <w:bookmarkEnd w:id="100"/>
      <w:hyperlink w:anchor="fn15">
        <w:r>
          <w:rPr>
            <w:rFonts w:eastAsia="inter" w:cs="inter" w:ascii="inter" w:hAnsi="inter"/>
            <w:color w:val="#000"/>
            <w:sz w:val="21"/>
            <w:u w:val="single"/>
            <w:vertAlign w:val="superscript"/>
          </w:rPr>
          <w:t xml:space="preserve">[15]</w:t>
        </w:r>
      </w:hyperlink>
    </w:p>
    <w:p>
      <w:pPr>
        <w:spacing w:line="360" w:after="210" w:lineRule="auto"/>
      </w:pPr>
      <w:r>
        <w:rPr>
          <w:rFonts w:eastAsia="inter" w:cs="inter" w:ascii="inter" w:hAnsi="inter"/>
          <w:b/>
          <w:color w:val="000000"/>
        </w:rPr>
        <w:t xml:space="preserve">Ceramic Heating Technology</w:t>
      </w:r>
    </w:p>
    <w:p>
      <w:pPr>
        <w:spacing w:line="360" w:after="210" w:lineRule="auto"/>
      </w:pPr>
      <w:r>
        <w:rPr>
          <w:rFonts w:eastAsia="inter" w:cs="inter" w:ascii="inter" w:hAnsi="inter"/>
          <w:color w:val="000000"/>
        </w:rPr>
        <w:t xml:space="preserve">Ceramic heating systems utilize either solid ceramic heating elements or ceramic-coated metal plates. Benefits include:</w:t>
      </w:r>
      <w:bookmarkStart w:id="101" w:name="fnref13_10"/>
      <w:bookmarkEnd w:id="101"/>
      <w:hyperlink w:anchor="fn13">
        <w:r>
          <w:rPr>
            <w:rFonts w:eastAsia="inter" w:cs="inter" w:ascii="inter" w:hAnsi="inter"/>
            <w:color w:val="#000"/>
            <w:u w:val="single"/>
            <w:vertAlign w:val="superscript"/>
          </w:rPr>
          <w:t xml:space="preserve">[13]</w:t>
        </w:r>
      </w:hyperlink>
      <w:bookmarkStart w:id="102" w:name="fnref14_4"/>
      <w:bookmarkEnd w:id="102"/>
      <w:hyperlink w:anchor="fn14">
        <w:r>
          <w:rPr>
            <w:rFonts w:eastAsia="inter" w:cs="inter" w:ascii="inter" w:hAnsi="inter"/>
            <w:color w:val="#000"/>
            <w:u w:val="single"/>
            <w:vertAlign w:val="superscript"/>
          </w:rPr>
          <w:t xml:space="preserve">[14]</w:t>
        </w:r>
      </w:hyperlink>
    </w:p>
    <w:p>
      <w:pPr>
        <w:numPr>
          <w:ilvl w:val="0"/>
          <w:numId w:val="14"/>
        </w:numPr>
        <w:spacing w:line="360" w:before="105" w:after="105" w:lineRule="auto"/>
      </w:pPr>
      <w:r>
        <w:rPr>
          <w:rFonts w:eastAsia="inter" w:cs="inter" w:ascii="inter" w:hAnsi="inter"/>
          <w:b/>
          <w:color w:val="000000"/>
          <w:sz w:val="21"/>
        </w:rPr>
        <w:t xml:space="preserve">Even heat distribution</w:t>
      </w:r>
      <w:r>
        <w:rPr>
          <w:rFonts w:eastAsia="inter" w:cs="inter" w:ascii="inter" w:hAnsi="inter"/>
          <w:color w:val="000000"/>
          <w:sz w:val="21"/>
        </w:rPr>
        <w:t xml:space="preserve">: Ceramic's thermal conductivity (2-3 W/m·K) spreads heat across broader surface areas, reducing hot spots by 40-50% versus metal coils</w:t>
      </w:r>
      <w:bookmarkStart w:id="103" w:name="fnref13_11"/>
      <w:bookmarkEnd w:id="103"/>
      <w:hyperlink w:anchor="fn13">
        <w:r>
          <w:rPr>
            <w:rFonts w:eastAsia="inter" w:cs="inter" w:ascii="inter" w:hAnsi="inter"/>
            <w:color w:val="#000"/>
            <w:sz w:val="21"/>
            <w:u w:val="single"/>
            <w:vertAlign w:val="superscript"/>
          </w:rPr>
          <w:t xml:space="preserve">[13]</w:t>
        </w:r>
      </w:hyperlink>
    </w:p>
    <w:p>
      <w:pPr>
        <w:numPr>
          <w:ilvl w:val="0"/>
          <w:numId w:val="14"/>
        </w:numPr>
        <w:spacing w:line="360" w:before="105" w:after="105" w:lineRule="auto"/>
      </w:pPr>
      <w:r>
        <w:rPr>
          <w:rFonts w:eastAsia="inter" w:cs="inter" w:ascii="inter" w:hAnsi="inter"/>
          <w:b/>
          <w:color w:val="000000"/>
          <w:sz w:val="21"/>
        </w:rPr>
        <w:t xml:space="preserve">Infrared emission</w:t>
      </w:r>
      <w:r>
        <w:rPr>
          <w:rFonts w:eastAsia="inter" w:cs="inter" w:ascii="inter" w:hAnsi="inter"/>
          <w:color w:val="000000"/>
          <w:sz w:val="21"/>
        </w:rPr>
        <w:t xml:space="preserve">: Ceramic radiates infrared wavelengths that penetrate hair shafts, reducing required surface temperatures from 200-230°C to 180-200°C for equivalent styling results</w:t>
      </w:r>
      <w:bookmarkStart w:id="104" w:name="fnref16_2"/>
      <w:bookmarkEnd w:id="104"/>
      <w:hyperlink w:anchor="fn16">
        <w:r>
          <w:rPr>
            <w:rFonts w:eastAsia="inter" w:cs="inter" w:ascii="inter" w:hAnsi="inter"/>
            <w:color w:val="#000"/>
            <w:sz w:val="21"/>
            <w:u w:val="single"/>
            <w:vertAlign w:val="superscript"/>
          </w:rPr>
          <w:t xml:space="preserve">[16]</w:t>
        </w:r>
      </w:hyperlink>
    </w:p>
    <w:p>
      <w:pPr>
        <w:numPr>
          <w:ilvl w:val="0"/>
          <w:numId w:val="14"/>
        </w:numPr>
        <w:spacing w:line="360" w:before="105" w:after="105" w:lineRule="auto"/>
      </w:pPr>
      <w:r>
        <w:rPr>
          <w:rFonts w:eastAsia="inter" w:cs="inter" w:ascii="inter" w:hAnsi="inter"/>
          <w:b/>
          <w:color w:val="000000"/>
          <w:sz w:val="21"/>
        </w:rPr>
        <w:t xml:space="preserve">Moderate cost</w:t>
      </w:r>
      <w:r>
        <w:rPr>
          <w:rFonts w:eastAsia="inter" w:cs="inter" w:ascii="inter" w:hAnsi="inter"/>
          <w:color w:val="000000"/>
          <w:sz w:val="21"/>
        </w:rPr>
        <w:t xml:space="preserve">: Per-unit manufacturing costs of USD 4-8 depending on plate size and coating quality</w:t>
      </w:r>
      <w:bookmarkStart w:id="105" w:name="fnref15_4"/>
      <w:bookmarkEnd w:id="105"/>
      <w:hyperlink w:anchor="fn15">
        <w:r>
          <w:rPr>
            <w:rFonts w:eastAsia="inter" w:cs="inter" w:ascii="inter" w:hAnsi="inter"/>
            <w:color w:val="#000"/>
            <w:sz w:val="21"/>
            <w:u w:val="single"/>
            <w:vertAlign w:val="superscript"/>
          </w:rPr>
          <w:t xml:space="preserve">[15]</w:t>
        </w:r>
      </w:hyperlink>
      <w:bookmarkStart w:id="106" w:name="fnref13_12"/>
      <w:bookmarkEnd w:id="106"/>
      <w:hyperlink w:anchor="fn13">
        <w:r>
          <w:rPr>
            <w:rFonts w:eastAsia="inter" w:cs="inter" w:ascii="inter" w:hAnsi="inter"/>
            <w:color w:val="#000"/>
            <w:sz w:val="21"/>
            <w:u w:val="single"/>
            <w:vertAlign w:val="superscript"/>
          </w:rPr>
          <w:t xml:space="preserve">[13]</w:t>
        </w:r>
      </w:hyperlink>
    </w:p>
    <w:p>
      <w:pPr>
        <w:numPr>
          <w:ilvl w:val="0"/>
          <w:numId w:val="14"/>
        </w:numPr>
        <w:spacing w:line="360" w:before="105" w:after="105" w:lineRule="auto"/>
      </w:pPr>
      <w:r>
        <w:rPr>
          <w:rFonts w:eastAsia="inter" w:cs="inter" w:ascii="inter" w:hAnsi="inter"/>
          <w:b/>
          <w:color w:val="000000"/>
          <w:sz w:val="21"/>
        </w:rPr>
        <w:t xml:space="preserve">Market penetration</w:t>
      </w:r>
      <w:r>
        <w:rPr>
          <w:rFonts w:eastAsia="inter" w:cs="inter" w:ascii="inter" w:hAnsi="inter"/>
          <w:color w:val="000000"/>
          <w:sz w:val="21"/>
        </w:rPr>
        <w:t xml:space="preserve">: Dominates mid-range segment (USD 30-120 retail), comprising approximately 55% of unit sales globally</w:t>
      </w:r>
      <w:bookmarkStart w:id="107" w:name="fnref23_1"/>
      <w:bookmarkEnd w:id="107"/>
      <w:hyperlink w:anchor="fn23">
        <w:r>
          <w:rPr>
            <w:rFonts w:eastAsia="inter" w:cs="inter" w:ascii="inter" w:hAnsi="inter"/>
            <w:color w:val="#000"/>
            <w:sz w:val="21"/>
            <w:u w:val="single"/>
            <w:vertAlign w:val="superscript"/>
          </w:rPr>
          <w:t xml:space="preserve">[23]</w:t>
        </w:r>
      </w:hyperlink>
      <w:bookmarkStart w:id="108" w:name="fnref15_5"/>
      <w:bookmarkEnd w:id="108"/>
      <w:hyperlink w:anchor="fn15">
        <w:r>
          <w:rPr>
            <w:rFonts w:eastAsia="inter" w:cs="inter" w:ascii="inter" w:hAnsi="inter"/>
            <w:color w:val="#000"/>
            <w:sz w:val="21"/>
            <w:u w:val="single"/>
            <w:vertAlign w:val="superscript"/>
          </w:rPr>
          <w:t xml:space="preserve">[15]</w:t>
        </w:r>
      </w:hyperlink>
    </w:p>
    <w:p>
      <w:pPr>
        <w:spacing w:line="360" w:after="210" w:lineRule="auto"/>
      </w:pPr>
      <w:r>
        <w:rPr>
          <w:rFonts w:eastAsia="inter" w:cs="inter" w:ascii="inter" w:hAnsi="inter"/>
          <w:b/>
          <w:color w:val="000000"/>
        </w:rPr>
        <w:t xml:space="preserve">PTC Self-Regulating Ceramic</w:t>
      </w:r>
    </w:p>
    <w:p>
      <w:pPr>
        <w:spacing w:line="360" w:after="210" w:lineRule="auto"/>
      </w:pPr>
      <w:r>
        <w:rPr>
          <w:rFonts w:eastAsia="inter" w:cs="inter" w:ascii="inter" w:hAnsi="inter"/>
          <w:color w:val="000000"/>
        </w:rPr>
        <w:t xml:space="preserve">PTC (Positive Temperature Coefficient) heating elements employ ceramic semiconductors with crystalline structures exhibiting sharp resistance increases at Curie temperatures. Economic advantages include:</w:t>
      </w:r>
      <w:bookmarkStart w:id="109" w:name="fnref18_2"/>
      <w:bookmarkEnd w:id="109"/>
      <w:hyperlink w:anchor="fn18">
        <w:r>
          <w:rPr>
            <w:rFonts w:eastAsia="inter" w:cs="inter" w:ascii="inter" w:hAnsi="inter"/>
            <w:color w:val="#000"/>
            <w:u w:val="single"/>
            <w:vertAlign w:val="superscript"/>
          </w:rPr>
          <w:t xml:space="preserve">[18]</w:t>
        </w:r>
      </w:hyperlink>
      <w:bookmarkStart w:id="110" w:name="fnref19_2"/>
      <w:bookmarkEnd w:id="110"/>
      <w:hyperlink w:anchor="fn19">
        <w:r>
          <w:rPr>
            <w:rFonts w:eastAsia="inter" w:cs="inter" w:ascii="inter" w:hAnsi="inter"/>
            <w:color w:val="#000"/>
            <w:u w:val="single"/>
            <w:vertAlign w:val="superscript"/>
          </w:rPr>
          <w:t xml:space="preserve">[19]</w:t>
        </w:r>
      </w:hyperlink>
      <w:bookmarkStart w:id="111" w:name="fnref17_2"/>
      <w:bookmarkEnd w:id="111"/>
      <w:hyperlink w:anchor="fn17">
        <w:r>
          <w:rPr>
            <w:rFonts w:eastAsia="inter" w:cs="inter" w:ascii="inter" w:hAnsi="inter"/>
            <w:color w:val="#000"/>
            <w:u w:val="single"/>
            <w:vertAlign w:val="superscript"/>
          </w:rPr>
          <w:t xml:space="preserve">[17]</w:t>
        </w:r>
      </w:hyperlink>
    </w:p>
    <w:p>
      <w:pPr>
        <w:numPr>
          <w:ilvl w:val="0"/>
          <w:numId w:val="15"/>
        </w:numPr>
        <w:spacing w:line="360" w:before="105" w:after="105" w:lineRule="auto"/>
      </w:pPr>
      <w:r>
        <w:rPr>
          <w:rFonts w:eastAsia="inter" w:cs="inter" w:ascii="inter" w:hAnsi="inter"/>
          <w:b/>
          <w:color w:val="000000"/>
          <w:sz w:val="21"/>
        </w:rPr>
        <w:t xml:space="preserve">Inherent safety</w:t>
      </w:r>
      <w:r>
        <w:rPr>
          <w:rFonts w:eastAsia="inter" w:cs="inter" w:ascii="inter" w:hAnsi="inter"/>
          <w:color w:val="000000"/>
          <w:sz w:val="21"/>
        </w:rPr>
        <w:t xml:space="preserve">: Self-limiting temperature eliminates thermal runaway risks and reduces product liability exposure</w:t>
      </w:r>
      <w:bookmarkStart w:id="112" w:name="fnref19_3"/>
      <w:bookmarkEnd w:id="112"/>
      <w:hyperlink w:anchor="fn19">
        <w:r>
          <w:rPr>
            <w:rFonts w:eastAsia="inter" w:cs="inter" w:ascii="inter" w:hAnsi="inter"/>
            <w:color w:val="#000"/>
            <w:sz w:val="21"/>
            <w:u w:val="single"/>
            <w:vertAlign w:val="superscript"/>
          </w:rPr>
          <w:t xml:space="preserve">[19]</w:t>
        </w:r>
      </w:hyperlink>
      <w:bookmarkStart w:id="113" w:name="fnref18_3"/>
      <w:bookmarkEnd w:id="113"/>
      <w:hyperlink w:anchor="fn18">
        <w:r>
          <w:rPr>
            <w:rFonts w:eastAsia="inter" w:cs="inter" w:ascii="inter" w:hAnsi="inter"/>
            <w:color w:val="#000"/>
            <w:sz w:val="21"/>
            <w:u w:val="single"/>
            <w:vertAlign w:val="superscript"/>
          </w:rPr>
          <w:t xml:space="preserve">[18]</w:t>
        </w:r>
      </w:hyperlink>
    </w:p>
    <w:p>
      <w:pPr>
        <w:numPr>
          <w:ilvl w:val="0"/>
          <w:numId w:val="15"/>
        </w:numPr>
        <w:spacing w:line="360" w:before="105" w:after="105" w:lineRule="auto"/>
      </w:pPr>
      <w:r>
        <w:rPr>
          <w:rFonts w:eastAsia="inter" w:cs="inter" w:ascii="inter" w:hAnsi="inter"/>
          <w:b/>
          <w:color w:val="000000"/>
          <w:sz w:val="21"/>
        </w:rPr>
        <w:t xml:space="preserve">Energy efficiency</w:t>
      </w:r>
      <w:r>
        <w:rPr>
          <w:rFonts w:eastAsia="inter" w:cs="inter" w:ascii="inter" w:hAnsi="inter"/>
          <w:color w:val="000000"/>
          <w:sz w:val="21"/>
        </w:rPr>
        <w:t xml:space="preserve">: Power consumption decreases automatically as target temperature is reached, reducing steady-state draw to 15-25 watts (50-60% reduction versus resistance heating)</w:t>
      </w:r>
      <w:bookmarkStart w:id="114" w:name="fnref50"/>
      <w:bookmarkEnd w:id="114"/>
      <w:hyperlink w:anchor="fn50">
        <w:r>
          <w:rPr>
            <w:rFonts w:eastAsia="inter" w:cs="inter" w:ascii="inter" w:hAnsi="inter"/>
            <w:color w:val="#000"/>
            <w:sz w:val="21"/>
            <w:u w:val="single"/>
            <w:vertAlign w:val="superscript"/>
          </w:rPr>
          <w:t xml:space="preserve">[50]</w:t>
        </w:r>
      </w:hyperlink>
      <w:bookmarkStart w:id="115" w:name="fnref19_4"/>
      <w:bookmarkEnd w:id="115"/>
      <w:hyperlink w:anchor="fn19">
        <w:r>
          <w:rPr>
            <w:rFonts w:eastAsia="inter" w:cs="inter" w:ascii="inter" w:hAnsi="inter"/>
            <w:color w:val="#000"/>
            <w:sz w:val="21"/>
            <w:u w:val="single"/>
            <w:vertAlign w:val="superscript"/>
          </w:rPr>
          <w:t xml:space="preserve">[19]</w:t>
        </w:r>
      </w:hyperlink>
    </w:p>
    <w:p>
      <w:pPr>
        <w:numPr>
          <w:ilvl w:val="0"/>
          <w:numId w:val="15"/>
        </w:numPr>
        <w:spacing w:line="360" w:before="105" w:after="105" w:lineRule="auto"/>
      </w:pPr>
      <w:r>
        <w:rPr>
          <w:rFonts w:eastAsia="inter" w:cs="inter" w:ascii="inter" w:hAnsi="inter"/>
          <w:b/>
          <w:color w:val="000000"/>
          <w:sz w:val="21"/>
        </w:rPr>
        <w:t xml:space="preserve">Longevity</w:t>
      </w:r>
      <w:r>
        <w:rPr>
          <w:rFonts w:eastAsia="inter" w:cs="inter" w:ascii="inter" w:hAnsi="inter"/>
          <w:color w:val="000000"/>
          <w:sz w:val="21"/>
        </w:rPr>
        <w:t xml:space="preserve">: Solid-state design with no mechanical thermostats extends product lifespans to 5,000-8,000 hours (versus 2,000-3,000 for resistance systems)</w:t>
      </w:r>
      <w:bookmarkStart w:id="116" w:name="fnref51"/>
      <w:bookmarkEnd w:id="116"/>
      <w:hyperlink w:anchor="fn51">
        <w:r>
          <w:rPr>
            <w:rFonts w:eastAsia="inter" w:cs="inter" w:ascii="inter" w:hAnsi="inter"/>
            <w:color w:val="#000"/>
            <w:sz w:val="21"/>
            <w:u w:val="single"/>
            <w:vertAlign w:val="superscript"/>
          </w:rPr>
          <w:t xml:space="preserve">[51]</w:t>
        </w:r>
      </w:hyperlink>
      <w:bookmarkStart w:id="117" w:name="fnref18_4"/>
      <w:bookmarkEnd w:id="117"/>
      <w:hyperlink w:anchor="fn18">
        <w:r>
          <w:rPr>
            <w:rFonts w:eastAsia="inter" w:cs="inter" w:ascii="inter" w:hAnsi="inter"/>
            <w:color w:val="#000"/>
            <w:sz w:val="21"/>
            <w:u w:val="single"/>
            <w:vertAlign w:val="superscript"/>
          </w:rPr>
          <w:t xml:space="preserve">[18]</w:t>
        </w:r>
      </w:hyperlink>
    </w:p>
    <w:p>
      <w:pPr>
        <w:numPr>
          <w:ilvl w:val="0"/>
          <w:numId w:val="15"/>
        </w:numPr>
        <w:spacing w:line="360" w:before="105" w:after="105" w:lineRule="auto"/>
      </w:pPr>
      <w:r>
        <w:rPr>
          <w:rFonts w:eastAsia="inter" w:cs="inter" w:ascii="inter" w:hAnsi="inter"/>
          <w:b/>
          <w:color w:val="000000"/>
          <w:sz w:val="21"/>
        </w:rPr>
        <w:t xml:space="preserve">Cost structure</w:t>
      </w:r>
      <w:r>
        <w:rPr>
          <w:rFonts w:eastAsia="inter" w:cs="inter" w:ascii="inter" w:hAnsi="inter"/>
          <w:color w:val="000000"/>
          <w:sz w:val="21"/>
        </w:rPr>
        <w:t xml:space="preserve">: Higher upfront manufacturing costs (USD 8-15 per element) but lower warranty claim rates (2-3% versus 8-12% for conventional systems) produce favorable lifecycle economics for manufacturers</w:t>
      </w:r>
      <w:bookmarkStart w:id="118" w:name="fnref18_5"/>
      <w:bookmarkEnd w:id="118"/>
      <w:hyperlink w:anchor="fn18">
        <w:r>
          <w:rPr>
            <w:rFonts w:eastAsia="inter" w:cs="inter" w:ascii="inter" w:hAnsi="inter"/>
            <w:color w:val="#000"/>
            <w:sz w:val="21"/>
            <w:u w:val="single"/>
            <w:vertAlign w:val="superscript"/>
          </w:rPr>
          <w:t xml:space="preserve">[18]</w:t>
        </w:r>
      </w:hyperlink>
      <w:bookmarkStart w:id="119" w:name="fnref19_5"/>
      <w:bookmarkEnd w:id="119"/>
      <w:hyperlink w:anchor="fn19">
        <w:r>
          <w:rPr>
            <w:rFonts w:eastAsia="inter" w:cs="inter" w:ascii="inter" w:hAnsi="inter"/>
            <w:color w:val="#000"/>
            <w:sz w:val="21"/>
            <w:u w:val="single"/>
            <w:vertAlign w:val="superscript"/>
          </w:rPr>
          <w:t xml:space="preserve">[19]</w:t>
        </w:r>
      </w:hyperlink>
    </w:p>
    <w:p>
      <w:pPr>
        <w:numPr>
          <w:ilvl w:val="0"/>
          <w:numId w:val="15"/>
        </w:numPr>
        <w:spacing w:line="360" w:before="105" w:after="105" w:lineRule="auto"/>
      </w:pPr>
      <w:r>
        <w:rPr>
          <w:rFonts w:eastAsia="inter" w:cs="inter" w:ascii="inter" w:hAnsi="inter"/>
          <w:b/>
          <w:color w:val="000000"/>
          <w:sz w:val="21"/>
        </w:rPr>
        <w:t xml:space="preserve">Premium positioning</w:t>
      </w:r>
      <w:r>
        <w:rPr>
          <w:rFonts w:eastAsia="inter" w:cs="inter" w:ascii="inter" w:hAnsi="inter"/>
          <w:color w:val="000000"/>
          <w:sz w:val="21"/>
        </w:rPr>
        <w:t xml:space="preserve">: Concentrated in products retailing above USD 80, where consumers demonstrate lower price elasticity and higher quality sensitivity</w:t>
      </w:r>
      <w:bookmarkStart w:id="120" w:name="fnref52"/>
      <w:bookmarkEnd w:id="120"/>
      <w:hyperlink w:anchor="fn52">
        <w:r>
          <w:rPr>
            <w:rFonts w:eastAsia="inter" w:cs="inter" w:ascii="inter" w:hAnsi="inter"/>
            <w:color w:val="#000"/>
            <w:sz w:val="21"/>
            <w:u w:val="single"/>
            <w:vertAlign w:val="superscript"/>
          </w:rPr>
          <w:t xml:space="preserve">[52]</w:t>
        </w:r>
      </w:hyperlink>
      <w:bookmarkStart w:id="121" w:name="fnref15_6"/>
      <w:bookmarkEnd w:id="121"/>
      <w:hyperlink w:anchor="fn15">
        <w:r>
          <w:rPr>
            <w:rFonts w:eastAsia="inter" w:cs="inter" w:ascii="inter" w:hAnsi="inter"/>
            <w:color w:val="#000"/>
            <w:sz w:val="21"/>
            <w:u w:val="single"/>
            <w:vertAlign w:val="superscript"/>
          </w:rPr>
          <w:t xml:space="preserve">[15]</w:t>
        </w:r>
      </w:hyperlink>
    </w:p>
    <w:p>
      <w:pPr>
        <w:spacing w:line="360" w:after="210" w:lineRule="auto"/>
      </w:pPr>
      <w:r>
        <w:rPr>
          <w:rFonts w:eastAsia="inter" w:cs="inter" w:ascii="inter" w:hAnsi="inter"/>
          <w:color w:val="000000"/>
        </w:rPr>
        <w:t xml:space="preserve">The technology choice reflects a fundamental economic trade-off between fixed costs (R&amp;D, specialized manufacturing equipment) and variable costs (per-unit materials, warranty expenses). Manufacturers targeting price-sensitive segments optimize for low upfront costs despite higher failure rates and energy consumption. Conversely, premium manufacturers invest in advanced technologies that reduce total cost of ownership for consumers, enabling higher price realization through reduced information asymmetry regarding product quality.</w:t>
      </w:r>
      <w:bookmarkStart w:id="122" w:name="fnref53"/>
      <w:bookmarkEnd w:id="122"/>
      <w:hyperlink w:anchor="fn53">
        <w:r>
          <w:rPr>
            <w:rFonts w:eastAsia="inter" w:cs="inter" w:ascii="inter" w:hAnsi="inter"/>
            <w:color w:val="#000"/>
            <w:u w:val="single"/>
            <w:vertAlign w:val="superscript"/>
          </w:rPr>
          <w:t xml:space="preserve">[53]</w:t>
        </w:r>
      </w:hyperlink>
      <w:bookmarkStart w:id="123" w:name="fnref52_1"/>
      <w:bookmarkEnd w:id="123"/>
      <w:hyperlink w:anchor="fn52">
        <w:r>
          <w:rPr>
            <w:rFonts w:eastAsia="inter" w:cs="inter" w:ascii="inter" w:hAnsi="inter"/>
            <w:color w:val="#000"/>
            <w:u w:val="single"/>
            <w:vertAlign w:val="superscript"/>
          </w:rPr>
          <w:t xml:space="preserve">[52]</w:t>
        </w:r>
      </w:hyperlink>
    </w:p>
    <w:p>
      <w:pPr>
        <w:spacing w:line="360" w:before="315" w:after="105" w:lineRule="auto"/>
        <w:ind w:left="-30"/>
        <w:jc w:val="left"/>
      </w:pPr>
      <w:bookmarkStart w:id="124" w:name="automation_and_quality_control_in_a90389"/>
      <w:r>
        <w:rPr>
          <w:rFonts w:eastAsia="inter" w:cs="inter" w:ascii="inter" w:hAnsi="inter"/>
          <w:b/>
          <w:color w:val="000000"/>
          <w:sz w:val="24"/>
        </w:rPr>
        <w:t xml:space="preserve">Automation and Quality Control in Production</w:t>
      </w:r>
      <w:bookmarkEnd w:id="124"/>
    </w:p>
    <w:p>
      <w:pPr>
        <w:spacing w:line="360" w:after="210" w:lineRule="auto"/>
      </w:pPr>
      <w:r>
        <w:rPr>
          <w:rFonts w:eastAsia="inter" w:cs="inter" w:ascii="inter" w:hAnsi="inter"/>
          <w:color w:val="000000"/>
        </w:rPr>
        <w:t xml:space="preserve">The hair straightener manufacturing sector has experienced substantial automation over the past two decades, driven by three economic forces: rising labor costs in traditional manufacturing centers, quality consistency demands from premium segments, and scale economies from automated processes.</w:t>
      </w:r>
      <w:bookmarkStart w:id="125" w:name="fnref13_13"/>
      <w:bookmarkEnd w:id="125"/>
      <w:hyperlink w:anchor="fn13">
        <w:r>
          <w:rPr>
            <w:rFonts w:eastAsia="inter" w:cs="inter" w:ascii="inter" w:hAnsi="inter"/>
            <w:color w:val="#000"/>
            <w:u w:val="single"/>
            <w:vertAlign w:val="superscript"/>
          </w:rPr>
          <w:t xml:space="preserve">[13]</w:t>
        </w:r>
      </w:hyperlink>
      <w:bookmarkStart w:id="126" w:name="fnref41_2"/>
      <w:bookmarkEnd w:id="126"/>
      <w:hyperlink w:anchor="fn41">
        <w:r>
          <w:rPr>
            <w:rFonts w:eastAsia="inter" w:cs="inter" w:ascii="inter" w:hAnsi="inter"/>
            <w:color w:val="#000"/>
            <w:u w:val="single"/>
            <w:vertAlign w:val="superscript"/>
          </w:rPr>
          <w:t xml:space="preserve">[41]</w:t>
        </w:r>
      </w:hyperlink>
    </w:p>
    <w:p>
      <w:pPr>
        <w:spacing w:line="360" w:after="210" w:lineRule="auto"/>
      </w:pPr>
      <w:r>
        <w:rPr>
          <w:rFonts w:eastAsia="inter" w:cs="inter" w:ascii="inter" w:hAnsi="inter"/>
          <w:b/>
          <w:color w:val="000000"/>
        </w:rPr>
        <w:t xml:space="preserve">Automated Assembly Systems</w:t>
      </w:r>
    </w:p>
    <w:p>
      <w:pPr>
        <w:spacing w:line="360" w:after="210" w:lineRule="auto"/>
      </w:pPr>
      <w:r>
        <w:rPr>
          <w:rFonts w:eastAsia="inter" w:cs="inter" w:ascii="inter" w:hAnsi="inter"/>
          <w:color w:val="000000"/>
        </w:rPr>
        <w:t xml:space="preserve">Modern high-volume facilities employ robotic assembly cells that perform repetitive tasks with precision tolerances impossible for human workers. Pick-and-place robots position electronic components on PCBs with ±0.05mm accuracy at rates exceeding 20,000 components per hour, compared to 200-400 components per hour for manual assembly. While automated lines require capital investments of USD 800,000-2.5 million, they achieve breakeven at production volumes of approximately 150,000-200,000 units annually given labor cost savings of USD 1.50-2.50 per unit.</w:t>
      </w:r>
      <w:bookmarkStart w:id="127" w:name="fnref41_3"/>
      <w:bookmarkEnd w:id="127"/>
      <w:hyperlink w:anchor="fn41">
        <w:r>
          <w:rPr>
            <w:rFonts w:eastAsia="inter" w:cs="inter" w:ascii="inter" w:hAnsi="inter"/>
            <w:color w:val="#000"/>
            <w:u w:val="single"/>
            <w:vertAlign w:val="superscript"/>
          </w:rPr>
          <w:t xml:space="preserve">[41]</w:t>
        </w:r>
      </w:hyperlink>
      <w:bookmarkStart w:id="128" w:name="fnref45_1"/>
      <w:bookmarkEnd w:id="128"/>
      <w:hyperlink w:anchor="fn45">
        <w:r>
          <w:rPr>
            <w:rFonts w:eastAsia="inter" w:cs="inter" w:ascii="inter" w:hAnsi="inter"/>
            <w:color w:val="#000"/>
            <w:u w:val="single"/>
            <w:vertAlign w:val="superscript"/>
          </w:rPr>
          <w:t xml:space="preserve">[45]</w:t>
        </w:r>
      </w:hyperlink>
      <w:bookmarkStart w:id="129" w:name="fnref54"/>
      <w:bookmarkEnd w:id="129"/>
      <w:hyperlink w:anchor="fn54">
        <w:r>
          <w:rPr>
            <w:rFonts w:eastAsia="inter" w:cs="inter" w:ascii="inter" w:hAnsi="inter"/>
            <w:color w:val="#000"/>
            <w:u w:val="single"/>
            <w:vertAlign w:val="superscript"/>
          </w:rPr>
          <w:t xml:space="preserve">[54]</w:t>
        </w:r>
      </w:hyperlink>
    </w:p>
    <w:p>
      <w:pPr>
        <w:spacing w:line="360" w:after="210" w:lineRule="auto"/>
      </w:pPr>
      <w:r>
        <w:rPr>
          <w:rFonts w:eastAsia="inter" w:cs="inter" w:ascii="inter" w:hAnsi="inter"/>
          <w:color w:val="000000"/>
        </w:rPr>
        <w:t xml:space="preserve">The decision to automate represents a classic make-or-buy problem extended to the production method choice. Manufacturers compare the net present value of two alternatives:</w:t>
      </w:r>
    </w:p>
    <w:p>
      <w:pPr>
        <w:spacing w:line="360" w:after="210" w:lineRule="auto"/>
      </w:pPr>
      <w:r>
        <w:rPr>
          <w:rFonts w:eastAsia="inter" w:cs="inter" w:ascii="inter" w:hAnsi="inter"/>
          <w:b/>
          <w:color w:val="000000"/>
        </w:rPr>
        <w:t xml:space="preserve">Option A (Manual)</w:t>
      </w:r>
      <w:r>
        <w:rPr>
          <w:rFonts w:eastAsia="inter" w:cs="inter" w:ascii="inter" w:hAnsi="inter"/>
          <w:color w:val="000000"/>
        </w:rPr>
        <w:t xml:space="preserve">: Low fixed costs (USD 50,000-100,000 for manual assembly stations) + High variable costs (USD 2.50 per unit labor)</w:t>
      </w:r>
    </w:p>
    <w:p>
      <w:pPr>
        <w:spacing w:line="360" w:after="210" w:lineRule="auto"/>
      </w:pPr>
      <w:r>
        <w:rPr>
          <w:rFonts w:eastAsia="inter" w:cs="inter" w:ascii="inter" w:hAnsi="inter"/>
          <w:b/>
          <w:color w:val="000000"/>
        </w:rPr>
        <w:t xml:space="preserve">Option B (Automated)</w:t>
      </w:r>
      <w:r>
        <w:rPr>
          <w:rFonts w:eastAsia="inter" w:cs="inter" w:ascii="inter" w:hAnsi="inter"/>
          <w:color w:val="000000"/>
        </w:rPr>
        <w:t xml:space="preserve">: High fixed costs (USD 1.5-2.5 million for robotic lines) + Low variable costs (USD 0.40 per unit labor)</w:t>
      </w:r>
    </w:p>
    <w:p>
      <w:pPr>
        <w:spacing w:line="360" w:after="210" w:lineRule="auto"/>
      </w:pPr>
      <w:r>
        <w:rPr>
          <w:rFonts w:eastAsia="inter" w:cs="inter" w:ascii="inter" w:hAnsi="inter"/>
          <w:color w:val="000000"/>
        </w:rPr>
        <w:t xml:space="preserve">At production volumes Q, automation becomes economically viable when:</w:t>
      </w:r>
    </w:p>
    <w:p>
      <w:pPr>
        <w:spacing w:line="360" w:after="210" w:lineRule="auto"/>
      </w:pPr>
      <w:r>
        <w:rPr>
          <w:rFonts w:eastAsia="inter" w:cs="inter" w:ascii="inter" w:hAnsi="inter"/>
          <w:b/>
          <w:color w:val="000000"/>
        </w:rPr>
        <w:t xml:space="preserve">Total Cost (Automated) &lt; Total Cost (Manual)</w:t>
      </w:r>
    </w:p>
    <w:p>
      <w:pPr>
        <w:spacing w:line="360" w:after="210" w:lineRule="auto"/>
      </w:pPr>
      <w:r>
        <w:rPr>
          <w:rFonts w:eastAsia="inter" w:cs="inter" w:ascii="inter" w:hAnsi="inter"/>
          <w:b/>
          <w:color w:val="000000"/>
        </w:rPr>
        <w:t xml:space="preserve">FC₍ₐ₎ + VC₍ₐ₎ × Q &lt; FC₍ₘ₎ + VC₍ₘ₎ × Q</w:t>
      </w:r>
    </w:p>
    <w:p>
      <w:pPr>
        <w:spacing w:line="360" w:after="210" w:lineRule="auto"/>
      </w:pPr>
      <w:r>
        <w:rPr>
          <w:rFonts w:eastAsia="inter" w:cs="inter" w:ascii="inter" w:hAnsi="inter"/>
          <w:color w:val="000000"/>
        </w:rPr>
        <w:t xml:space="preserve">Solving for breakeven volume Q*:</w:t>
      </w:r>
    </w:p>
    <w:p>
      <w:pPr>
        <w:spacing w:line="360" w:after="210" w:lineRule="auto"/>
      </w:pPr>
      <w:r>
        <w:rPr>
          <w:rFonts w:eastAsia="inter" w:cs="inter" w:ascii="inter" w:hAnsi="inter"/>
          <w:i/>
          <w:color w:val="000000"/>
        </w:rPr>
        <w:t xml:space="preserve">Q = (FC₍ₐ₎ - FC₍ₘ₎) / (VC₍ₘ₎ - VC₍ₐ₎)</w:t>
      </w:r>
      <w:r>
        <w:rPr>
          <w:rFonts w:eastAsia="inter" w:cs="inter" w:ascii="inter" w:hAnsi="inter"/>
          <w:color w:val="000000"/>
        </w:rPr>
        <w:t xml:space="preserve">*</w:t>
      </w:r>
    </w:p>
    <w:p>
      <w:pPr>
        <w:spacing w:line="360" w:after="210" w:lineRule="auto"/>
      </w:pPr>
      <w:r>
        <w:rPr>
          <w:rFonts w:eastAsia="inter" w:cs="inter" w:ascii="inter" w:hAnsi="inter"/>
          <w:color w:val="000000"/>
        </w:rPr>
        <w:t xml:space="preserve">Using representative figures:</w:t>
      </w:r>
    </w:p>
    <w:p>
      <w:pPr>
        <w:spacing w:line="360" w:after="210" w:lineRule="auto"/>
      </w:pPr>
      <w:r>
        <w:rPr>
          <w:rFonts w:eastAsia="inter" w:cs="inter" w:ascii="inter" w:hAnsi="inter"/>
          <w:i/>
          <w:color w:val="000000"/>
        </w:rPr>
        <w:t xml:space="preserve">Q = (2,000,000 - 75,000) / (2.50 - 0.40) = 916,667 units</w:t>
      </w:r>
      <w:r>
        <w:rPr>
          <w:rFonts w:eastAsia="inter" w:cs="inter" w:ascii="inter" w:hAnsi="inter"/>
          <w:color w:val="000000"/>
        </w:rPr>
        <w:t xml:space="preserve">*</w:t>
      </w:r>
    </w:p>
    <w:p>
      <w:pPr>
        <w:spacing w:line="360" w:after="210" w:lineRule="auto"/>
      </w:pPr>
      <w:r>
        <w:rPr>
          <w:rFonts w:eastAsia="inter" w:cs="inter" w:ascii="inter" w:hAnsi="inter"/>
          <w:color w:val="000000"/>
        </w:rPr>
        <w:t xml:space="preserve">This calculation explains why Chinese mega-factories producing millions of units annually have automated extensively, while smaller firms serving niche segments continue relying on manual assembly.</w:t>
      </w:r>
      <w:bookmarkStart w:id="130" w:name="fnref36_2"/>
      <w:bookmarkEnd w:id="130"/>
      <w:hyperlink w:anchor="fn36">
        <w:r>
          <w:rPr>
            <w:rFonts w:eastAsia="inter" w:cs="inter" w:ascii="inter" w:hAnsi="inter"/>
            <w:color w:val="#000"/>
            <w:u w:val="single"/>
            <w:vertAlign w:val="superscript"/>
          </w:rPr>
          <w:t xml:space="preserve">[36]</w:t>
        </w:r>
      </w:hyperlink>
      <w:bookmarkStart w:id="131" w:name="fnref37_4"/>
      <w:bookmarkEnd w:id="131"/>
      <w:hyperlink w:anchor="fn37">
        <w:r>
          <w:rPr>
            <w:rFonts w:eastAsia="inter" w:cs="inter" w:ascii="inter" w:hAnsi="inter"/>
            <w:color w:val="#000"/>
            <w:u w:val="single"/>
            <w:vertAlign w:val="superscript"/>
          </w:rPr>
          <w:t xml:space="preserve">[37]</w:t>
        </w:r>
      </w:hyperlink>
      <w:bookmarkStart w:id="132" w:name="fnref41_4"/>
      <w:bookmarkEnd w:id="132"/>
      <w:hyperlink w:anchor="fn41">
        <w:r>
          <w:rPr>
            <w:rFonts w:eastAsia="inter" w:cs="inter" w:ascii="inter" w:hAnsi="inter"/>
            <w:color w:val="#000"/>
            <w:u w:val="single"/>
            <w:vertAlign w:val="superscript"/>
          </w:rPr>
          <w:t xml:space="preserve">[41]</w:t>
        </w:r>
      </w:hyperlink>
    </w:p>
    <w:p>
      <w:pPr>
        <w:spacing w:line="360" w:after="210" w:lineRule="auto"/>
      </w:pPr>
      <w:r>
        <w:rPr>
          <w:rFonts w:eastAsia="inter" w:cs="inter" w:ascii="inter" w:hAnsi="inter"/>
          <w:b/>
          <w:color w:val="000000"/>
        </w:rPr>
        <w:t xml:space="preserve">Quality Control Systems</w:t>
      </w:r>
    </w:p>
    <w:p>
      <w:pPr>
        <w:spacing w:line="360" w:after="210" w:lineRule="auto"/>
      </w:pPr>
      <w:r>
        <w:rPr>
          <w:rFonts w:eastAsia="inter" w:cs="inter" w:ascii="inter" w:hAnsi="inter"/>
          <w:color w:val="000000"/>
        </w:rPr>
        <w:t xml:space="preserve">Quality assurance in hair straightener manufacturing employs statistical process control (SPC) methods to minimize defect rates while avoiding costly 100% inspection. Key testing stages include:</w:t>
      </w:r>
      <w:bookmarkStart w:id="133" w:name="fnref35_2"/>
      <w:bookmarkEnd w:id="133"/>
      <w:hyperlink w:anchor="fn35">
        <w:r>
          <w:rPr>
            <w:rFonts w:eastAsia="inter" w:cs="inter" w:ascii="inter" w:hAnsi="inter"/>
            <w:color w:val="#000"/>
            <w:u w:val="single"/>
            <w:vertAlign w:val="superscript"/>
          </w:rPr>
          <w:t xml:space="preserve">[35]</w:t>
        </w:r>
      </w:hyperlink>
      <w:bookmarkStart w:id="134" w:name="fnref13_14"/>
      <w:bookmarkEnd w:id="134"/>
      <w:hyperlink w:anchor="fn13">
        <w:r>
          <w:rPr>
            <w:rFonts w:eastAsia="inter" w:cs="inter" w:ascii="inter" w:hAnsi="inter"/>
            <w:color w:val="#000"/>
            <w:u w:val="single"/>
            <w:vertAlign w:val="superscript"/>
          </w:rPr>
          <w:t xml:space="preserve">[13]</w:t>
        </w:r>
      </w:hyperlink>
    </w:p>
    <w:p>
      <w:pPr>
        <w:numPr>
          <w:ilvl w:val="0"/>
          <w:numId w:val="16"/>
        </w:numPr>
        <w:spacing w:line="360" w:after="210" w:lineRule="auto"/>
      </w:pPr>
      <w:r>
        <w:rPr>
          <w:rFonts w:eastAsia="inter" w:cs="inter" w:ascii="inter" w:hAnsi="inter"/>
          <w:b/>
          <w:color w:val="000000"/>
          <w:sz w:val="21"/>
        </w:rPr>
        <w:t xml:space="preserve">Electrical Safety Testing</w:t>
      </w:r>
      <w:r>
        <w:rPr>
          <w:rFonts w:eastAsia="inter" w:cs="inter" w:ascii="inter" w:hAnsi="inter"/>
          <w:color w:val="000000"/>
          <w:sz w:val="21"/>
        </w:rPr>
        <w:t xml:space="preserve">: Dielectric strength tests apply 1,500-2,500V to verify insulation adequacy, while grounding continuity checks ensure protective earth connections meet IEC 60335 standards. Automated testing equipment costs USD 15,000-40,000 but processes 200-300 units per hour compared to 30-50 units for manual testing.</w:t>
      </w:r>
      <w:bookmarkStart w:id="135" w:name="fnref55"/>
      <w:bookmarkEnd w:id="135"/>
      <w:hyperlink w:anchor="fn55">
        <w:r>
          <w:rPr>
            <w:rFonts w:eastAsia="inter" w:cs="inter" w:ascii="inter" w:hAnsi="inter"/>
            <w:color w:val="#000"/>
            <w:sz w:val="21"/>
            <w:u w:val="single"/>
            <w:vertAlign w:val="superscript"/>
          </w:rPr>
          <w:t xml:space="preserve">[55]</w:t>
        </w:r>
      </w:hyperlink>
      <w:bookmarkStart w:id="136" w:name="fnref56"/>
      <w:bookmarkEnd w:id="136"/>
      <w:hyperlink w:anchor="fn56">
        <w:r>
          <w:rPr>
            <w:rFonts w:eastAsia="inter" w:cs="inter" w:ascii="inter" w:hAnsi="inter"/>
            <w:color w:val="#000"/>
            <w:sz w:val="21"/>
            <w:u w:val="single"/>
            <w:vertAlign w:val="superscript"/>
          </w:rPr>
          <w:t xml:space="preserve">[56]</w:t>
        </w:r>
      </w:hyperlink>
      <w:bookmarkStart w:id="137" w:name="fnref35_3"/>
      <w:bookmarkEnd w:id="137"/>
      <w:hyperlink w:anchor="fn35">
        <w:r>
          <w:rPr>
            <w:rFonts w:eastAsia="inter" w:cs="inter" w:ascii="inter" w:hAnsi="inter"/>
            <w:color w:val="#000"/>
            <w:sz w:val="21"/>
            <w:u w:val="single"/>
            <w:vertAlign w:val="superscript"/>
          </w:rPr>
          <w:t xml:space="preserve">[35]</w:t>
        </w:r>
      </w:hyperlink>
    </w:p>
    <w:p>
      <w:pPr>
        <w:numPr>
          <w:ilvl w:val="0"/>
          <w:numId w:val="16"/>
        </w:numPr>
        <w:spacing w:line="360" w:after="210" w:lineRule="auto"/>
      </w:pPr>
      <w:r>
        <w:rPr>
          <w:rFonts w:eastAsia="inter" w:cs="inter" w:ascii="inter" w:hAnsi="inter"/>
          <w:b/>
          <w:color w:val="000000"/>
          <w:sz w:val="21"/>
        </w:rPr>
        <w:t xml:space="preserve">Temperature Calibration</w:t>
      </w:r>
      <w:r>
        <w:rPr>
          <w:rFonts w:eastAsia="inter" w:cs="inter" w:ascii="inter" w:hAnsi="inter"/>
          <w:color w:val="000000"/>
          <w:sz w:val="21"/>
        </w:rPr>
        <w:t xml:space="preserve">: Precision thermocouples verify that heating elements reach target temperatures within ±5°C tolerances across the entire plate surface. Infrared thermal imaging (capital cost USD 8,000-25,000) enables rapid whole-surface verification impossible with point measurements.</w:t>
      </w:r>
      <w:bookmarkStart w:id="138" w:name="fnref13_15"/>
      <w:bookmarkEnd w:id="138"/>
      <w:hyperlink w:anchor="fn13">
        <w:r>
          <w:rPr>
            <w:rFonts w:eastAsia="inter" w:cs="inter" w:ascii="inter" w:hAnsi="inter"/>
            <w:color w:val="#000"/>
            <w:sz w:val="21"/>
            <w:u w:val="single"/>
            <w:vertAlign w:val="superscript"/>
          </w:rPr>
          <w:t xml:space="preserve">[13]</w:t>
        </w:r>
      </w:hyperlink>
      <w:bookmarkStart w:id="139" w:name="fnref35_4"/>
      <w:bookmarkEnd w:id="139"/>
      <w:hyperlink w:anchor="fn35">
        <w:r>
          <w:rPr>
            <w:rFonts w:eastAsia="inter" w:cs="inter" w:ascii="inter" w:hAnsi="inter"/>
            <w:color w:val="#000"/>
            <w:sz w:val="21"/>
            <w:u w:val="single"/>
            <w:vertAlign w:val="superscript"/>
          </w:rPr>
          <w:t xml:space="preserve">[35]</w:t>
        </w:r>
      </w:hyperlink>
    </w:p>
    <w:p>
      <w:pPr>
        <w:numPr>
          <w:ilvl w:val="0"/>
          <w:numId w:val="16"/>
        </w:numPr>
        <w:spacing w:line="360" w:after="210" w:lineRule="auto"/>
      </w:pPr>
      <w:r>
        <w:rPr>
          <w:rFonts w:eastAsia="inter" w:cs="inter" w:ascii="inter" w:hAnsi="inter"/>
          <w:b/>
          <w:color w:val="000000"/>
          <w:sz w:val="21"/>
        </w:rPr>
        <w:t xml:space="preserve">Durability Testing</w:t>
      </w:r>
      <w:r>
        <w:rPr>
          <w:rFonts w:eastAsia="inter" w:cs="inter" w:ascii="inter" w:hAnsi="inter"/>
          <w:color w:val="000000"/>
          <w:sz w:val="21"/>
        </w:rPr>
        <w:t xml:space="preserve">: Sample units undergo accelerated lifecycle testing simulating 5,000-10,000 usage cycles (plug insertions, heating cycles, mechanical stress). While time-intensive (72-120 hours per test cycle), this destructive testing identifies design flaws before market introduction, reducing expected warranty costs from 6-8% of revenues to 2-3%.</w:t>
      </w:r>
      <w:bookmarkStart w:id="140" w:name="fnref35_5"/>
      <w:bookmarkEnd w:id="140"/>
      <w:hyperlink w:anchor="fn35">
        <w:r>
          <w:rPr>
            <w:rFonts w:eastAsia="inter" w:cs="inter" w:ascii="inter" w:hAnsi="inter"/>
            <w:color w:val="#000"/>
            <w:sz w:val="21"/>
            <w:u w:val="single"/>
            <w:vertAlign w:val="superscript"/>
          </w:rPr>
          <w:t xml:space="preserve">[35]</w:t>
        </w:r>
      </w:hyperlink>
      <w:bookmarkStart w:id="141" w:name="fnref13_16"/>
      <w:bookmarkEnd w:id="141"/>
      <w:hyperlink w:anchor="fn13">
        <w:r>
          <w:rPr>
            <w:rFonts w:eastAsia="inter" w:cs="inter" w:ascii="inter" w:hAnsi="inter"/>
            <w:color w:val="#000"/>
            <w:sz w:val="21"/>
            <w:u w:val="single"/>
            <w:vertAlign w:val="superscript"/>
          </w:rPr>
          <w:t xml:space="preserve">[13]</w:t>
        </w:r>
      </w:hyperlink>
    </w:p>
    <w:p>
      <w:pPr>
        <w:numPr>
          <w:ilvl w:val="0"/>
          <w:numId w:val="16"/>
        </w:numPr>
        <w:spacing w:line="360" w:after="210" w:lineRule="auto"/>
      </w:pPr>
      <w:r>
        <w:rPr>
          <w:rFonts w:eastAsia="inter" w:cs="inter" w:ascii="inter" w:hAnsi="inter"/>
          <w:b/>
          <w:color w:val="000000"/>
          <w:sz w:val="21"/>
        </w:rPr>
        <w:t xml:space="preserve">Drop and Impact Testing</w:t>
      </w:r>
      <w:r>
        <w:rPr>
          <w:rFonts w:eastAsia="inter" w:cs="inter" w:ascii="inter" w:hAnsi="inter"/>
          <w:color w:val="000000"/>
          <w:sz w:val="21"/>
        </w:rPr>
        <w:t xml:space="preserve">: Samples dropped from 1-meter heights verify structural integrity and electrical safety under abuse conditions mandated by consumer product safety regulations.</w:t>
      </w:r>
      <w:bookmarkStart w:id="142" w:name="fnref56_1"/>
      <w:bookmarkEnd w:id="142"/>
      <w:hyperlink w:anchor="fn56">
        <w:r>
          <w:rPr>
            <w:rFonts w:eastAsia="inter" w:cs="inter" w:ascii="inter" w:hAnsi="inter"/>
            <w:color w:val="#000"/>
            <w:sz w:val="21"/>
            <w:u w:val="single"/>
            <w:vertAlign w:val="superscript"/>
          </w:rPr>
          <w:t xml:space="preserve">[56]</w:t>
        </w:r>
      </w:hyperlink>
      <w:bookmarkStart w:id="143" w:name="fnref55_1"/>
      <w:bookmarkEnd w:id="143"/>
      <w:hyperlink w:anchor="fn55">
        <w:r>
          <w:rPr>
            <w:rFonts w:eastAsia="inter" w:cs="inter" w:ascii="inter" w:hAnsi="inter"/>
            <w:color w:val="#000"/>
            <w:sz w:val="21"/>
            <w:u w:val="single"/>
            <w:vertAlign w:val="superscript"/>
          </w:rPr>
          <w:t xml:space="preserve">[55]</w:t>
        </w:r>
      </w:hyperlink>
    </w:p>
    <w:p>
      <w:pPr>
        <w:spacing w:line="360" w:after="210" w:lineRule="auto"/>
      </w:pPr>
      <w:r>
        <w:rPr>
          <w:rFonts w:eastAsia="inter" w:cs="inter" w:ascii="inter" w:hAnsi="inter"/>
          <w:color w:val="000000"/>
        </w:rPr>
        <w:t xml:space="preserve">The economics of quality control involve trading off inspection costs against expected costs of field failures (warranty claims, reputation damage, regulatory penalties). Optimal inspection intensity increases with product price (higher potential liability) and production volume (spreading fixed testing costs over larger quantities).</w:t>
      </w:r>
      <w:bookmarkStart w:id="144" w:name="fnref13_17"/>
      <w:bookmarkEnd w:id="144"/>
      <w:hyperlink w:anchor="fn13">
        <w:r>
          <w:rPr>
            <w:rFonts w:eastAsia="inter" w:cs="inter" w:ascii="inter" w:hAnsi="inter"/>
            <w:color w:val="#000"/>
            <w:u w:val="single"/>
            <w:vertAlign w:val="superscript"/>
          </w:rPr>
          <w:t xml:space="preserve">[13]</w:t>
        </w:r>
      </w:hyperlink>
    </w:p>
    <w:p>
      <w:pPr>
        <w:spacing w:line="360" w:before="315" w:after="105" w:lineRule="auto"/>
        <w:ind w:left="-30"/>
        <w:jc w:val="left"/>
      </w:pPr>
      <w:bookmarkStart w:id="145" w:name="global_manufacturing_hubs_compara_78d6c0"/>
      <w:r>
        <w:rPr>
          <w:rFonts w:eastAsia="inter" w:cs="inter" w:ascii="inter" w:hAnsi="inter"/>
          <w:b/>
          <w:color w:val="000000"/>
          <w:sz w:val="24"/>
        </w:rPr>
        <w:t xml:space="preserve">Global Manufacturing Hubs: Comparative Advantages</w:t>
      </w:r>
      <w:bookmarkEnd w:id="145"/>
    </w:p>
    <w:p>
      <w:pPr>
        <w:spacing w:line="360" w:after="210" w:lineRule="auto"/>
      </w:pPr>
      <w:r>
        <w:rPr>
          <w:rFonts w:eastAsia="inter" w:cs="inter" w:ascii="inter" w:hAnsi="inter"/>
          <w:color w:val="000000"/>
        </w:rPr>
        <w:t xml:space="preserve">Geographic concentration in hair straightener production reflects comparative advantages in factor costs, infrastructure, and industrial ecosystems.</w:t>
      </w:r>
      <w:bookmarkStart w:id="146" w:name="fnref44_1"/>
      <w:bookmarkEnd w:id="146"/>
      <w:hyperlink w:anchor="fn44">
        <w:r>
          <w:rPr>
            <w:rFonts w:eastAsia="inter" w:cs="inter" w:ascii="inter" w:hAnsi="inter"/>
            <w:color w:val="#000"/>
            <w:u w:val="single"/>
            <w:vertAlign w:val="superscript"/>
          </w:rPr>
          <w:t xml:space="preserve">[44]</w:t>
        </w:r>
      </w:hyperlink>
      <w:bookmarkStart w:id="147" w:name="fnref36_3"/>
      <w:bookmarkEnd w:id="147"/>
      <w:hyperlink w:anchor="fn36">
        <w:r>
          <w:rPr>
            <w:rFonts w:eastAsia="inter" w:cs="inter" w:ascii="inter" w:hAnsi="inter"/>
            <w:color w:val="#000"/>
            <w:u w:val="single"/>
            <w:vertAlign w:val="superscript"/>
          </w:rPr>
          <w:t xml:space="preserve">[36]</w:t>
        </w:r>
      </w:hyperlink>
      <w:bookmarkStart w:id="148" w:name="fnref37_5"/>
      <w:bookmarkEnd w:id="148"/>
      <w:hyperlink w:anchor="fn37">
        <w:r>
          <w:rPr>
            <w:rFonts w:eastAsia="inter" w:cs="inter" w:ascii="inter" w:hAnsi="inter"/>
            <w:color w:val="#000"/>
            <w:u w:val="single"/>
            <w:vertAlign w:val="superscript"/>
          </w:rPr>
          <w:t xml:space="preserve">[37]</w:t>
        </w:r>
      </w:hyperlink>
    </w:p>
    <w:p>
      <w:pPr>
        <w:spacing w:line="360" w:after="210" w:lineRule="auto"/>
      </w:pPr>
      <w:r>
        <w:rPr>
          <w:rFonts w:eastAsia="inter" w:cs="inter" w:ascii="inter" w:hAnsi="inter"/>
          <w:b/>
          <w:color w:val="000000"/>
        </w:rPr>
        <w:t xml:space="preserve">China (60-65% global market share)</w:t>
      </w:r>
      <w:bookmarkStart w:id="149" w:name="fnref37_6"/>
      <w:bookmarkEnd w:id="149"/>
      <w:hyperlink w:anchor="fn37">
        <w:r>
          <w:rPr>
            <w:rFonts w:eastAsia="inter" w:cs="inter" w:ascii="inter" w:hAnsi="inter"/>
            <w:color w:val="#000"/>
            <w:u w:val="single"/>
            <w:vertAlign w:val="superscript"/>
          </w:rPr>
          <w:t xml:space="preserve">[37]</w:t>
        </w:r>
      </w:hyperlink>
    </w:p>
    <w:p>
      <w:pPr>
        <w:spacing w:line="360" w:after="210" w:lineRule="auto"/>
      </w:pPr>
      <w:r>
        <w:rPr>
          <w:rFonts w:eastAsia="inter" w:cs="inter" w:ascii="inter" w:hAnsi="inter"/>
          <w:color w:val="000000"/>
        </w:rPr>
        <w:t xml:space="preserve">China's manufacturing dominance stems from multiple reinforcing advantages:</w:t>
      </w:r>
    </w:p>
    <w:p>
      <w:pPr>
        <w:numPr>
          <w:ilvl w:val="0"/>
          <w:numId w:val="17"/>
        </w:numPr>
        <w:spacing w:line="360" w:before="105" w:after="105" w:lineRule="auto"/>
      </w:pPr>
      <w:r>
        <w:rPr>
          <w:rFonts w:eastAsia="inter" w:cs="inter" w:ascii="inter" w:hAnsi="inter"/>
          <w:b/>
          <w:color w:val="000000"/>
          <w:sz w:val="21"/>
        </w:rPr>
        <w:t xml:space="preserve">Labor Cost Arbitrage</w:t>
      </w:r>
      <w:r>
        <w:rPr>
          <w:rFonts w:eastAsia="inter" w:cs="inter" w:ascii="inter" w:hAnsi="inter"/>
          <w:color w:val="000000"/>
          <w:sz w:val="21"/>
        </w:rPr>
        <w:t xml:space="preserve">: Despite rising wages, Chinese manufacturing labor costs USD 4-6 per hour versus USD 12-18 in Eastern Europe and USD 25-35 in Western markets</w:t>
      </w:r>
      <w:bookmarkStart w:id="150" w:name="fnref45_2"/>
      <w:bookmarkEnd w:id="150"/>
      <w:hyperlink w:anchor="fn45">
        <w:r>
          <w:rPr>
            <w:rFonts w:eastAsia="inter" w:cs="inter" w:ascii="inter" w:hAnsi="inter"/>
            <w:color w:val="#000"/>
            <w:sz w:val="21"/>
            <w:u w:val="single"/>
            <w:vertAlign w:val="superscript"/>
          </w:rPr>
          <w:t xml:space="preserve">[45]</w:t>
        </w:r>
      </w:hyperlink>
      <w:bookmarkStart w:id="151" w:name="fnref37_7"/>
      <w:bookmarkEnd w:id="151"/>
      <w:hyperlink w:anchor="fn37">
        <w:r>
          <w:rPr>
            <w:rFonts w:eastAsia="inter" w:cs="inter" w:ascii="inter" w:hAnsi="inter"/>
            <w:color w:val="#000"/>
            <w:sz w:val="21"/>
            <w:u w:val="single"/>
            <w:vertAlign w:val="superscript"/>
          </w:rPr>
          <w:t xml:space="preserve">[37]</w:t>
        </w:r>
      </w:hyperlink>
    </w:p>
    <w:p>
      <w:pPr>
        <w:numPr>
          <w:ilvl w:val="0"/>
          <w:numId w:val="17"/>
        </w:numPr>
        <w:spacing w:line="360" w:before="105" w:after="105" w:lineRule="auto"/>
      </w:pPr>
      <w:r>
        <w:rPr>
          <w:rFonts w:eastAsia="inter" w:cs="inter" w:ascii="inter" w:hAnsi="inter"/>
          <w:b/>
          <w:color w:val="000000"/>
          <w:sz w:val="21"/>
        </w:rPr>
        <w:t xml:space="preserve">Supply Chain Integration</w:t>
      </w:r>
      <w:r>
        <w:rPr>
          <w:rFonts w:eastAsia="inter" w:cs="inter" w:ascii="inter" w:hAnsi="inter"/>
          <w:color w:val="000000"/>
          <w:sz w:val="21"/>
        </w:rPr>
        <w:t xml:space="preserve">: Shenzhen's electronics ecosystem enables same-day sourcing of components from hundreds of specialized suppliers within 30-kilometer radii. This density reduces inventory holding costs and enables just-in-time production</w:t>
      </w:r>
      <w:bookmarkStart w:id="152" w:name="fnref36_4"/>
      <w:bookmarkEnd w:id="152"/>
      <w:hyperlink w:anchor="fn36">
        <w:r>
          <w:rPr>
            <w:rFonts w:eastAsia="inter" w:cs="inter" w:ascii="inter" w:hAnsi="inter"/>
            <w:color w:val="#000"/>
            <w:sz w:val="21"/>
            <w:u w:val="single"/>
            <w:vertAlign w:val="superscript"/>
          </w:rPr>
          <w:t xml:space="preserve">[36]</w:t>
        </w:r>
      </w:hyperlink>
      <w:bookmarkStart w:id="153" w:name="fnref45_3"/>
      <w:bookmarkEnd w:id="153"/>
      <w:hyperlink w:anchor="fn45">
        <w:r>
          <w:rPr>
            <w:rFonts w:eastAsia="inter" w:cs="inter" w:ascii="inter" w:hAnsi="inter"/>
            <w:color w:val="#000"/>
            <w:sz w:val="21"/>
            <w:u w:val="single"/>
            <w:vertAlign w:val="superscript"/>
          </w:rPr>
          <w:t xml:space="preserve">[45]</w:t>
        </w:r>
      </w:hyperlink>
    </w:p>
    <w:p>
      <w:pPr>
        <w:numPr>
          <w:ilvl w:val="0"/>
          <w:numId w:val="17"/>
        </w:numPr>
        <w:spacing w:line="360" w:before="105" w:after="105" w:lineRule="auto"/>
      </w:pPr>
      <w:r>
        <w:rPr>
          <w:rFonts w:eastAsia="inter" w:cs="inter" w:ascii="inter" w:hAnsi="inter"/>
          <w:b/>
          <w:color w:val="000000"/>
          <w:sz w:val="21"/>
        </w:rPr>
        <w:t xml:space="preserve">Infrastructure</w:t>
      </w:r>
      <w:r>
        <w:rPr>
          <w:rFonts w:eastAsia="inter" w:cs="inter" w:ascii="inter" w:hAnsi="inter"/>
          <w:color w:val="000000"/>
          <w:sz w:val="21"/>
        </w:rPr>
        <w:t xml:space="preserve">: Dedicated freight routes, ports handling containerized goods, and SEZ (Special Economic Zone) policies with tax incentives reduce logistics costs by 15-25% versus alternative locations</w:t>
      </w:r>
      <w:bookmarkStart w:id="154" w:name="fnref36_5"/>
      <w:bookmarkEnd w:id="154"/>
      <w:hyperlink w:anchor="fn36">
        <w:r>
          <w:rPr>
            <w:rFonts w:eastAsia="inter" w:cs="inter" w:ascii="inter" w:hAnsi="inter"/>
            <w:color w:val="#000"/>
            <w:sz w:val="21"/>
            <w:u w:val="single"/>
            <w:vertAlign w:val="superscript"/>
          </w:rPr>
          <w:t xml:space="preserve">[36]</w:t>
        </w:r>
      </w:hyperlink>
    </w:p>
    <w:p>
      <w:pPr>
        <w:numPr>
          <w:ilvl w:val="0"/>
          <w:numId w:val="17"/>
        </w:numPr>
        <w:spacing w:line="360" w:before="105" w:after="105" w:lineRule="auto"/>
      </w:pPr>
      <w:r>
        <w:rPr>
          <w:rFonts w:eastAsia="inter" w:cs="inter" w:ascii="inter" w:hAnsi="inter"/>
          <w:b/>
          <w:color w:val="000000"/>
          <w:sz w:val="21"/>
        </w:rPr>
        <w:t xml:space="preserve">Scale Economies</w:t>
      </w:r>
      <w:r>
        <w:rPr>
          <w:rFonts w:eastAsia="inter" w:cs="inter" w:ascii="inter" w:hAnsi="inter"/>
          <w:color w:val="000000"/>
          <w:sz w:val="21"/>
        </w:rPr>
        <w:t xml:space="preserve">: Individual factories producing 2-5 million units annually achieve per-unit costs 30-40% below smaller facilities through spreading fixed costs</w:t>
      </w:r>
      <w:bookmarkStart w:id="155" w:name="fnref41_5"/>
      <w:bookmarkEnd w:id="155"/>
      <w:hyperlink w:anchor="fn41">
        <w:r>
          <w:rPr>
            <w:rFonts w:eastAsia="inter" w:cs="inter" w:ascii="inter" w:hAnsi="inter"/>
            <w:color w:val="#000"/>
            <w:sz w:val="21"/>
            <w:u w:val="single"/>
            <w:vertAlign w:val="superscript"/>
          </w:rPr>
          <w:t xml:space="preserve">[41]</w:t>
        </w:r>
      </w:hyperlink>
      <w:bookmarkStart w:id="156" w:name="fnref37_8"/>
      <w:bookmarkEnd w:id="156"/>
      <w:hyperlink w:anchor="fn37">
        <w:r>
          <w:rPr>
            <w:rFonts w:eastAsia="inter" w:cs="inter" w:ascii="inter" w:hAnsi="inter"/>
            <w:color w:val="#000"/>
            <w:sz w:val="21"/>
            <w:u w:val="single"/>
            <w:vertAlign w:val="superscript"/>
          </w:rPr>
          <w:t xml:space="preserve">[37]</w:t>
        </w:r>
      </w:hyperlink>
    </w:p>
    <w:p>
      <w:pPr>
        <w:numPr>
          <w:ilvl w:val="0"/>
          <w:numId w:val="17"/>
        </w:numPr>
        <w:spacing w:line="360" w:before="105" w:after="105" w:lineRule="auto"/>
      </w:pPr>
      <w:r>
        <w:rPr>
          <w:rFonts w:eastAsia="inter" w:cs="inter" w:ascii="inter" w:hAnsi="inter"/>
          <w:b/>
          <w:color w:val="000000"/>
          <w:sz w:val="21"/>
        </w:rPr>
        <w:t xml:space="preserve">Process Knowledge</w:t>
      </w:r>
      <w:r>
        <w:rPr>
          <w:rFonts w:eastAsia="inter" w:cs="inter" w:ascii="inter" w:hAnsi="inter"/>
          <w:color w:val="000000"/>
          <w:sz w:val="21"/>
        </w:rPr>
        <w:t xml:space="preserve">: Accumulated manufacturing expertise (learning-by-doing) and workforce skills reduce defect rates and setup times</w:t>
      </w:r>
      <w:bookmarkStart w:id="157" w:name="fnref45_4"/>
      <w:bookmarkEnd w:id="157"/>
      <w:hyperlink w:anchor="fn45">
        <w:r>
          <w:rPr>
            <w:rFonts w:eastAsia="inter" w:cs="inter" w:ascii="inter" w:hAnsi="inter"/>
            <w:color w:val="#000"/>
            <w:sz w:val="21"/>
            <w:u w:val="single"/>
            <w:vertAlign w:val="superscript"/>
          </w:rPr>
          <w:t xml:space="preserve">[45]</w:t>
        </w:r>
      </w:hyperlink>
    </w:p>
    <w:p>
      <w:pPr>
        <w:spacing w:line="360" w:after="210" w:lineRule="auto"/>
      </w:pPr>
      <w:r>
        <w:rPr>
          <w:rFonts w:eastAsia="inter" w:cs="inter" w:ascii="inter" w:hAnsi="inter"/>
          <w:color w:val="000000"/>
        </w:rPr>
        <w:t xml:space="preserve">Key clusters include Guangdong Province (Shenzhen, Dongguan) specializing in electronics integration, and Wenzhou focusing on mid-range products for domestic markets.</w:t>
      </w:r>
      <w:bookmarkStart w:id="158" w:name="fnref46_1"/>
      <w:bookmarkEnd w:id="158"/>
      <w:hyperlink w:anchor="fn46">
        <w:r>
          <w:rPr>
            <w:rFonts w:eastAsia="inter" w:cs="inter" w:ascii="inter" w:hAnsi="inter"/>
            <w:color w:val="#000"/>
            <w:u w:val="single"/>
            <w:vertAlign w:val="superscript"/>
          </w:rPr>
          <w:t xml:space="preserve">[46]</w:t>
        </w:r>
      </w:hyperlink>
      <w:bookmarkStart w:id="159" w:name="fnref57"/>
      <w:bookmarkEnd w:id="159"/>
      <w:hyperlink w:anchor="fn57">
        <w:r>
          <w:rPr>
            <w:rFonts w:eastAsia="inter" w:cs="inter" w:ascii="inter" w:hAnsi="inter"/>
            <w:color w:val="#000"/>
            <w:u w:val="single"/>
            <w:vertAlign w:val="superscript"/>
          </w:rPr>
          <w:t xml:space="preserve">[57]</w:t>
        </w:r>
      </w:hyperlink>
      <w:bookmarkStart w:id="160" w:name="fnref44_2"/>
      <w:bookmarkEnd w:id="160"/>
      <w:hyperlink w:anchor="fn44">
        <w:r>
          <w:rPr>
            <w:rFonts w:eastAsia="inter" w:cs="inter" w:ascii="inter" w:hAnsi="inter"/>
            <w:color w:val="#000"/>
            <w:u w:val="single"/>
            <w:vertAlign w:val="superscript"/>
          </w:rPr>
          <w:t xml:space="preserve">[44]</w:t>
        </w:r>
      </w:hyperlink>
    </w:p>
    <w:p>
      <w:pPr>
        <w:spacing w:line="360" w:after="210" w:lineRule="auto"/>
      </w:pPr>
      <w:r>
        <w:rPr>
          <w:rFonts w:eastAsia="inter" w:cs="inter" w:ascii="inter" w:hAnsi="inter"/>
          <w:b/>
          <w:color w:val="000000"/>
        </w:rPr>
        <w:t xml:space="preserve">India (Emerging Manufacturing Base)</w:t>
      </w:r>
    </w:p>
    <w:p>
      <w:pPr>
        <w:spacing w:line="360" w:after="210" w:lineRule="auto"/>
      </w:pPr>
      <w:r>
        <w:rPr>
          <w:rFonts w:eastAsia="inter" w:cs="inter" w:ascii="inter" w:hAnsi="inter"/>
          <w:color w:val="000000"/>
        </w:rPr>
        <w:t xml:space="preserve">India's hair straightener production remains modest (estimated 15-20% of domestic consumption), but government initiatives under "Make in India" aim to expand manufacturing:</w:t>
      </w:r>
      <w:bookmarkStart w:id="161" w:name="fnref6_2"/>
      <w:bookmarkEnd w:id="161"/>
      <w:hyperlink w:anchor="fn6">
        <w:r>
          <w:rPr>
            <w:rFonts w:eastAsia="inter" w:cs="inter" w:ascii="inter" w:hAnsi="inter"/>
            <w:color w:val="#000"/>
            <w:u w:val="single"/>
            <w:vertAlign w:val="superscript"/>
          </w:rPr>
          <w:t xml:space="preserve">[6]</w:t>
        </w:r>
      </w:hyperlink>
      <w:bookmarkStart w:id="162" w:name="fnref24_1"/>
      <w:bookmarkEnd w:id="162"/>
      <w:hyperlink w:anchor="fn24">
        <w:r>
          <w:rPr>
            <w:rFonts w:eastAsia="inter" w:cs="inter" w:ascii="inter" w:hAnsi="inter"/>
            <w:color w:val="#000"/>
            <w:u w:val="single"/>
            <w:vertAlign w:val="superscript"/>
          </w:rPr>
          <w:t xml:space="preserve">[24]</w:t>
        </w:r>
      </w:hyperlink>
    </w:p>
    <w:p>
      <w:pPr>
        <w:numPr>
          <w:ilvl w:val="0"/>
          <w:numId w:val="18"/>
        </w:numPr>
        <w:spacing w:line="360" w:before="105" w:after="105" w:lineRule="auto"/>
      </w:pPr>
      <w:r>
        <w:rPr>
          <w:rFonts w:eastAsia="inter" w:cs="inter" w:ascii="inter" w:hAnsi="inter"/>
          <w:b/>
          <w:color w:val="000000"/>
          <w:sz w:val="21"/>
        </w:rPr>
        <w:t xml:space="preserve">Cost Structure</w:t>
      </w:r>
      <w:r>
        <w:rPr>
          <w:rFonts w:eastAsia="inter" w:cs="inter" w:ascii="inter" w:hAnsi="inter"/>
          <w:color w:val="000000"/>
          <w:sz w:val="21"/>
        </w:rPr>
        <w:t xml:space="preserve">: Labor costs (USD 2-3 per hour) remain competitive with China, but component sourcing requires imports adding 15-20% to input costs</w:t>
      </w:r>
      <w:bookmarkStart w:id="163" w:name="fnref6_3"/>
      <w:bookmarkEnd w:id="163"/>
      <w:hyperlink w:anchor="fn6">
        <w:r>
          <w:rPr>
            <w:rFonts w:eastAsia="inter" w:cs="inter" w:ascii="inter" w:hAnsi="inter"/>
            <w:color w:val="#000"/>
            <w:sz w:val="21"/>
            <w:u w:val="single"/>
            <w:vertAlign w:val="superscript"/>
          </w:rPr>
          <w:t xml:space="preserve">[6]</w:t>
        </w:r>
      </w:hyperlink>
    </w:p>
    <w:p>
      <w:pPr>
        <w:numPr>
          <w:ilvl w:val="0"/>
          <w:numId w:val="18"/>
        </w:numPr>
        <w:spacing w:line="360" w:before="105" w:after="105" w:lineRule="auto"/>
      </w:pPr>
      <w:r>
        <w:rPr>
          <w:rFonts w:eastAsia="inter" w:cs="inter" w:ascii="inter" w:hAnsi="inter"/>
          <w:b/>
          <w:color w:val="000000"/>
          <w:sz w:val="21"/>
        </w:rPr>
        <w:t xml:space="preserve">Market Access</w:t>
      </w:r>
      <w:r>
        <w:rPr>
          <w:rFonts w:eastAsia="inter" w:cs="inter" w:ascii="inter" w:hAnsi="inter"/>
          <w:color w:val="000000"/>
          <w:sz w:val="21"/>
        </w:rPr>
        <w:t xml:space="preserve">: Domestic production avoids 20% basic customs duties plus 18% IGST on imports, creating 38% cost advantages for locally produced goods</w:t>
      </w:r>
      <w:bookmarkStart w:id="164" w:name="fnref58"/>
      <w:bookmarkEnd w:id="164"/>
      <w:hyperlink w:anchor="fn58">
        <w:r>
          <w:rPr>
            <w:rFonts w:eastAsia="inter" w:cs="inter" w:ascii="inter" w:hAnsi="inter"/>
            <w:color w:val="#000"/>
            <w:sz w:val="21"/>
            <w:u w:val="single"/>
            <w:vertAlign w:val="superscript"/>
          </w:rPr>
          <w:t xml:space="preserve">[58]</w:t>
        </w:r>
      </w:hyperlink>
      <w:bookmarkStart w:id="165" w:name="fnref59"/>
      <w:bookmarkEnd w:id="165"/>
      <w:hyperlink w:anchor="fn59">
        <w:r>
          <w:rPr>
            <w:rFonts w:eastAsia="inter" w:cs="inter" w:ascii="inter" w:hAnsi="inter"/>
            <w:color w:val="#000"/>
            <w:sz w:val="21"/>
            <w:u w:val="single"/>
            <w:vertAlign w:val="superscript"/>
          </w:rPr>
          <w:t xml:space="preserve">[59]</w:t>
        </w:r>
      </w:hyperlink>
    </w:p>
    <w:p>
      <w:pPr>
        <w:numPr>
          <w:ilvl w:val="0"/>
          <w:numId w:val="18"/>
        </w:numPr>
        <w:spacing w:line="360" w:before="105" w:after="105" w:lineRule="auto"/>
      </w:pPr>
      <w:r>
        <w:rPr>
          <w:rFonts w:eastAsia="inter" w:cs="inter" w:ascii="inter" w:hAnsi="inter"/>
          <w:b/>
          <w:color w:val="000000"/>
          <w:sz w:val="21"/>
        </w:rPr>
        <w:t xml:space="preserve">Infrastructure Gaps</w:t>
      </w:r>
      <w:r>
        <w:rPr>
          <w:rFonts w:eastAsia="inter" w:cs="inter" w:ascii="inter" w:hAnsi="inter"/>
          <w:color w:val="000000"/>
          <w:sz w:val="21"/>
        </w:rPr>
        <w:t xml:space="preserve">: Less developed supplier networks necessitate larger inventory buffers, increasing working capital requirements by 25-35%</w:t>
      </w:r>
      <w:bookmarkStart w:id="166" w:name="fnref6_4"/>
      <w:bookmarkEnd w:id="166"/>
      <w:hyperlink w:anchor="fn6">
        <w:r>
          <w:rPr>
            <w:rFonts w:eastAsia="inter" w:cs="inter" w:ascii="inter" w:hAnsi="inter"/>
            <w:color w:val="#000"/>
            <w:sz w:val="21"/>
            <w:u w:val="single"/>
            <w:vertAlign w:val="superscript"/>
          </w:rPr>
          <w:t xml:space="preserve">[6]</w:t>
        </w:r>
      </w:hyperlink>
    </w:p>
    <w:p>
      <w:pPr>
        <w:numPr>
          <w:ilvl w:val="0"/>
          <w:numId w:val="18"/>
        </w:numPr>
        <w:spacing w:line="360" w:before="105" w:after="105" w:lineRule="auto"/>
      </w:pPr>
      <w:r>
        <w:rPr>
          <w:rFonts w:eastAsia="inter" w:cs="inter" w:ascii="inter" w:hAnsi="inter"/>
          <w:b/>
          <w:color w:val="000000"/>
          <w:sz w:val="21"/>
        </w:rPr>
        <w:t xml:space="preserve">Quality Perception</w:t>
      </w:r>
      <w:r>
        <w:rPr>
          <w:rFonts w:eastAsia="inter" w:cs="inter" w:ascii="inter" w:hAnsi="inter"/>
          <w:color w:val="000000"/>
          <w:sz w:val="21"/>
        </w:rPr>
        <w:t xml:space="preserve">: "Made in India" electronics face consumer skepticism, limiting premium positioning opportunities</w:t>
      </w:r>
      <w:bookmarkStart w:id="167" w:name="fnref24_2"/>
      <w:bookmarkEnd w:id="167"/>
      <w:hyperlink w:anchor="fn24">
        <w:r>
          <w:rPr>
            <w:rFonts w:eastAsia="inter" w:cs="inter" w:ascii="inter" w:hAnsi="inter"/>
            <w:color w:val="#000"/>
            <w:sz w:val="21"/>
            <w:u w:val="single"/>
            <w:vertAlign w:val="superscript"/>
          </w:rPr>
          <w:t xml:space="preserve">[24]</w:t>
        </w:r>
      </w:hyperlink>
    </w:p>
    <w:p>
      <w:pPr>
        <w:spacing w:line="360" w:after="210" w:lineRule="auto"/>
      </w:pPr>
      <w:r>
        <w:rPr>
          <w:rFonts w:eastAsia="inter" w:cs="inter" w:ascii="inter" w:hAnsi="inter"/>
          <w:color w:val="000000"/>
        </w:rPr>
        <w:t xml:space="preserve">India's manufacturing competitiveness depends critically on developing component supply chains to match China's ecosystem advantages.</w:t>
      </w:r>
      <w:bookmarkStart w:id="168" w:name="fnref24_3"/>
      <w:bookmarkEnd w:id="168"/>
      <w:hyperlink w:anchor="fn24">
        <w:r>
          <w:rPr>
            <w:rFonts w:eastAsia="inter" w:cs="inter" w:ascii="inter" w:hAnsi="inter"/>
            <w:color w:val="#000"/>
            <w:u w:val="single"/>
            <w:vertAlign w:val="superscript"/>
          </w:rPr>
          <w:t xml:space="preserve">[24]</w:t>
        </w:r>
      </w:hyperlink>
      <w:bookmarkStart w:id="169" w:name="fnref6_5"/>
      <w:bookmarkEnd w:id="169"/>
      <w:hyperlink w:anchor="fn6">
        <w:r>
          <w:rPr>
            <w:rFonts w:eastAsia="inter" w:cs="inter" w:ascii="inter" w:hAnsi="inter"/>
            <w:color w:val="#000"/>
            <w:u w:val="single"/>
            <w:vertAlign w:val="superscript"/>
          </w:rPr>
          <w:t xml:space="preserve">[6]</w:t>
        </w:r>
      </w:hyperlink>
    </w:p>
    <w:p>
      <w:pPr>
        <w:spacing w:line="360" w:after="210" w:lineRule="auto"/>
      </w:pPr>
      <w:r>
        <w:rPr>
          <w:rFonts w:eastAsia="inter" w:cs="inter" w:ascii="inter" w:hAnsi="inter"/>
          <w:b/>
          <w:color w:val="000000"/>
        </w:rPr>
        <w:t xml:space="preserve">Vietnam, Thailand, Bangladesh</w:t>
      </w:r>
    </w:p>
    <w:p>
      <w:pPr>
        <w:spacing w:line="360" w:after="210" w:lineRule="auto"/>
      </w:pPr>
      <w:r>
        <w:rPr>
          <w:rFonts w:eastAsia="inter" w:cs="inter" w:ascii="inter" w:hAnsi="inter"/>
          <w:color w:val="000000"/>
        </w:rPr>
        <w:t xml:space="preserve">These emerging centers capture overflow from China through:</w:t>
      </w:r>
    </w:p>
    <w:p>
      <w:pPr>
        <w:numPr>
          <w:ilvl w:val="0"/>
          <w:numId w:val="19"/>
        </w:numPr>
        <w:spacing w:line="360" w:before="105" w:after="105" w:lineRule="auto"/>
      </w:pPr>
      <w:r>
        <w:rPr>
          <w:rFonts w:eastAsia="inter" w:cs="inter" w:ascii="inter" w:hAnsi="inter"/>
          <w:b/>
          <w:color w:val="000000"/>
          <w:sz w:val="21"/>
        </w:rPr>
        <w:t xml:space="preserve">Lower labor costs</w:t>
      </w:r>
      <w:r>
        <w:rPr>
          <w:rFonts w:eastAsia="inter" w:cs="inter" w:ascii="inter" w:hAnsi="inter"/>
          <w:color w:val="000000"/>
          <w:sz w:val="21"/>
        </w:rPr>
        <w:t xml:space="preserve">: USD 2-4 per hour, 30-40% below Chinese equivalents</w:t>
      </w:r>
      <w:bookmarkStart w:id="170" w:name="fnref37_9"/>
      <w:bookmarkEnd w:id="170"/>
      <w:hyperlink w:anchor="fn37">
        <w:r>
          <w:rPr>
            <w:rFonts w:eastAsia="inter" w:cs="inter" w:ascii="inter" w:hAnsi="inter"/>
            <w:color w:val="#000"/>
            <w:sz w:val="21"/>
            <w:u w:val="single"/>
            <w:vertAlign w:val="superscript"/>
          </w:rPr>
          <w:t xml:space="preserve">[37]</w:t>
        </w:r>
      </w:hyperlink>
    </w:p>
    <w:p>
      <w:pPr>
        <w:numPr>
          <w:ilvl w:val="0"/>
          <w:numId w:val="19"/>
        </w:numPr>
        <w:spacing w:line="360" w:before="105" w:after="105" w:lineRule="auto"/>
      </w:pPr>
      <w:r>
        <w:rPr>
          <w:rFonts w:eastAsia="inter" w:cs="inter" w:ascii="inter" w:hAnsi="inter"/>
          <w:b/>
          <w:color w:val="000000"/>
          <w:sz w:val="21"/>
        </w:rPr>
        <w:t xml:space="preserve">Trade preferences</w:t>
      </w:r>
      <w:r>
        <w:rPr>
          <w:rFonts w:eastAsia="inter" w:cs="inter" w:ascii="inter" w:hAnsi="inter"/>
          <w:color w:val="000000"/>
          <w:sz w:val="21"/>
        </w:rPr>
        <w:t xml:space="preserve">: GSP (Generalized System of Preferences) and FTA (Free Trade Agreement) access to EU and US markets with reduced tariffs</w:t>
      </w:r>
      <w:bookmarkStart w:id="171" w:name="fnref37_10"/>
      <w:bookmarkEnd w:id="171"/>
      <w:hyperlink w:anchor="fn37">
        <w:r>
          <w:rPr>
            <w:rFonts w:eastAsia="inter" w:cs="inter" w:ascii="inter" w:hAnsi="inter"/>
            <w:color w:val="#000"/>
            <w:sz w:val="21"/>
            <w:u w:val="single"/>
            <w:vertAlign w:val="superscript"/>
          </w:rPr>
          <w:t xml:space="preserve">[37]</w:t>
        </w:r>
      </w:hyperlink>
    </w:p>
    <w:p>
      <w:pPr>
        <w:numPr>
          <w:ilvl w:val="0"/>
          <w:numId w:val="19"/>
        </w:numPr>
        <w:spacing w:line="360" w:before="105" w:after="105" w:lineRule="auto"/>
      </w:pPr>
      <w:r>
        <w:rPr>
          <w:rFonts w:eastAsia="inter" w:cs="inter" w:ascii="inter" w:hAnsi="inter"/>
          <w:b/>
          <w:color w:val="000000"/>
          <w:sz w:val="21"/>
        </w:rPr>
        <w:t xml:space="preserve">China+1 strategies</w:t>
      </w:r>
      <w:r>
        <w:rPr>
          <w:rFonts w:eastAsia="inter" w:cs="inter" w:ascii="inter" w:hAnsi="inter"/>
          <w:color w:val="000000"/>
          <w:sz w:val="21"/>
        </w:rPr>
        <w:t xml:space="preserve">: Multinational corporations diversifying supply chains to mitigate geopolitical risks</w:t>
      </w:r>
      <w:bookmarkStart w:id="172" w:name="fnref37_11"/>
      <w:bookmarkEnd w:id="172"/>
      <w:hyperlink w:anchor="fn37">
        <w:r>
          <w:rPr>
            <w:rFonts w:eastAsia="inter" w:cs="inter" w:ascii="inter" w:hAnsi="inter"/>
            <w:color w:val="#000"/>
            <w:sz w:val="21"/>
            <w:u w:val="single"/>
            <w:vertAlign w:val="superscript"/>
          </w:rPr>
          <w:t xml:space="preserve">[37]</w:t>
        </w:r>
      </w:hyperlink>
    </w:p>
    <w:p>
      <w:pPr>
        <w:spacing w:line="360" w:after="210" w:lineRule="auto"/>
      </w:pPr>
      <w:r>
        <w:rPr>
          <w:rFonts w:eastAsia="inter" w:cs="inter" w:ascii="inter" w:hAnsi="inter"/>
          <w:color w:val="000000"/>
        </w:rPr>
        <w:t xml:space="preserve">However, these markets lack China's mature supplier ecosystems, limiting competitiveness primarily to assembly operations with imported components.</w:t>
      </w:r>
      <w:bookmarkStart w:id="173" w:name="fnref37_12"/>
      <w:bookmarkEnd w:id="173"/>
      <w:hyperlink w:anchor="fn37">
        <w:r>
          <w:rPr>
            <w:rFonts w:eastAsia="inter" w:cs="inter" w:ascii="inter" w:hAnsi="inter"/>
            <w:color w:val="#000"/>
            <w:u w:val="single"/>
            <w:vertAlign w:val="superscript"/>
          </w:rPr>
          <w:t xml:space="preserve">[37]</w:t>
        </w:r>
      </w:hyperlink>
    </w:p>
    <w:p>
      <w:pPr>
        <w:spacing w:line="360" w:after="210" w:lineRule="auto"/>
      </w:pPr>
      <w:r>
        <w:rPr>
          <w:rFonts w:eastAsia="inter" w:cs="inter" w:ascii="inter" w:hAnsi="inter"/>
          <w:color w:val="000000"/>
        </w:rPr>
        <w:t xml:space="preserve">The geography of production illustrates how Ricardian comparative advantages (factor cost differentials) interact with Marshallian external economies (industrial clustering) to determine manufacturing locations. For hair straighteners, China's combination of cost competitiveness and ecosystem maturity creates formidable barriers to production relocation despite rising wages.</w:t>
      </w:r>
      <w:bookmarkStart w:id="174" w:name="fnref36_6"/>
      <w:bookmarkEnd w:id="174"/>
      <w:hyperlink w:anchor="fn36">
        <w:r>
          <w:rPr>
            <w:rFonts w:eastAsia="inter" w:cs="inter" w:ascii="inter" w:hAnsi="inter"/>
            <w:color w:val="#000"/>
            <w:u w:val="single"/>
            <w:vertAlign w:val="superscript"/>
          </w:rPr>
          <w:t xml:space="preserve">[36]</w:t>
        </w:r>
      </w:hyperlink>
      <w:bookmarkStart w:id="175" w:name="fnref45_5"/>
      <w:bookmarkEnd w:id="175"/>
      <w:hyperlink w:anchor="fn45">
        <w:r>
          <w:rPr>
            <w:rFonts w:eastAsia="inter" w:cs="inter" w:ascii="inter" w:hAnsi="inter"/>
            <w:color w:val="#000"/>
            <w:u w:val="single"/>
            <w:vertAlign w:val="superscript"/>
          </w:rPr>
          <w:t xml:space="preserve">[45]</w:t>
        </w:r>
      </w:hyperlink>
      <w:bookmarkStart w:id="176" w:name="fnref37_13"/>
      <w:bookmarkEnd w:id="176"/>
      <w:hyperlink w:anchor="fn37">
        <w:r>
          <w:rPr>
            <w:rFonts w:eastAsia="inter" w:cs="inter" w:ascii="inter" w:hAnsi="inter"/>
            <w:color w:val="#000"/>
            <w:u w:val="single"/>
            <w:vertAlign w:val="superscript"/>
          </w:rPr>
          <w:t xml:space="preserve">[37]</w:t>
        </w:r>
      </w:hyperlink>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177" w:name="raw_materials_factor_market_analysis"/>
      <w:r>
        <w:rPr>
          <w:rFonts w:eastAsia="inter" w:cs="inter" w:ascii="inter" w:hAnsi="inter"/>
          <w:b/>
          <w:color w:val="000000"/>
          <w:sz w:val="24"/>
        </w:rPr>
        <w:t xml:space="preserve">RAW MATERIALS &amp; FACTOR MARKET ANALYSIS</w:t>
      </w:r>
      <w:bookmarkEnd w:id="177"/>
    </w:p>
    <w:p>
      <w:pPr>
        <w:spacing w:line="360" w:before="315" w:after="105" w:lineRule="auto"/>
        <w:ind w:left="-30"/>
        <w:jc w:val="left"/>
      </w:pPr>
      <w:bookmarkStart w:id="178" w:name="primary_material_inputs_technical_20fddd"/>
      <w:r>
        <w:rPr>
          <w:rFonts w:eastAsia="inter" w:cs="inter" w:ascii="inter" w:hAnsi="inter"/>
          <w:b/>
          <w:color w:val="000000"/>
          <w:sz w:val="24"/>
        </w:rPr>
        <w:t xml:space="preserve">Primary Material Inputs: Technical Specifications and Sourcing</w:t>
      </w:r>
      <w:bookmarkEnd w:id="178"/>
    </w:p>
    <w:p>
      <w:pPr>
        <w:spacing w:line="360" w:after="210" w:lineRule="auto"/>
      </w:pPr>
      <w:r>
        <w:rPr>
          <w:rFonts w:eastAsia="inter" w:cs="inter" w:ascii="inter" w:hAnsi="inter"/>
          <w:color w:val="000000"/>
        </w:rPr>
        <w:t xml:space="preserve">Hair straightener production consumes diverse material inputs, each with distinct supply chain characteristics and cost determinants. This section applies microeconomic factor market analysis to examine price formation, substitution possibilities, and supply elasticity for key inputs.</w:t>
      </w:r>
      <w:bookmarkStart w:id="179" w:name="fnref14_5"/>
      <w:bookmarkEnd w:id="179"/>
      <w:hyperlink w:anchor="fn14">
        <w:r>
          <w:rPr>
            <w:rFonts w:eastAsia="inter" w:cs="inter" w:ascii="inter" w:hAnsi="inter"/>
            <w:color w:val="#000"/>
            <w:u w:val="single"/>
            <w:vertAlign w:val="superscript"/>
          </w:rPr>
          <w:t xml:space="preserve">[14]</w:t>
        </w:r>
      </w:hyperlink>
      <w:bookmarkStart w:id="180" w:name="fnref36_7"/>
      <w:bookmarkEnd w:id="180"/>
      <w:hyperlink w:anchor="fn36">
        <w:r>
          <w:rPr>
            <w:rFonts w:eastAsia="inter" w:cs="inter" w:ascii="inter" w:hAnsi="inter"/>
            <w:color w:val="#000"/>
            <w:u w:val="single"/>
            <w:vertAlign w:val="superscript"/>
          </w:rPr>
          <w:t xml:space="preserve">[36]</w:t>
        </w:r>
      </w:hyperlink>
      <w:bookmarkStart w:id="181" w:name="fnref39_2"/>
      <w:bookmarkEnd w:id="181"/>
      <w:hyperlink w:anchor="fn39">
        <w:r>
          <w:rPr>
            <w:rFonts w:eastAsia="inter" w:cs="inter" w:ascii="inter" w:hAnsi="inter"/>
            <w:color w:val="#000"/>
            <w:u w:val="single"/>
            <w:vertAlign w:val="superscript"/>
          </w:rPr>
          <w:t xml:space="preserve">[39]</w:t>
        </w:r>
      </w:hyperlink>
    </w:p>
    <w:p>
      <w:pPr>
        <w:spacing w:line="360" w:after="210" w:lineRule="auto"/>
      </w:pPr>
      <w:r>
        <w:rPr>
          <w:rFonts w:eastAsia="inter" w:cs="inter" w:ascii="inter" w:hAnsi="inter"/>
          <w:b/>
          <w:color w:val="000000"/>
        </w:rPr>
        <w:t xml:space="preserve">Engineered Plastics</w:t>
      </w:r>
    </w:p>
    <w:p>
      <w:pPr>
        <w:spacing w:line="360" w:after="210" w:lineRule="auto"/>
      </w:pPr>
      <w:r>
        <w:rPr>
          <w:rFonts w:eastAsia="inter" w:cs="inter" w:ascii="inter" w:hAnsi="inter"/>
          <w:color w:val="000000"/>
        </w:rPr>
        <w:t xml:space="preserve">Housing components utilize heat-resistant thermoplastics, predominantly:</w:t>
      </w:r>
    </w:p>
    <w:p>
      <w:pPr>
        <w:spacing w:line="360" w:after="210" w:lineRule="auto"/>
      </w:pPr>
      <w:r>
        <w:rPr>
          <w:rFonts w:eastAsia="inter" w:cs="inter" w:ascii="inter" w:hAnsi="inter"/>
          <w:i/>
          <w:color w:val="000000"/>
        </w:rPr>
        <w:t xml:space="preserve">ABS (Acrylonitrile Butadiene Styrene)</w:t>
      </w:r>
      <w:r>
        <w:rPr>
          <w:rFonts w:eastAsia="inter" w:cs="inter" w:ascii="inter" w:hAnsi="inter"/>
          <w:color w:val="000000"/>
        </w:rPr>
        <w:t xml:space="preserve">: Comprises 50-60% of budget and mid-range housings. Key properties include heat deflection temperature of 98-105°C, impact resistance, and ease of injection molding. Global ABS pricing averaged USD 1.40-1.80 per kilogram in 2024, with Asian spot prices typically 8-12% below Western markets due to proximity to petrochemical feedstock production. A typical straightener housing requires 120-180 grams of ABS, translating to material costs of USD 0.17-0.32 per unit.</w:t>
      </w:r>
      <w:bookmarkStart w:id="182" w:name="fnref60"/>
      <w:bookmarkEnd w:id="182"/>
      <w:hyperlink w:anchor="fn60">
        <w:r>
          <w:rPr>
            <w:rFonts w:eastAsia="inter" w:cs="inter" w:ascii="inter" w:hAnsi="inter"/>
            <w:color w:val="#000"/>
            <w:u w:val="single"/>
            <w:vertAlign w:val="superscript"/>
          </w:rPr>
          <w:t xml:space="preserve">[60]</w:t>
        </w:r>
      </w:hyperlink>
      <w:bookmarkStart w:id="183" w:name="fnref39_3"/>
      <w:bookmarkEnd w:id="183"/>
      <w:hyperlink w:anchor="fn39">
        <w:r>
          <w:rPr>
            <w:rFonts w:eastAsia="inter" w:cs="inter" w:ascii="inter" w:hAnsi="inter"/>
            <w:color w:val="#000"/>
            <w:u w:val="single"/>
            <w:vertAlign w:val="superscript"/>
          </w:rPr>
          <w:t xml:space="preserve">[39]</w:t>
        </w:r>
      </w:hyperlink>
      <w:bookmarkStart w:id="184" w:name="fnref14_6"/>
      <w:bookmarkEnd w:id="184"/>
      <w:hyperlink w:anchor="fn14">
        <w:r>
          <w:rPr>
            <w:rFonts w:eastAsia="inter" w:cs="inter" w:ascii="inter" w:hAnsi="inter"/>
            <w:color w:val="#000"/>
            <w:u w:val="single"/>
            <w:vertAlign w:val="superscript"/>
          </w:rPr>
          <w:t xml:space="preserve">[14]</w:t>
        </w:r>
      </w:hyperlink>
    </w:p>
    <w:p>
      <w:pPr>
        <w:spacing w:line="360" w:after="210" w:lineRule="auto"/>
      </w:pPr>
      <w:r>
        <w:rPr>
          <w:rFonts w:eastAsia="inter" w:cs="inter" w:ascii="inter" w:hAnsi="inter"/>
          <w:i/>
          <w:color w:val="000000"/>
        </w:rPr>
        <w:t xml:space="preserve">Polycarbonate</w:t>
      </w:r>
      <w:r>
        <w:rPr>
          <w:rFonts w:eastAsia="inter" w:cs="inter" w:ascii="inter" w:hAnsi="inter"/>
          <w:color w:val="000000"/>
        </w:rPr>
        <w:t xml:space="preserve">: Used in premium models due to superior heat resistance (140-150°C heat deflection) and optical clarity for temperature displays. Polycarbonate pricing ranges USD 2.20-3.00 per kilogram, approximately 50-70% premium over ABS. Material substitution between ABS and polycarbonate exhibits moderate elasticity (estimated 0.6-0.8), constrained by performance requirements for high-temperature applications.</w:t>
      </w:r>
      <w:bookmarkStart w:id="185" w:name="fnref39_4"/>
      <w:bookmarkEnd w:id="185"/>
      <w:hyperlink w:anchor="fn39">
        <w:r>
          <w:rPr>
            <w:rFonts w:eastAsia="inter" w:cs="inter" w:ascii="inter" w:hAnsi="inter"/>
            <w:color w:val="#000"/>
            <w:u w:val="single"/>
            <w:vertAlign w:val="superscript"/>
          </w:rPr>
          <w:t xml:space="preserve">[39]</w:t>
        </w:r>
      </w:hyperlink>
      <w:bookmarkStart w:id="186" w:name="fnref14_7"/>
      <w:bookmarkEnd w:id="186"/>
      <w:hyperlink w:anchor="fn14">
        <w:r>
          <w:rPr>
            <w:rFonts w:eastAsia="inter" w:cs="inter" w:ascii="inter" w:hAnsi="inter"/>
            <w:color w:val="#000"/>
            <w:u w:val="single"/>
            <w:vertAlign w:val="superscript"/>
          </w:rPr>
          <w:t xml:space="preserve">[14]</w:t>
        </w:r>
      </w:hyperlink>
    </w:p>
    <w:p>
      <w:pPr>
        <w:spacing w:line="360" w:after="210" w:lineRule="auto"/>
      </w:pPr>
      <w:r>
        <w:rPr>
          <w:rFonts w:eastAsia="inter" w:cs="inter" w:ascii="inter" w:hAnsi="inter"/>
          <w:color w:val="000000"/>
        </w:rPr>
        <w:t xml:space="preserve">The plastics market demonstrates characteristics of oligopolistic competition, with top-5 global producers (BASF, Dow Chemical, SABIC, LG Chem, Formosa Plastics) controlling approximately 45% of capacity. This concentration enables some pricing power, though geographic dispersion and storage costs limit sustainable price discrimination across regions.</w:t>
      </w:r>
      <w:bookmarkStart w:id="187" w:name="fnref39_5"/>
      <w:bookmarkEnd w:id="187"/>
      <w:hyperlink w:anchor="fn39">
        <w:r>
          <w:rPr>
            <w:rFonts w:eastAsia="inter" w:cs="inter" w:ascii="inter" w:hAnsi="inter"/>
            <w:color w:val="#000"/>
            <w:u w:val="single"/>
            <w:vertAlign w:val="superscript"/>
          </w:rPr>
          <w:t xml:space="preserve">[39]</w:t>
        </w:r>
      </w:hyperlink>
    </w:p>
    <w:p>
      <w:pPr>
        <w:spacing w:line="360" w:after="210" w:lineRule="auto"/>
      </w:pPr>
      <w:r>
        <w:rPr>
          <w:rFonts w:eastAsia="inter" w:cs="inter" w:ascii="inter" w:hAnsi="inter"/>
          <w:b/>
          <w:color w:val="000000"/>
        </w:rPr>
        <w:t xml:space="preserve">Metals: Aluminum and Titanium</w:t>
      </w:r>
    </w:p>
    <w:p>
      <w:pPr>
        <w:spacing w:line="360" w:after="210" w:lineRule="auto"/>
      </w:pPr>
      <w:r>
        <w:rPr>
          <w:rFonts w:eastAsia="inter" w:cs="inter" w:ascii="inter" w:hAnsi="inter"/>
          <w:color w:val="000000"/>
        </w:rPr>
        <w:t xml:space="preserve">Metal inputs serve structural and thermal conduction functions:</w:t>
      </w:r>
    </w:p>
    <w:p>
      <w:pPr>
        <w:spacing w:line="360" w:after="210" w:lineRule="auto"/>
      </w:pPr>
      <w:r>
        <w:rPr>
          <w:rFonts w:eastAsia="inter" w:cs="inter" w:ascii="inter" w:hAnsi="inter"/>
          <w:i/>
          <w:color w:val="000000"/>
        </w:rPr>
        <w:t xml:space="preserve">Aluminum alloys</w:t>
      </w:r>
      <w:r>
        <w:rPr>
          <w:rFonts w:eastAsia="inter" w:cs="inter" w:ascii="inter" w:hAnsi="inter"/>
          <w:color w:val="000000"/>
        </w:rPr>
        <w:t xml:space="preserve">: Used for heating plates (budget models) and heat sinks. London Metal Exchange (LME) aluminum prices averaged USD 2,200-2,600 per metric ton in 2024. A typical straightener contains 40-80 grams of aluminum, contributing USD 0.09-0.21 to material costs. Aluminum markets exhibit high supply elasticity (estimated 1.2-1.5) due to abundant bauxite reserves and established recycling infrastructure recovering 75%+ of end-of-life aluminum.</w:t>
      </w:r>
      <w:bookmarkStart w:id="188" w:name="fnref14_8"/>
      <w:bookmarkEnd w:id="188"/>
      <w:hyperlink w:anchor="fn14">
        <w:r>
          <w:rPr>
            <w:rFonts w:eastAsia="inter" w:cs="inter" w:ascii="inter" w:hAnsi="inter"/>
            <w:color w:val="#000"/>
            <w:u w:val="single"/>
            <w:vertAlign w:val="superscript"/>
          </w:rPr>
          <w:t xml:space="preserve">[14]</w:t>
        </w:r>
      </w:hyperlink>
      <w:bookmarkStart w:id="189" w:name="fnref60_1"/>
      <w:bookmarkEnd w:id="189"/>
      <w:hyperlink w:anchor="fn60">
        <w:r>
          <w:rPr>
            <w:rFonts w:eastAsia="inter" w:cs="inter" w:ascii="inter" w:hAnsi="inter"/>
            <w:color w:val="#000"/>
            <w:u w:val="single"/>
            <w:vertAlign w:val="superscript"/>
          </w:rPr>
          <w:t xml:space="preserve">[60]</w:t>
        </w:r>
      </w:hyperlink>
      <w:bookmarkStart w:id="190" w:name="fnref39_6"/>
      <w:bookmarkEnd w:id="190"/>
      <w:hyperlink w:anchor="fn39">
        <w:r>
          <w:rPr>
            <w:rFonts w:eastAsia="inter" w:cs="inter" w:ascii="inter" w:hAnsi="inter"/>
            <w:color w:val="#000"/>
            <w:u w:val="single"/>
            <w:vertAlign w:val="superscript"/>
          </w:rPr>
          <w:t xml:space="preserve">[39]</w:t>
        </w:r>
      </w:hyperlink>
    </w:p>
    <w:p>
      <w:pPr>
        <w:spacing w:line="360" w:after="210" w:lineRule="auto"/>
      </w:pPr>
      <w:r>
        <w:rPr>
          <w:rFonts w:eastAsia="inter" w:cs="inter" w:ascii="inter" w:hAnsi="inter"/>
          <w:i/>
          <w:color w:val="000000"/>
        </w:rPr>
        <w:t xml:space="preserve">Titanium</w:t>
      </w:r>
      <w:r>
        <w:rPr>
          <w:rFonts w:eastAsia="inter" w:cs="inter" w:ascii="inter" w:hAnsi="inter"/>
          <w:color w:val="000000"/>
        </w:rPr>
        <w:t xml:space="preserve">: Premium straighteners utilize titanium plates for superior heat conductivity and corrosion resistance. Commercial titanium pricing ranges USD 15,000-25,000 per metric ton, approximately 8-10x aluminum prices. This substantial cost differential restricts titanium to products retailing above USD 100, where consumers exhibit lower price sensitivity. Titanium supply is more inelastic (estimated 0.4-0.6) due to concentrated production (China 55%, Russia 20%, Japan 15% of global capacity) and energy-intensive extraction processes.</w:t>
      </w:r>
      <w:bookmarkStart w:id="191" w:name="fnref13_18"/>
      <w:bookmarkEnd w:id="191"/>
      <w:hyperlink w:anchor="fn13">
        <w:r>
          <w:rPr>
            <w:rFonts w:eastAsia="inter" w:cs="inter" w:ascii="inter" w:hAnsi="inter"/>
            <w:color w:val="#000"/>
            <w:u w:val="single"/>
            <w:vertAlign w:val="superscript"/>
          </w:rPr>
          <w:t xml:space="preserve">[13]</w:t>
        </w:r>
      </w:hyperlink>
      <w:bookmarkStart w:id="192" w:name="fnref14_9"/>
      <w:bookmarkEnd w:id="192"/>
      <w:hyperlink w:anchor="fn14">
        <w:r>
          <w:rPr>
            <w:rFonts w:eastAsia="inter" w:cs="inter" w:ascii="inter" w:hAnsi="inter"/>
            <w:color w:val="#000"/>
            <w:u w:val="single"/>
            <w:vertAlign w:val="superscript"/>
          </w:rPr>
          <w:t xml:space="preserve">[14]</w:t>
        </w:r>
      </w:hyperlink>
      <w:bookmarkStart w:id="193" w:name="fnref39_7"/>
      <w:bookmarkEnd w:id="193"/>
      <w:hyperlink w:anchor="fn39">
        <w:r>
          <w:rPr>
            <w:rFonts w:eastAsia="inter" w:cs="inter" w:ascii="inter" w:hAnsi="inter"/>
            <w:color w:val="#000"/>
            <w:u w:val="single"/>
            <w:vertAlign w:val="superscript"/>
          </w:rPr>
          <w:t xml:space="preserve">[39]</w:t>
        </w:r>
      </w:hyperlink>
    </w:p>
    <w:p>
      <w:pPr>
        <w:spacing w:line="360" w:after="210" w:lineRule="auto"/>
      </w:pPr>
      <w:r>
        <w:rPr>
          <w:rFonts w:eastAsia="inter" w:cs="inter" w:ascii="inter" w:hAnsi="inter"/>
          <w:b/>
          <w:color w:val="000000"/>
        </w:rPr>
        <w:t xml:space="preserve">Ceramic Materials</w:t>
      </w:r>
    </w:p>
    <w:p>
      <w:pPr>
        <w:spacing w:line="360" w:after="210" w:lineRule="auto"/>
      </w:pPr>
      <w:r>
        <w:rPr>
          <w:rFonts w:eastAsia="inter" w:cs="inter" w:ascii="inter" w:hAnsi="inter"/>
          <w:color w:val="000000"/>
        </w:rPr>
        <w:t xml:space="preserve">Ceramic heating elements and plate coatings utilize:</w:t>
      </w:r>
    </w:p>
    <w:p>
      <w:pPr>
        <w:spacing w:line="360" w:after="210" w:lineRule="auto"/>
      </w:pPr>
      <w:r>
        <w:rPr>
          <w:rFonts w:eastAsia="inter" w:cs="inter" w:ascii="inter" w:hAnsi="inter"/>
          <w:i/>
          <w:color w:val="000000"/>
        </w:rPr>
        <w:t xml:space="preserve">Alumina-based ceramics</w:t>
      </w:r>
      <w:r>
        <w:rPr>
          <w:rFonts w:eastAsia="inter" w:cs="inter" w:ascii="inter" w:hAnsi="inter"/>
          <w:color w:val="000000"/>
        </w:rPr>
        <w:t xml:space="preserve">: Aluminum oxide (Al₂O₃) provides electrical insulation and thermal conductivity for heating elements. Industrial alumina costs USD 400-600 per metric ton, with purity requirements (&gt;99.5% for electrical applications) adding 20-30% premiums. A straightener's ceramic components contain 30-60 grams of fired ceramic, translating to USD 0.02-0.05 in raw material costs before processing.</w:t>
      </w:r>
      <w:bookmarkStart w:id="194" w:name="fnref61"/>
      <w:bookmarkEnd w:id="194"/>
      <w:hyperlink w:anchor="fn61">
        <w:r>
          <w:rPr>
            <w:rFonts w:eastAsia="inter" w:cs="inter" w:ascii="inter" w:hAnsi="inter"/>
            <w:color w:val="#000"/>
            <w:u w:val="single"/>
            <w:vertAlign w:val="superscript"/>
          </w:rPr>
          <w:t xml:space="preserve">[61]</w:t>
        </w:r>
      </w:hyperlink>
      <w:bookmarkStart w:id="195" w:name="fnref13_19"/>
      <w:bookmarkEnd w:id="195"/>
      <w:hyperlink w:anchor="fn13">
        <w:r>
          <w:rPr>
            <w:rFonts w:eastAsia="inter" w:cs="inter" w:ascii="inter" w:hAnsi="inter"/>
            <w:color w:val="#000"/>
            <w:u w:val="single"/>
            <w:vertAlign w:val="superscript"/>
          </w:rPr>
          <w:t xml:space="preserve">[13]</w:t>
        </w:r>
      </w:hyperlink>
    </w:p>
    <w:p>
      <w:pPr>
        <w:spacing w:line="360" w:after="210" w:lineRule="auto"/>
      </w:pPr>
      <w:r>
        <w:rPr>
          <w:rFonts w:eastAsia="inter" w:cs="inter" w:ascii="inter" w:hAnsi="inter"/>
          <w:i/>
          <w:color w:val="000000"/>
        </w:rPr>
        <w:t xml:space="preserve">Barium titanate for PTC elements</w:t>
      </w:r>
      <w:r>
        <w:rPr>
          <w:rFonts w:eastAsia="inter" w:cs="inter" w:ascii="inter" w:hAnsi="inter"/>
          <w:color w:val="000000"/>
        </w:rPr>
        <w:t xml:space="preserve">: Specialized ceramics for self-regulating heaters require precise dopant concentrations of rare-earth elements. Processed barium titanate costs USD 15-35 per kilogram depending on specifications, contributing USD 0.30-0.80 per PTC element. This market shows characteristics of monopolistic competition, with 15-20 global producers differentiating on quality consistency and temperature precision.</w:t>
      </w:r>
      <w:bookmarkStart w:id="196" w:name="fnref19_6"/>
      <w:bookmarkEnd w:id="196"/>
      <w:hyperlink w:anchor="fn19">
        <w:r>
          <w:rPr>
            <w:rFonts w:eastAsia="inter" w:cs="inter" w:ascii="inter" w:hAnsi="inter"/>
            <w:color w:val="#000"/>
            <w:u w:val="single"/>
            <w:vertAlign w:val="superscript"/>
          </w:rPr>
          <w:t xml:space="preserve">[19]</w:t>
        </w:r>
      </w:hyperlink>
      <w:bookmarkStart w:id="197" w:name="fnref38_1"/>
      <w:bookmarkEnd w:id="197"/>
      <w:hyperlink w:anchor="fn38">
        <w:r>
          <w:rPr>
            <w:rFonts w:eastAsia="inter" w:cs="inter" w:ascii="inter" w:hAnsi="inter"/>
            <w:color w:val="#000"/>
            <w:u w:val="single"/>
            <w:vertAlign w:val="superscript"/>
          </w:rPr>
          <w:t xml:space="preserve">[38]</w:t>
        </w:r>
      </w:hyperlink>
      <w:bookmarkStart w:id="198" w:name="fnref61_1"/>
      <w:bookmarkEnd w:id="198"/>
      <w:hyperlink w:anchor="fn61">
        <w:r>
          <w:rPr>
            <w:rFonts w:eastAsia="inter" w:cs="inter" w:ascii="inter" w:hAnsi="inter"/>
            <w:color w:val="#000"/>
            <w:u w:val="single"/>
            <w:vertAlign w:val="superscript"/>
          </w:rPr>
          <w:t xml:space="preserve">[61]</w:t>
        </w:r>
      </w:hyperlink>
    </w:p>
    <w:p>
      <w:pPr>
        <w:spacing w:line="360" w:after="210" w:lineRule="auto"/>
      </w:pPr>
      <w:r>
        <w:rPr>
          <w:rFonts w:eastAsia="inter" w:cs="inter" w:ascii="inter" w:hAnsi="inter"/>
          <w:color w:val="000000"/>
        </w:rPr>
        <w:t xml:space="preserve">The ceramic supply chain exhibits vertical integration, with leading heating element manufacturers (Pelonis, DBK Group) controlling raw material sourcing through long-term contracts with alumina refiners. This vertical control reduces input price volatility but creates entry barriers for new heating element producers lacking similar purchasing power.</w:t>
      </w:r>
      <w:bookmarkStart w:id="199" w:name="fnref50_1"/>
      <w:bookmarkEnd w:id="199"/>
      <w:hyperlink w:anchor="fn50">
        <w:r>
          <w:rPr>
            <w:rFonts w:eastAsia="inter" w:cs="inter" w:ascii="inter" w:hAnsi="inter"/>
            <w:color w:val="#000"/>
            <w:u w:val="single"/>
            <w:vertAlign w:val="superscript"/>
          </w:rPr>
          <w:t xml:space="preserve">[50]</w:t>
        </w:r>
      </w:hyperlink>
      <w:bookmarkStart w:id="200" w:name="fnref19_7"/>
      <w:bookmarkEnd w:id="200"/>
      <w:hyperlink w:anchor="fn19">
        <w:r>
          <w:rPr>
            <w:rFonts w:eastAsia="inter" w:cs="inter" w:ascii="inter" w:hAnsi="inter"/>
            <w:color w:val="#000"/>
            <w:u w:val="single"/>
            <w:vertAlign w:val="superscript"/>
          </w:rPr>
          <w:t xml:space="preserve">[19]</w:t>
        </w:r>
      </w:hyperlink>
    </w:p>
    <w:p>
      <w:pPr>
        <w:spacing w:line="360" w:after="210" w:lineRule="auto"/>
      </w:pPr>
      <w:r>
        <w:rPr>
          <w:rFonts w:eastAsia="inter" w:cs="inter" w:ascii="inter" w:hAnsi="inter"/>
          <w:b/>
          <w:color w:val="000000"/>
        </w:rPr>
        <w:t xml:space="preserve">Electronic Components</w:t>
      </w:r>
    </w:p>
    <w:p>
      <w:pPr>
        <w:spacing w:line="360" w:after="210" w:lineRule="auto"/>
      </w:pPr>
      <w:r>
        <w:rPr>
          <w:rFonts w:eastAsia="inter" w:cs="inter" w:ascii="inter" w:hAnsi="inter"/>
          <w:color w:val="000000"/>
        </w:rPr>
        <w:t xml:space="preserve">Electrical systems incorporate:</w:t>
      </w:r>
    </w:p>
    <w:p>
      <w:pPr>
        <w:spacing w:line="360" w:after="210" w:lineRule="auto"/>
      </w:pPr>
      <w:r>
        <w:rPr>
          <w:rFonts w:eastAsia="inter" w:cs="inter" w:ascii="inter" w:hAnsi="inter"/>
          <w:i/>
          <w:color w:val="000000"/>
        </w:rPr>
        <w:t xml:space="preserve">Printed Circuit Boards (PCBs)</w:t>
      </w:r>
      <w:r>
        <w:rPr>
          <w:rFonts w:eastAsia="inter" w:cs="inter" w:ascii="inter" w:hAnsi="inter"/>
          <w:color w:val="000000"/>
        </w:rPr>
        <w:t xml:space="preserve">: Multi-layer PCBs with temperature control circuits cost USD 1.50-4.00 per unit depending on complexity. The PCB market is highly competitive with over 2,000 global fabricators, producing near-perfect competition conditions in standard designs. However, HDI (High-Density Interconnect) boards for compact premium models command 40-60% premiums due to specialized manufacturing requirements.</w:t>
      </w:r>
      <w:bookmarkStart w:id="201" w:name="fnref36_8"/>
      <w:bookmarkEnd w:id="201"/>
      <w:hyperlink w:anchor="fn36">
        <w:r>
          <w:rPr>
            <w:rFonts w:eastAsia="inter" w:cs="inter" w:ascii="inter" w:hAnsi="inter"/>
            <w:color w:val="#000"/>
            <w:u w:val="single"/>
            <w:vertAlign w:val="superscript"/>
          </w:rPr>
          <w:t xml:space="preserve">[36]</w:t>
        </w:r>
      </w:hyperlink>
      <w:bookmarkStart w:id="202" w:name="fnref40_3"/>
      <w:bookmarkEnd w:id="202"/>
      <w:hyperlink w:anchor="fn40">
        <w:r>
          <w:rPr>
            <w:rFonts w:eastAsia="inter" w:cs="inter" w:ascii="inter" w:hAnsi="inter"/>
            <w:color w:val="#000"/>
            <w:u w:val="single"/>
            <w:vertAlign w:val="superscript"/>
          </w:rPr>
          <w:t xml:space="preserve">[40]</w:t>
        </w:r>
      </w:hyperlink>
    </w:p>
    <w:p>
      <w:pPr>
        <w:spacing w:line="360" w:after="210" w:lineRule="auto"/>
      </w:pPr>
      <w:r>
        <w:rPr>
          <w:rFonts w:eastAsia="inter" w:cs="inter" w:ascii="inter" w:hAnsi="inter"/>
          <w:i/>
          <w:color w:val="000000"/>
        </w:rPr>
        <w:t xml:space="preserve">Microcontrollers and sensors</w:t>
      </w:r>
      <w:r>
        <w:rPr>
          <w:rFonts w:eastAsia="inter" w:cs="inter" w:ascii="inter" w:hAnsi="inter"/>
          <w:color w:val="000000"/>
        </w:rPr>
        <w:t xml:space="preserve">: Temperature control ICs (integrated circuits) and thermistors add USD 0.80-2.50 in component costs. This segment demonstrates oligopolistic structure with top suppliers (Texas Instruments, STMicroelectronics, Infineon) holding substantial market shares in power management ICs.</w:t>
      </w:r>
      <w:bookmarkStart w:id="203" w:name="fnref40_4"/>
      <w:bookmarkEnd w:id="203"/>
      <w:hyperlink w:anchor="fn40">
        <w:r>
          <w:rPr>
            <w:rFonts w:eastAsia="inter" w:cs="inter" w:ascii="inter" w:hAnsi="inter"/>
            <w:color w:val="#000"/>
            <w:u w:val="single"/>
            <w:vertAlign w:val="superscript"/>
          </w:rPr>
          <w:t xml:space="preserve">[40]</w:t>
        </w:r>
      </w:hyperlink>
      <w:bookmarkStart w:id="204" w:name="fnref13_20"/>
      <w:bookmarkEnd w:id="204"/>
      <w:hyperlink w:anchor="fn13">
        <w:r>
          <w:rPr>
            <w:rFonts w:eastAsia="inter" w:cs="inter" w:ascii="inter" w:hAnsi="inter"/>
            <w:color w:val="#000"/>
            <w:u w:val="single"/>
            <w:vertAlign w:val="superscript"/>
          </w:rPr>
          <w:t xml:space="preserve">[13]</w:t>
        </w:r>
      </w:hyperlink>
    </w:p>
    <w:p>
      <w:pPr>
        <w:spacing w:line="360" w:after="210" w:lineRule="auto"/>
      </w:pPr>
      <w:r>
        <w:rPr>
          <w:rFonts w:eastAsia="inter" w:cs="inter" w:ascii="inter" w:hAnsi="inter"/>
          <w:i/>
          <w:color w:val="000000"/>
        </w:rPr>
        <w:t xml:space="preserve">Wiring and connectors</w:t>
      </w:r>
      <w:r>
        <w:rPr>
          <w:rFonts w:eastAsia="inter" w:cs="inter" w:ascii="inter" w:hAnsi="inter"/>
          <w:color w:val="000000"/>
        </w:rPr>
        <w:t xml:space="preserve">: Copper wire, PVC insulation, and standardized connectors contribute USD 0.40-0.90 per unit. Copper prices (approximately USD 8,500 per metric ton in 2024) directly impact cable costs, though hair straighteners' minimal copper content (15-30 grams) limits price exposure.</w:t>
      </w:r>
      <w:bookmarkStart w:id="205" w:name="fnref40_5"/>
      <w:bookmarkEnd w:id="205"/>
      <w:hyperlink w:anchor="fn40">
        <w:r>
          <w:rPr>
            <w:rFonts w:eastAsia="inter" w:cs="inter" w:ascii="inter" w:hAnsi="inter"/>
            <w:color w:val="#000"/>
            <w:u w:val="single"/>
            <w:vertAlign w:val="superscript"/>
          </w:rPr>
          <w:t xml:space="preserve">[40]</w:t>
        </w:r>
      </w:hyperlink>
      <w:bookmarkStart w:id="206" w:name="fnref14_10"/>
      <w:bookmarkEnd w:id="206"/>
      <w:hyperlink w:anchor="fn14">
        <w:r>
          <w:rPr>
            <w:rFonts w:eastAsia="inter" w:cs="inter" w:ascii="inter" w:hAnsi="inter"/>
            <w:color w:val="#000"/>
            <w:u w:val="single"/>
            <w:vertAlign w:val="superscript"/>
          </w:rPr>
          <w:t xml:space="preserve">[14]</w:t>
        </w:r>
      </w:hyperlink>
      <w:bookmarkStart w:id="207" w:name="fnref39_8"/>
      <w:bookmarkEnd w:id="207"/>
      <w:hyperlink w:anchor="fn39">
        <w:r>
          <w:rPr>
            <w:rFonts w:eastAsia="inter" w:cs="inter" w:ascii="inter" w:hAnsi="inter"/>
            <w:color w:val="#000"/>
            <w:u w:val="single"/>
            <w:vertAlign w:val="superscript"/>
          </w:rPr>
          <w:t xml:space="preserve">[39]</w:t>
        </w:r>
      </w:hyperlink>
    </w:p>
    <w:p>
      <w:pPr>
        <w:spacing w:line="360" w:after="210" w:lineRule="auto"/>
      </w:pPr>
      <w:r>
        <w:rPr>
          <w:rFonts w:eastAsia="inter" w:cs="inter" w:ascii="inter" w:hAnsi="inter"/>
          <w:color w:val="000000"/>
        </w:rPr>
        <w:t xml:space="preserve">The electronics supply chain's geographic concentration in East Asia creates network effects: component suppliers cluster near assembly facilities, reducing transportation costs and enabling rapid design iterations. This agglomeration effect explains why 70-80% of global hair straightener electronics sourcing occurs within 500 kilometers of final assembly locations.</w:t>
      </w:r>
      <w:bookmarkStart w:id="208" w:name="fnref37_14"/>
      <w:bookmarkEnd w:id="208"/>
      <w:hyperlink w:anchor="fn37">
        <w:r>
          <w:rPr>
            <w:rFonts w:eastAsia="inter" w:cs="inter" w:ascii="inter" w:hAnsi="inter"/>
            <w:color w:val="#000"/>
            <w:u w:val="single"/>
            <w:vertAlign w:val="superscript"/>
          </w:rPr>
          <w:t xml:space="preserve">[37]</w:t>
        </w:r>
      </w:hyperlink>
      <w:bookmarkStart w:id="209" w:name="fnref45_6"/>
      <w:bookmarkEnd w:id="209"/>
      <w:hyperlink w:anchor="fn45">
        <w:r>
          <w:rPr>
            <w:rFonts w:eastAsia="inter" w:cs="inter" w:ascii="inter" w:hAnsi="inter"/>
            <w:color w:val="#000"/>
            <w:u w:val="single"/>
            <w:vertAlign w:val="superscript"/>
          </w:rPr>
          <w:t xml:space="preserve">[45]</w:t>
        </w:r>
      </w:hyperlink>
      <w:bookmarkStart w:id="210" w:name="fnref36_9"/>
      <w:bookmarkEnd w:id="210"/>
      <w:hyperlink w:anchor="fn36">
        <w:r>
          <w:rPr>
            <w:rFonts w:eastAsia="inter" w:cs="inter" w:ascii="inter" w:hAnsi="inter"/>
            <w:color w:val="#000"/>
            <w:u w:val="single"/>
            <w:vertAlign w:val="superscript"/>
          </w:rPr>
          <w:t xml:space="preserve">[36]</w:t>
        </w:r>
      </w:hyperlink>
    </w:p>
    <w:p>
      <w:pPr>
        <w:spacing w:line="360" w:before="315" w:after="105" w:lineRule="auto"/>
        <w:ind w:left="-30"/>
        <w:jc w:val="left"/>
      </w:pPr>
      <w:bookmarkStart w:id="211" w:name="labor_and_capital_inputs_factor_p_5f5987"/>
      <w:r>
        <w:rPr>
          <w:rFonts w:eastAsia="inter" w:cs="inter" w:ascii="inter" w:hAnsi="inter"/>
          <w:b/>
          <w:color w:val="000000"/>
          <w:sz w:val="24"/>
        </w:rPr>
        <w:t xml:space="preserve">Labor and Capital Inputs: Factor Productivity Analysis</w:t>
      </w:r>
      <w:bookmarkEnd w:id="211"/>
    </w:p>
    <w:p>
      <w:pPr>
        <w:spacing w:line="360" w:after="210" w:lineRule="auto"/>
      </w:pPr>
      <w:r>
        <w:rPr>
          <w:rFonts w:eastAsia="inter" w:cs="inter" w:ascii="inter" w:hAnsi="inter"/>
          <w:color w:val="000000"/>
        </w:rPr>
        <w:t xml:space="preserve">Production functions for hair straighteners exhibit varying capital-labor intensities across manufacturing stages and market segments, with significant implications for cost structures and location decisions.</w:t>
      </w:r>
      <w:bookmarkStart w:id="212" w:name="fnref62"/>
      <w:bookmarkEnd w:id="212"/>
      <w:hyperlink w:anchor="fn62">
        <w:r>
          <w:rPr>
            <w:rFonts w:eastAsia="inter" w:cs="inter" w:ascii="inter" w:hAnsi="inter"/>
            <w:color w:val="#000"/>
            <w:u w:val="single"/>
            <w:vertAlign w:val="superscript"/>
          </w:rPr>
          <w:t xml:space="preserve">[62]</w:t>
        </w:r>
      </w:hyperlink>
      <w:bookmarkStart w:id="213" w:name="fnref63"/>
      <w:bookmarkEnd w:id="213"/>
      <w:hyperlink w:anchor="fn63">
        <w:r>
          <w:rPr>
            <w:rFonts w:eastAsia="inter" w:cs="inter" w:ascii="inter" w:hAnsi="inter"/>
            <w:color w:val="#000"/>
            <w:u w:val="single"/>
            <w:vertAlign w:val="superscript"/>
          </w:rPr>
          <w:t xml:space="preserve">[63]</w:t>
        </w:r>
      </w:hyperlink>
      <w:bookmarkStart w:id="214" w:name="fnref64"/>
      <w:bookmarkEnd w:id="214"/>
      <w:hyperlink w:anchor="fn64">
        <w:r>
          <w:rPr>
            <w:rFonts w:eastAsia="inter" w:cs="inter" w:ascii="inter" w:hAnsi="inter"/>
            <w:color w:val="#000"/>
            <w:u w:val="single"/>
            <w:vertAlign w:val="superscript"/>
          </w:rPr>
          <w:t xml:space="preserve">[64]</w:t>
        </w:r>
      </w:hyperlink>
    </w:p>
    <w:p>
      <w:pPr>
        <w:spacing w:line="360" w:after="210" w:lineRule="auto"/>
      </w:pPr>
      <w:r>
        <w:rPr>
          <w:rFonts w:eastAsia="inter" w:cs="inter" w:ascii="inter" w:hAnsi="inter"/>
          <w:b/>
          <w:color w:val="000000"/>
        </w:rPr>
        <w:t xml:space="preserve">Labor Inputs</w:t>
      </w:r>
    </w:p>
    <w:p>
      <w:pPr>
        <w:spacing w:line="360" w:after="210" w:lineRule="auto"/>
      </w:pPr>
      <w:r>
        <w:rPr>
          <w:rFonts w:eastAsia="inter" w:cs="inter" w:ascii="inter" w:hAnsi="inter"/>
          <w:color w:val="000000"/>
        </w:rPr>
        <w:t xml:space="preserve">Manufacturing labor can be categorized into direct production workers and indirect support personnel:</w:t>
      </w:r>
    </w:p>
    <w:p>
      <w:pPr>
        <w:spacing w:line="360" w:after="210" w:lineRule="auto"/>
      </w:pPr>
      <w:r>
        <w:rPr>
          <w:rFonts w:eastAsia="inter" w:cs="inter" w:ascii="inter" w:hAnsi="inter"/>
          <w:i/>
          <w:color w:val="000000"/>
        </w:rPr>
        <w:t xml:space="preserve">Assembly line workers</w:t>
      </w:r>
      <w:r>
        <w:rPr>
          <w:rFonts w:eastAsia="inter" w:cs="inter" w:ascii="inter" w:hAnsi="inter"/>
          <w:color w:val="000000"/>
        </w:rPr>
        <w:t xml:space="preserve"> perform component insertion, wiring, and quality checks. Wage rates vary dramatically by location:</w:t>
      </w:r>
    </w:p>
    <w:p>
      <w:pPr>
        <w:numPr>
          <w:ilvl w:val="0"/>
          <w:numId w:val="20"/>
        </w:numPr>
        <w:spacing w:line="360" w:before="105" w:after="105" w:lineRule="auto"/>
      </w:pPr>
      <w:r>
        <w:rPr>
          <w:rFonts w:eastAsia="inter" w:cs="inter" w:ascii="inter" w:hAnsi="inter"/>
          <w:color w:val="000000"/>
          <w:sz w:val="21"/>
        </w:rPr>
        <w:t xml:space="preserve">China: USD 4-6 per hour with productivity of 15-20 units per worker-hour</w:t>
      </w:r>
      <w:bookmarkStart w:id="215" w:name="fnref37_15"/>
      <w:bookmarkEnd w:id="215"/>
      <w:hyperlink w:anchor="fn37">
        <w:r>
          <w:rPr>
            <w:rFonts w:eastAsia="inter" w:cs="inter" w:ascii="inter" w:hAnsi="inter"/>
            <w:color w:val="#000"/>
            <w:sz w:val="21"/>
            <w:u w:val="single"/>
            <w:vertAlign w:val="superscript"/>
          </w:rPr>
          <w:t xml:space="preserve">[37]</w:t>
        </w:r>
      </w:hyperlink>
      <w:bookmarkStart w:id="216" w:name="fnref45_7"/>
      <w:bookmarkEnd w:id="216"/>
      <w:hyperlink w:anchor="fn45">
        <w:r>
          <w:rPr>
            <w:rFonts w:eastAsia="inter" w:cs="inter" w:ascii="inter" w:hAnsi="inter"/>
            <w:color w:val="#000"/>
            <w:sz w:val="21"/>
            <w:u w:val="single"/>
            <w:vertAlign w:val="superscript"/>
          </w:rPr>
          <w:t xml:space="preserve">[45]</w:t>
        </w:r>
      </w:hyperlink>
    </w:p>
    <w:p>
      <w:pPr>
        <w:numPr>
          <w:ilvl w:val="0"/>
          <w:numId w:val="20"/>
        </w:numPr>
        <w:spacing w:line="360" w:before="105" w:after="105" w:lineRule="auto"/>
      </w:pPr>
      <w:r>
        <w:rPr>
          <w:rFonts w:eastAsia="inter" w:cs="inter" w:ascii="inter" w:hAnsi="inter"/>
          <w:color w:val="000000"/>
          <w:sz w:val="21"/>
        </w:rPr>
        <w:t xml:space="preserve">India: USD 2-3 per hour with productivity of 10-15 units per worker-hour</w:t>
      </w:r>
      <w:bookmarkStart w:id="217" w:name="fnref6_6"/>
      <w:bookmarkEnd w:id="217"/>
      <w:hyperlink w:anchor="fn6">
        <w:r>
          <w:rPr>
            <w:rFonts w:eastAsia="inter" w:cs="inter" w:ascii="inter" w:hAnsi="inter"/>
            <w:color w:val="#000"/>
            <w:sz w:val="21"/>
            <w:u w:val="single"/>
            <w:vertAlign w:val="superscript"/>
          </w:rPr>
          <w:t xml:space="preserve">[6]</w:t>
        </w:r>
      </w:hyperlink>
    </w:p>
    <w:p>
      <w:pPr>
        <w:numPr>
          <w:ilvl w:val="0"/>
          <w:numId w:val="20"/>
        </w:numPr>
        <w:spacing w:line="360" w:before="105" w:after="105" w:lineRule="auto"/>
      </w:pPr>
      <w:r>
        <w:rPr>
          <w:rFonts w:eastAsia="inter" w:cs="inter" w:ascii="inter" w:hAnsi="inter"/>
          <w:color w:val="000000"/>
          <w:sz w:val="21"/>
        </w:rPr>
        <w:t xml:space="preserve">Vietnam: USD 2-4 per hour with productivity of 12-18 units per worker-hour</w:t>
      </w:r>
      <w:bookmarkStart w:id="218" w:name="fnref37_16"/>
      <w:bookmarkEnd w:id="218"/>
      <w:hyperlink w:anchor="fn37">
        <w:r>
          <w:rPr>
            <w:rFonts w:eastAsia="inter" w:cs="inter" w:ascii="inter" w:hAnsi="inter"/>
            <w:color w:val="#000"/>
            <w:sz w:val="21"/>
            <w:u w:val="single"/>
            <w:vertAlign w:val="superscript"/>
          </w:rPr>
          <w:t xml:space="preserve">[37]</w:t>
        </w:r>
      </w:hyperlink>
    </w:p>
    <w:p>
      <w:pPr>
        <w:spacing w:line="360" w:after="210" w:lineRule="auto"/>
      </w:pPr>
      <w:r>
        <w:rPr>
          <w:rFonts w:eastAsia="inter" w:cs="inter" w:ascii="inter" w:hAnsi="inter"/>
          <w:color w:val="000000"/>
        </w:rPr>
        <w:t xml:space="preserve">These figures indicate that despite lower nominal wages in India and Vietnam, China maintains unit labor cost competitiveness through superior productivity driven by workforce experience and process optimization.</w:t>
      </w:r>
      <w:bookmarkStart w:id="219" w:name="fnref45_8"/>
      <w:bookmarkEnd w:id="219"/>
      <w:hyperlink w:anchor="fn45">
        <w:r>
          <w:rPr>
            <w:rFonts w:eastAsia="inter" w:cs="inter" w:ascii="inter" w:hAnsi="inter"/>
            <w:color w:val="#000"/>
            <w:u w:val="single"/>
            <w:vertAlign w:val="superscript"/>
          </w:rPr>
          <w:t xml:space="preserve">[45]</w:t>
        </w:r>
      </w:hyperlink>
      <w:bookmarkStart w:id="220" w:name="fnref37_17"/>
      <w:bookmarkEnd w:id="220"/>
      <w:hyperlink w:anchor="fn37">
        <w:r>
          <w:rPr>
            <w:rFonts w:eastAsia="inter" w:cs="inter" w:ascii="inter" w:hAnsi="inter"/>
            <w:color w:val="#000"/>
            <w:u w:val="single"/>
            <w:vertAlign w:val="superscript"/>
          </w:rPr>
          <w:t xml:space="preserve">[37]</w:t>
        </w:r>
      </w:hyperlink>
    </w:p>
    <w:p>
      <w:pPr>
        <w:spacing w:line="360" w:after="210" w:lineRule="auto"/>
      </w:pPr>
      <w:r>
        <w:rPr>
          <w:rFonts w:eastAsia="inter" w:cs="inter" w:ascii="inter" w:hAnsi="inter"/>
          <w:i/>
          <w:color w:val="000000"/>
        </w:rPr>
        <w:t xml:space="preserve">Skilled technicians</w:t>
      </w:r>
      <w:r>
        <w:rPr>
          <w:rFonts w:eastAsia="inter" w:cs="inter" w:ascii="inter" w:hAnsi="inter"/>
          <w:color w:val="000000"/>
        </w:rPr>
        <w:t xml:space="preserve"> responsible for machine setup, quality control, and maintenance command wage premiums of 50-100% over assembly workers. A typical production line employs 1 technician per 8-12 assembly workers, with technician wages comprising 15-20% of total labor costs.</w:t>
      </w:r>
      <w:bookmarkStart w:id="221" w:name="fnref41_6"/>
      <w:bookmarkEnd w:id="221"/>
      <w:hyperlink w:anchor="fn41">
        <w:r>
          <w:rPr>
            <w:rFonts w:eastAsia="inter" w:cs="inter" w:ascii="inter" w:hAnsi="inter"/>
            <w:color w:val="#000"/>
            <w:u w:val="single"/>
            <w:vertAlign w:val="superscript"/>
          </w:rPr>
          <w:t xml:space="preserve">[41]</w:t>
        </w:r>
      </w:hyperlink>
    </w:p>
    <w:p>
      <w:pPr>
        <w:spacing w:line="360" w:after="210" w:lineRule="auto"/>
      </w:pPr>
      <w:r>
        <w:rPr>
          <w:rFonts w:eastAsia="inter" w:cs="inter" w:ascii="inter" w:hAnsi="inter"/>
          <w:color w:val="000000"/>
        </w:rPr>
        <w:t xml:space="preserve">The labor share of total production costs varies inversely with automation levels:</w:t>
      </w:r>
    </w:p>
    <w:p>
      <w:pPr>
        <w:numPr>
          <w:ilvl w:val="0"/>
          <w:numId w:val="21"/>
        </w:numPr>
        <w:spacing w:line="360" w:before="105" w:after="105" w:lineRule="auto"/>
      </w:pPr>
      <w:r>
        <w:rPr>
          <w:rFonts w:eastAsia="inter" w:cs="inter" w:ascii="inter" w:hAnsi="inter"/>
          <w:color w:val="000000"/>
          <w:sz w:val="21"/>
        </w:rPr>
        <w:t xml:space="preserve">Manual assembly (budget segment): 25-35% of manufacturing costs</w:t>
      </w:r>
      <w:bookmarkStart w:id="222" w:name="fnref15_7"/>
      <w:bookmarkEnd w:id="222"/>
      <w:hyperlink w:anchor="fn15">
        <w:r>
          <w:rPr>
            <w:rFonts w:eastAsia="inter" w:cs="inter" w:ascii="inter" w:hAnsi="inter"/>
            <w:color w:val="#000"/>
            <w:sz w:val="21"/>
            <w:u w:val="single"/>
            <w:vertAlign w:val="superscript"/>
          </w:rPr>
          <w:t xml:space="preserve">[15]</w:t>
        </w:r>
      </w:hyperlink>
      <w:bookmarkStart w:id="223" w:name="fnref37_18"/>
      <w:bookmarkEnd w:id="223"/>
      <w:hyperlink w:anchor="fn37">
        <w:r>
          <w:rPr>
            <w:rFonts w:eastAsia="inter" w:cs="inter" w:ascii="inter" w:hAnsi="inter"/>
            <w:color w:val="#000"/>
            <w:sz w:val="21"/>
            <w:u w:val="single"/>
            <w:vertAlign w:val="superscript"/>
          </w:rPr>
          <w:t xml:space="preserve">[37]</w:t>
        </w:r>
      </w:hyperlink>
    </w:p>
    <w:p>
      <w:pPr>
        <w:numPr>
          <w:ilvl w:val="0"/>
          <w:numId w:val="21"/>
        </w:numPr>
        <w:spacing w:line="360" w:before="105" w:after="105" w:lineRule="auto"/>
      </w:pPr>
      <w:r>
        <w:rPr>
          <w:rFonts w:eastAsia="inter" w:cs="inter" w:ascii="inter" w:hAnsi="inter"/>
          <w:color w:val="000000"/>
          <w:sz w:val="21"/>
        </w:rPr>
        <w:t xml:space="preserve">Semi-automated (mid-range): 12-18%</w:t>
      </w:r>
      <w:bookmarkStart w:id="224" w:name="fnref41_7"/>
      <w:bookmarkEnd w:id="224"/>
      <w:hyperlink w:anchor="fn41">
        <w:r>
          <w:rPr>
            <w:rFonts w:eastAsia="inter" w:cs="inter" w:ascii="inter" w:hAnsi="inter"/>
            <w:color w:val="#000"/>
            <w:sz w:val="21"/>
            <w:u w:val="single"/>
            <w:vertAlign w:val="superscript"/>
          </w:rPr>
          <w:t xml:space="preserve">[41]</w:t>
        </w:r>
      </w:hyperlink>
    </w:p>
    <w:p>
      <w:pPr>
        <w:numPr>
          <w:ilvl w:val="0"/>
          <w:numId w:val="21"/>
        </w:numPr>
        <w:spacing w:line="360" w:before="105" w:after="105" w:lineRule="auto"/>
      </w:pPr>
      <w:r>
        <w:rPr>
          <w:rFonts w:eastAsia="inter" w:cs="inter" w:ascii="inter" w:hAnsi="inter"/>
          <w:color w:val="000000"/>
          <w:sz w:val="21"/>
        </w:rPr>
        <w:t xml:space="preserve">Highly automated (premium): 8-12%</w:t>
      </w:r>
      <w:bookmarkStart w:id="225" w:name="fnref54_1"/>
      <w:bookmarkEnd w:id="225"/>
      <w:hyperlink w:anchor="fn54">
        <w:r>
          <w:rPr>
            <w:rFonts w:eastAsia="inter" w:cs="inter" w:ascii="inter" w:hAnsi="inter"/>
            <w:color w:val="#000"/>
            <w:sz w:val="21"/>
            <w:u w:val="single"/>
            <w:vertAlign w:val="superscript"/>
          </w:rPr>
          <w:t xml:space="preserve">[54]</w:t>
        </w:r>
      </w:hyperlink>
      <w:bookmarkStart w:id="226" w:name="fnref41_8"/>
      <w:bookmarkEnd w:id="226"/>
      <w:hyperlink w:anchor="fn41">
        <w:r>
          <w:rPr>
            <w:rFonts w:eastAsia="inter" w:cs="inter" w:ascii="inter" w:hAnsi="inter"/>
            <w:color w:val="#000"/>
            <w:sz w:val="21"/>
            <w:u w:val="single"/>
            <w:vertAlign w:val="superscript"/>
          </w:rPr>
          <w:t xml:space="preserve">[41]</w:t>
        </w:r>
      </w:hyperlink>
    </w:p>
    <w:p>
      <w:pPr>
        <w:spacing w:line="360" w:after="210" w:lineRule="auto"/>
      </w:pPr>
      <w:r>
        <w:rPr>
          <w:rFonts w:eastAsia="inter" w:cs="inter" w:ascii="inter" w:hAnsi="inter"/>
          <w:color w:val="000000"/>
        </w:rPr>
        <w:t xml:space="preserve">This labor share variation reflects the capital-labor substitution elasticity, estimated at approximately 0.8-1.2 for consumer electronics assembly. As wage rates rise, manufacturers find it economically viable to substitute capital (automated equipment) for labor, explaining the ongoing automation trends in established manufacturing centers.</w:t>
      </w:r>
      <w:bookmarkStart w:id="227" w:name="fnref45_9"/>
      <w:bookmarkEnd w:id="227"/>
      <w:hyperlink w:anchor="fn45">
        <w:r>
          <w:rPr>
            <w:rFonts w:eastAsia="inter" w:cs="inter" w:ascii="inter" w:hAnsi="inter"/>
            <w:color w:val="#000"/>
            <w:u w:val="single"/>
            <w:vertAlign w:val="superscript"/>
          </w:rPr>
          <w:t xml:space="preserve">[45]</w:t>
        </w:r>
      </w:hyperlink>
      <w:bookmarkStart w:id="228" w:name="fnref41_9"/>
      <w:bookmarkEnd w:id="228"/>
      <w:hyperlink w:anchor="fn41">
        <w:r>
          <w:rPr>
            <w:rFonts w:eastAsia="inter" w:cs="inter" w:ascii="inter" w:hAnsi="inter"/>
            <w:color w:val="#000"/>
            <w:u w:val="single"/>
            <w:vertAlign w:val="superscript"/>
          </w:rPr>
          <w:t xml:space="preserve">[41]</w:t>
        </w:r>
      </w:hyperlink>
    </w:p>
    <w:p>
      <w:pPr>
        <w:spacing w:line="360" w:after="210" w:lineRule="auto"/>
      </w:pPr>
      <w:r>
        <w:rPr>
          <w:rFonts w:eastAsia="inter" w:cs="inter" w:ascii="inter" w:hAnsi="inter"/>
          <w:b/>
          <w:color w:val="000000"/>
        </w:rPr>
        <w:t xml:space="preserve">Capital Inputs</w:t>
      </w:r>
    </w:p>
    <w:p>
      <w:pPr>
        <w:spacing w:line="360" w:after="210" w:lineRule="auto"/>
      </w:pPr>
      <w:r>
        <w:rPr>
          <w:rFonts w:eastAsia="inter" w:cs="inter" w:ascii="inter" w:hAnsi="inter"/>
          <w:color w:val="000000"/>
        </w:rPr>
        <w:t xml:space="preserve">Fixed capital in hair straightener production includes:</w:t>
      </w:r>
    </w:p>
    <w:p>
      <w:pPr>
        <w:spacing w:line="360" w:after="210" w:lineRule="auto"/>
      </w:pPr>
      <w:r>
        <w:rPr>
          <w:rFonts w:eastAsia="inter" w:cs="inter" w:ascii="inter" w:hAnsi="inter"/>
          <w:i/>
          <w:color w:val="000000"/>
        </w:rPr>
        <w:t xml:space="preserve">Injection molding machines</w:t>
      </w:r>
      <w:r>
        <w:rPr>
          <w:rFonts w:eastAsia="inter" w:cs="inter" w:ascii="inter" w:hAnsi="inter"/>
          <w:color w:val="000000"/>
        </w:rPr>
        <w:t xml:space="preserve">: Plastic housing production requires tonnages ranging from 50-200 tons depending on component size. Equipment costs span USD 30,000-150,000 per machine, with each machine capable of producing 400-800 housings per eight-hour shift. Assuming 10-year depreciation, per-unit capital costs are USD 0.10-0.30 at 80% capacity utilization.</w:t>
      </w:r>
      <w:bookmarkStart w:id="229" w:name="fnref39_9"/>
      <w:bookmarkEnd w:id="229"/>
      <w:hyperlink w:anchor="fn39">
        <w:r>
          <w:rPr>
            <w:rFonts w:eastAsia="inter" w:cs="inter" w:ascii="inter" w:hAnsi="inter"/>
            <w:color w:val="#000"/>
            <w:u w:val="single"/>
            <w:vertAlign w:val="superscript"/>
          </w:rPr>
          <w:t xml:space="preserve">[39]</w:t>
        </w:r>
      </w:hyperlink>
      <w:bookmarkStart w:id="230" w:name="fnref34_3"/>
      <w:bookmarkEnd w:id="230"/>
      <w:hyperlink w:anchor="fn34">
        <w:r>
          <w:rPr>
            <w:rFonts w:eastAsia="inter" w:cs="inter" w:ascii="inter" w:hAnsi="inter"/>
            <w:color w:val="#000"/>
            <w:u w:val="single"/>
            <w:vertAlign w:val="superscript"/>
          </w:rPr>
          <w:t xml:space="preserve">[34]</w:t>
        </w:r>
      </w:hyperlink>
    </w:p>
    <w:p>
      <w:pPr>
        <w:spacing w:line="360" w:after="210" w:lineRule="auto"/>
      </w:pPr>
      <w:r>
        <w:rPr>
          <w:rFonts w:eastAsia="inter" w:cs="inter" w:ascii="inter" w:hAnsi="inter"/>
          <w:i/>
          <w:color w:val="000000"/>
        </w:rPr>
        <w:t xml:space="preserve">SMT (Surface-Mount Technology) assembly lines</w:t>
      </w:r>
      <w:r>
        <w:rPr>
          <w:rFonts w:eastAsia="inter" w:cs="inter" w:ascii="inter" w:hAnsi="inter"/>
          <w:color w:val="000000"/>
        </w:rPr>
        <w:t xml:space="preserve">: Automated PCB assembly systems cost USD 200,000-600,000 for complete lines handling component placement, reflow soldering, and automated optical inspection. At production volumes of 500,000+ units annually, capital depreciation contributes USD 0.40-1.20 per unit.</w:t>
      </w:r>
      <w:bookmarkStart w:id="231" w:name="fnref41_10"/>
      <w:bookmarkEnd w:id="231"/>
      <w:hyperlink w:anchor="fn41">
        <w:r>
          <w:rPr>
            <w:rFonts w:eastAsia="inter" w:cs="inter" w:ascii="inter" w:hAnsi="inter"/>
            <w:color w:val="#000"/>
            <w:u w:val="single"/>
            <w:vertAlign w:val="superscript"/>
          </w:rPr>
          <w:t xml:space="preserve">[41]</w:t>
        </w:r>
      </w:hyperlink>
    </w:p>
    <w:p>
      <w:pPr>
        <w:spacing w:line="360" w:after="210" w:lineRule="auto"/>
      </w:pPr>
      <w:r>
        <w:rPr>
          <w:rFonts w:eastAsia="inter" w:cs="inter" w:ascii="inter" w:hAnsi="inter"/>
          <w:i/>
          <w:color w:val="000000"/>
        </w:rPr>
        <w:t xml:space="preserve">Testing and calibration equipment</w:t>
      </w:r>
      <w:r>
        <w:rPr>
          <w:rFonts w:eastAsia="inter" w:cs="inter" w:ascii="inter" w:hAnsi="inter"/>
          <w:color w:val="000000"/>
        </w:rPr>
        <w:t xml:space="preserve">: Quality control systems including electrical safety testers, thermal cameras, and durability testing machines represent investments of USD 80,000-200,000 for comprehensive facilities. These costs spread across production volumes to USD 0.15-0.40 per unit for mid-volume manufacturers.</w:t>
      </w:r>
      <w:bookmarkStart w:id="232" w:name="fnref13_21"/>
      <w:bookmarkEnd w:id="232"/>
      <w:hyperlink w:anchor="fn13">
        <w:r>
          <w:rPr>
            <w:rFonts w:eastAsia="inter" w:cs="inter" w:ascii="inter" w:hAnsi="inter"/>
            <w:color w:val="#000"/>
            <w:u w:val="single"/>
            <w:vertAlign w:val="superscript"/>
          </w:rPr>
          <w:t xml:space="preserve">[13]</w:t>
        </w:r>
      </w:hyperlink>
      <w:bookmarkStart w:id="233" w:name="fnref35_6"/>
      <w:bookmarkEnd w:id="233"/>
      <w:hyperlink w:anchor="fn35">
        <w:r>
          <w:rPr>
            <w:rFonts w:eastAsia="inter" w:cs="inter" w:ascii="inter" w:hAnsi="inter"/>
            <w:color w:val="#000"/>
            <w:u w:val="single"/>
            <w:vertAlign w:val="superscript"/>
          </w:rPr>
          <w:t xml:space="preserve">[35]</w:t>
        </w:r>
      </w:hyperlink>
    </w:p>
    <w:p>
      <w:pPr>
        <w:spacing w:line="360" w:after="210" w:lineRule="auto"/>
      </w:pPr>
      <w:r>
        <w:rPr>
          <w:rFonts w:eastAsia="inter" w:cs="inter" w:ascii="inter" w:hAnsi="inter"/>
          <w:color w:val="000000"/>
        </w:rPr>
        <w:t xml:space="preserve">Total capital intensity (capital stock per production unit) averages USD 15-25 for budget models, USD 35-55 for mid-range products, and USD 80-120 for premium items. These figures reflect both the scale of manufacturing operations (larger volumes justify higher automation investments) and product complexity (premium models require more sophisticated assembly processes).</w:t>
      </w:r>
      <w:bookmarkStart w:id="234" w:name="fnref34_4"/>
      <w:bookmarkEnd w:id="234"/>
      <w:hyperlink w:anchor="fn34">
        <w:r>
          <w:rPr>
            <w:rFonts w:eastAsia="inter" w:cs="inter" w:ascii="inter" w:hAnsi="inter"/>
            <w:color w:val="#000"/>
            <w:u w:val="single"/>
            <w:vertAlign w:val="superscript"/>
          </w:rPr>
          <w:t xml:space="preserve">[34]</w:t>
        </w:r>
      </w:hyperlink>
    </w:p>
    <w:p>
      <w:pPr>
        <w:spacing w:line="360" w:after="210" w:lineRule="auto"/>
      </w:pPr>
      <w:r>
        <w:rPr>
          <w:rFonts w:eastAsia="inter" w:cs="inter" w:ascii="inter" w:hAnsi="inter"/>
          <w:color w:val="000000"/>
        </w:rPr>
        <w:t xml:space="preserve">The production function Q = f(K, L) for hair straighteners exhibits:</w:t>
      </w:r>
    </w:p>
    <w:p>
      <w:pPr>
        <w:numPr>
          <w:ilvl w:val="0"/>
          <w:numId w:val="22"/>
        </w:numPr>
        <w:spacing w:line="360" w:before="105" w:after="105" w:lineRule="auto"/>
      </w:pPr>
      <w:r>
        <w:rPr>
          <w:rFonts w:eastAsia="inter" w:cs="inter" w:ascii="inter" w:hAnsi="inter"/>
          <w:b/>
          <w:color w:val="000000"/>
          <w:sz w:val="21"/>
        </w:rPr>
        <w:t xml:space="preserve">Constant returns to scale</w:t>
      </w:r>
      <w:r>
        <w:rPr>
          <w:rFonts w:eastAsia="inter" w:cs="inter" w:ascii="inter" w:hAnsi="inter"/>
          <w:color w:val="000000"/>
          <w:sz w:val="21"/>
        </w:rPr>
        <w:t xml:space="preserve"> at moderate production volumes (50,000-500,000 units annually)</w:t>
      </w:r>
      <w:bookmarkStart w:id="235" w:name="fnref65"/>
      <w:bookmarkEnd w:id="235"/>
      <w:hyperlink w:anchor="fn65">
        <w:r>
          <w:rPr>
            <w:rFonts w:eastAsia="inter" w:cs="inter" w:ascii="inter" w:hAnsi="inter"/>
            <w:color w:val="#000"/>
            <w:sz w:val="21"/>
            <w:u w:val="single"/>
            <w:vertAlign w:val="superscript"/>
          </w:rPr>
          <w:t xml:space="preserve">[65]</w:t>
        </w:r>
      </w:hyperlink>
      <w:bookmarkStart w:id="236" w:name="fnref62_1"/>
      <w:bookmarkEnd w:id="236"/>
      <w:hyperlink w:anchor="fn62">
        <w:r>
          <w:rPr>
            <w:rFonts w:eastAsia="inter" w:cs="inter" w:ascii="inter" w:hAnsi="inter"/>
            <w:color w:val="#000"/>
            <w:sz w:val="21"/>
            <w:u w:val="single"/>
            <w:vertAlign w:val="superscript"/>
          </w:rPr>
          <w:t xml:space="preserve">[62]</w:t>
        </w:r>
      </w:hyperlink>
    </w:p>
    <w:p>
      <w:pPr>
        <w:numPr>
          <w:ilvl w:val="0"/>
          <w:numId w:val="22"/>
        </w:numPr>
        <w:spacing w:line="360" w:before="105" w:after="105" w:lineRule="auto"/>
      </w:pPr>
      <w:r>
        <w:rPr>
          <w:rFonts w:eastAsia="inter" w:cs="inter" w:ascii="inter" w:hAnsi="inter"/>
          <w:b/>
          <w:color w:val="000000"/>
          <w:sz w:val="21"/>
        </w:rPr>
        <w:t xml:space="preserve">Increasing returns to scale</w:t>
      </w:r>
      <w:r>
        <w:rPr>
          <w:rFonts w:eastAsia="inter" w:cs="inter" w:ascii="inter" w:hAnsi="inter"/>
          <w:color w:val="000000"/>
          <w:sz w:val="21"/>
        </w:rPr>
        <w:t xml:space="preserve"> at higher volumes (500,000-2 million units) due to specialization gains and indivisible capital equipment operating at optimal capacity</w:t>
      </w:r>
      <w:bookmarkStart w:id="237" w:name="fnref54_2"/>
      <w:bookmarkEnd w:id="237"/>
      <w:hyperlink w:anchor="fn54">
        <w:r>
          <w:rPr>
            <w:rFonts w:eastAsia="inter" w:cs="inter" w:ascii="inter" w:hAnsi="inter"/>
            <w:color w:val="#000"/>
            <w:sz w:val="21"/>
            <w:u w:val="single"/>
            <w:vertAlign w:val="superscript"/>
          </w:rPr>
          <w:t xml:space="preserve">[54]</w:t>
        </w:r>
      </w:hyperlink>
      <w:bookmarkStart w:id="238" w:name="fnref45_10"/>
      <w:bookmarkEnd w:id="238"/>
      <w:hyperlink w:anchor="fn45">
        <w:r>
          <w:rPr>
            <w:rFonts w:eastAsia="inter" w:cs="inter" w:ascii="inter" w:hAnsi="inter"/>
            <w:color w:val="#000"/>
            <w:sz w:val="21"/>
            <w:u w:val="single"/>
            <w:vertAlign w:val="superscript"/>
          </w:rPr>
          <w:t xml:space="preserve">[45]</w:t>
        </w:r>
      </w:hyperlink>
      <w:bookmarkStart w:id="239" w:name="fnref41_11"/>
      <w:bookmarkEnd w:id="239"/>
      <w:hyperlink w:anchor="fn41">
        <w:r>
          <w:rPr>
            <w:rFonts w:eastAsia="inter" w:cs="inter" w:ascii="inter" w:hAnsi="inter"/>
            <w:color w:val="#000"/>
            <w:sz w:val="21"/>
            <w:u w:val="single"/>
            <w:vertAlign w:val="superscript"/>
          </w:rPr>
          <w:t xml:space="preserve">[41]</w:t>
        </w:r>
      </w:hyperlink>
    </w:p>
    <w:p>
      <w:pPr>
        <w:numPr>
          <w:ilvl w:val="0"/>
          <w:numId w:val="22"/>
        </w:numPr>
        <w:spacing w:line="360" w:before="105" w:after="105" w:lineRule="auto"/>
      </w:pPr>
      <w:r>
        <w:rPr>
          <w:rFonts w:eastAsia="inter" w:cs="inter" w:ascii="inter" w:hAnsi="inter"/>
          <w:b/>
          <w:color w:val="000000"/>
          <w:sz w:val="21"/>
        </w:rPr>
        <w:t xml:space="preserve">Decreasing returns to coordination</w:t>
      </w:r>
      <w:r>
        <w:rPr>
          <w:rFonts w:eastAsia="inter" w:cs="inter" w:ascii="inter" w:hAnsi="inter"/>
          <w:color w:val="000000"/>
          <w:sz w:val="21"/>
        </w:rPr>
        <w:t xml:space="preserve"> at very high volumes (&gt;3 million units single facility) as management complexity increases</w:t>
      </w:r>
      <w:bookmarkStart w:id="240" w:name="fnref62_2"/>
      <w:bookmarkEnd w:id="240"/>
      <w:hyperlink w:anchor="fn62">
        <w:r>
          <w:rPr>
            <w:rFonts w:eastAsia="inter" w:cs="inter" w:ascii="inter" w:hAnsi="inter"/>
            <w:color w:val="#000"/>
            <w:sz w:val="21"/>
            <w:u w:val="single"/>
            <w:vertAlign w:val="superscript"/>
          </w:rPr>
          <w:t xml:space="preserve">[62]</w:t>
        </w:r>
      </w:hyperlink>
    </w:p>
    <w:p>
      <w:pPr>
        <w:spacing w:line="360" w:after="210" w:lineRule="auto"/>
      </w:pPr>
      <w:r>
        <w:rPr>
          <w:rFonts w:eastAsia="inter" w:cs="inter" w:ascii="inter" w:hAnsi="inter"/>
          <w:color w:val="000000"/>
        </w:rPr>
        <w:t xml:space="preserve">This scale economy structure explains the prevalence of factories with 500,000-1.5 million unit annual capacities, balancing production efficiencies against coordination costs.</w:t>
      </w:r>
      <w:bookmarkStart w:id="241" w:name="fnref37_19"/>
      <w:bookmarkEnd w:id="241"/>
      <w:hyperlink w:anchor="fn37">
        <w:r>
          <w:rPr>
            <w:rFonts w:eastAsia="inter" w:cs="inter" w:ascii="inter" w:hAnsi="inter"/>
            <w:color w:val="#000"/>
            <w:u w:val="single"/>
            <w:vertAlign w:val="superscript"/>
          </w:rPr>
          <w:t xml:space="preserve">[37]</w:t>
        </w:r>
      </w:hyperlink>
      <w:bookmarkStart w:id="242" w:name="fnref41_12"/>
      <w:bookmarkEnd w:id="242"/>
      <w:hyperlink w:anchor="fn41">
        <w:r>
          <w:rPr>
            <w:rFonts w:eastAsia="inter" w:cs="inter" w:ascii="inter" w:hAnsi="inter"/>
            <w:color w:val="#000"/>
            <w:u w:val="single"/>
            <w:vertAlign w:val="superscript"/>
          </w:rPr>
          <w:t xml:space="preserve">[41]</w:t>
        </w:r>
      </w:hyperlink>
    </w:p>
    <w:p>
      <w:pPr>
        <w:spacing w:line="360" w:before="315" w:after="105" w:lineRule="auto"/>
        <w:ind w:left="-30"/>
        <w:jc w:val="left"/>
      </w:pPr>
      <w:bookmarkStart w:id="243" w:name="energy_usage_cost_structure_and_e_9fa5e1"/>
      <w:r>
        <w:rPr>
          <w:rFonts w:eastAsia="inter" w:cs="inter" w:ascii="inter" w:hAnsi="inter"/>
          <w:b/>
          <w:color w:val="000000"/>
          <w:sz w:val="24"/>
        </w:rPr>
        <w:t xml:space="preserve">Energy Usage: Cost Structure and Efficiency Considerations</w:t>
      </w:r>
      <w:bookmarkEnd w:id="243"/>
    </w:p>
    <w:p>
      <w:pPr>
        <w:spacing w:line="360" w:after="210" w:lineRule="auto"/>
      </w:pPr>
      <w:r>
        <w:rPr>
          <w:rFonts w:eastAsia="inter" w:cs="inter" w:ascii="inter" w:hAnsi="inter"/>
          <w:color w:val="000000"/>
        </w:rPr>
        <w:t xml:space="preserve">Energy consumption in hair straightener manufacturing occurs at production and product usage stages, with distinct economic implications.</w:t>
      </w:r>
      <w:bookmarkStart w:id="244" w:name="fnref34_5"/>
      <w:bookmarkEnd w:id="244"/>
      <w:hyperlink w:anchor="fn34">
        <w:r>
          <w:rPr>
            <w:rFonts w:eastAsia="inter" w:cs="inter" w:ascii="inter" w:hAnsi="inter"/>
            <w:color w:val="#000"/>
            <w:u w:val="single"/>
            <w:vertAlign w:val="superscript"/>
          </w:rPr>
          <w:t xml:space="preserve">[34]</w:t>
        </w:r>
      </w:hyperlink>
      <w:bookmarkStart w:id="245" w:name="fnref47_1"/>
      <w:bookmarkEnd w:id="245"/>
      <w:hyperlink w:anchor="fn47">
        <w:r>
          <w:rPr>
            <w:rFonts w:eastAsia="inter" w:cs="inter" w:ascii="inter" w:hAnsi="inter"/>
            <w:color w:val="#000"/>
            <w:u w:val="single"/>
            <w:vertAlign w:val="superscript"/>
          </w:rPr>
          <w:t xml:space="preserve">[47]</w:t>
        </w:r>
      </w:hyperlink>
      <w:bookmarkStart w:id="246" w:name="fnref48_1"/>
      <w:bookmarkEnd w:id="246"/>
      <w:hyperlink w:anchor="fn48">
        <w:r>
          <w:rPr>
            <w:rFonts w:eastAsia="inter" w:cs="inter" w:ascii="inter" w:hAnsi="inter"/>
            <w:color w:val="#000"/>
            <w:u w:val="single"/>
            <w:vertAlign w:val="superscript"/>
          </w:rPr>
          <w:t xml:space="preserve">[48]</w:t>
        </w:r>
      </w:hyperlink>
    </w:p>
    <w:p>
      <w:pPr>
        <w:spacing w:line="360" w:after="210" w:lineRule="auto"/>
      </w:pPr>
      <w:r>
        <w:rPr>
          <w:rFonts w:eastAsia="inter" w:cs="inter" w:ascii="inter" w:hAnsi="inter"/>
          <w:b/>
          <w:color w:val="000000"/>
        </w:rPr>
        <w:t xml:space="preserve">Manufacturing Energy Costs</w:t>
      </w:r>
    </w:p>
    <w:p>
      <w:pPr>
        <w:spacing w:line="360" w:after="210" w:lineRule="auto"/>
      </w:pPr>
      <w:r>
        <w:rPr>
          <w:rFonts w:eastAsia="inter" w:cs="inter" w:ascii="inter" w:hAnsi="inter"/>
          <w:color w:val="000000"/>
        </w:rPr>
        <w:t xml:space="preserve">Production facilities consume energy primarily for:</w:t>
      </w:r>
    </w:p>
    <w:p>
      <w:pPr>
        <w:spacing w:line="360" w:after="210" w:lineRule="auto"/>
      </w:pPr>
      <w:r>
        <w:rPr>
          <w:rFonts w:eastAsia="inter" w:cs="inter" w:ascii="inter" w:hAnsi="inter"/>
          <w:i/>
          <w:color w:val="000000"/>
        </w:rPr>
        <w:t xml:space="preserve">Injection molding</w:t>
      </w:r>
      <w:r>
        <w:rPr>
          <w:rFonts w:eastAsia="inter" w:cs="inter" w:ascii="inter" w:hAnsi="inter"/>
          <w:color w:val="000000"/>
        </w:rPr>
        <w:t xml:space="preserve">: Heating thermoplastics to 180-260°C requires approximately 0.3-0.5 kWh per kilogram of plastic processed. With 120-180 grams per housing, energy costs are USD 0.006-0.012 per unit at industrial electricity rates of USD 0.08-0.12 per kWh.</w:t>
      </w:r>
      <w:bookmarkStart w:id="247" w:name="fnref39_10"/>
      <w:bookmarkEnd w:id="247"/>
      <w:hyperlink w:anchor="fn39">
        <w:r>
          <w:rPr>
            <w:rFonts w:eastAsia="inter" w:cs="inter" w:ascii="inter" w:hAnsi="inter"/>
            <w:color w:val="#000"/>
            <w:u w:val="single"/>
            <w:vertAlign w:val="superscript"/>
          </w:rPr>
          <w:t xml:space="preserve">[39]</w:t>
        </w:r>
      </w:hyperlink>
      <w:bookmarkStart w:id="248" w:name="fnref34_6"/>
      <w:bookmarkEnd w:id="248"/>
      <w:hyperlink w:anchor="fn34">
        <w:r>
          <w:rPr>
            <w:rFonts w:eastAsia="inter" w:cs="inter" w:ascii="inter" w:hAnsi="inter"/>
            <w:color w:val="#000"/>
            <w:u w:val="single"/>
            <w:vertAlign w:val="superscript"/>
          </w:rPr>
          <w:t xml:space="preserve">[34]</w:t>
        </w:r>
      </w:hyperlink>
    </w:p>
    <w:p>
      <w:pPr>
        <w:spacing w:line="360" w:after="210" w:lineRule="auto"/>
      </w:pPr>
      <w:r>
        <w:rPr>
          <w:rFonts w:eastAsia="inter" w:cs="inter" w:ascii="inter" w:hAnsi="inter"/>
          <w:i/>
          <w:color w:val="000000"/>
        </w:rPr>
        <w:t xml:space="preserve">Ceramic firing</w:t>
      </w:r>
      <w:r>
        <w:rPr>
          <w:rFonts w:eastAsia="inter" w:cs="inter" w:ascii="inter" w:hAnsi="inter"/>
          <w:color w:val="000000"/>
        </w:rPr>
        <w:t xml:space="preserve">: Kilns operating at 1,200-1,400°C consume 2-4 kWh per kilogram of ceramic. Processing 40-60 grams per unit equates to USD 0.016-0.038 in energy costs.</w:t>
      </w:r>
      <w:bookmarkStart w:id="249" w:name="fnref13_22"/>
      <w:bookmarkEnd w:id="249"/>
      <w:hyperlink w:anchor="fn13">
        <w:r>
          <w:rPr>
            <w:rFonts w:eastAsia="inter" w:cs="inter" w:ascii="inter" w:hAnsi="inter"/>
            <w:color w:val="#000"/>
            <w:u w:val="single"/>
            <w:vertAlign w:val="superscript"/>
          </w:rPr>
          <w:t xml:space="preserve">[13]</w:t>
        </w:r>
      </w:hyperlink>
      <w:bookmarkStart w:id="250" w:name="fnref61_2"/>
      <w:bookmarkEnd w:id="250"/>
      <w:hyperlink w:anchor="fn61">
        <w:r>
          <w:rPr>
            <w:rFonts w:eastAsia="inter" w:cs="inter" w:ascii="inter" w:hAnsi="inter"/>
            <w:color w:val="#000"/>
            <w:u w:val="single"/>
            <w:vertAlign w:val="superscript"/>
          </w:rPr>
          <w:t xml:space="preserve">[61]</w:t>
        </w:r>
      </w:hyperlink>
    </w:p>
    <w:p>
      <w:pPr>
        <w:spacing w:line="360" w:after="210" w:lineRule="auto"/>
      </w:pPr>
      <w:r>
        <w:rPr>
          <w:rFonts w:eastAsia="inter" w:cs="inter" w:ascii="inter" w:hAnsi="inter"/>
          <w:i/>
          <w:color w:val="000000"/>
        </w:rPr>
        <w:t xml:space="preserve">Electronics assembly</w:t>
      </w:r>
      <w:r>
        <w:rPr>
          <w:rFonts w:eastAsia="inter" w:cs="inter" w:ascii="inter" w:hAnsi="inter"/>
          <w:color w:val="000000"/>
        </w:rPr>
        <w:t xml:space="preserve">: SMT reflow ovens and wave soldering consume approximately 0.05-0.10 kWh per unit, contributing USD 0.004-0.012.</w:t>
      </w:r>
      <w:bookmarkStart w:id="251" w:name="fnref41_13"/>
      <w:bookmarkEnd w:id="251"/>
      <w:hyperlink w:anchor="fn41">
        <w:r>
          <w:rPr>
            <w:rFonts w:eastAsia="inter" w:cs="inter" w:ascii="inter" w:hAnsi="inter"/>
            <w:color w:val="#000"/>
            <w:u w:val="single"/>
            <w:vertAlign w:val="superscript"/>
          </w:rPr>
          <w:t xml:space="preserve">[41]</w:t>
        </w:r>
      </w:hyperlink>
    </w:p>
    <w:p>
      <w:pPr>
        <w:spacing w:line="360" w:after="210" w:lineRule="auto"/>
      </w:pPr>
      <w:r>
        <w:rPr>
          <w:rFonts w:eastAsia="inter" w:cs="inter" w:ascii="inter" w:hAnsi="inter"/>
          <w:color w:val="000000"/>
        </w:rPr>
        <w:t xml:space="preserve">Aggregate manufacturing energy costs typically represent 3-5% of total production expenses for standard models. This modest share limits energy price elasticity of supply; a 20% electricity price increase would raise production costs by only 0.6-1.0%, insufficient to trigger substantial manufacturing relocation for energy cost reasons alone.</w:t>
      </w:r>
      <w:bookmarkStart w:id="252" w:name="fnref34_7"/>
      <w:bookmarkEnd w:id="252"/>
      <w:hyperlink w:anchor="fn34">
        <w:r>
          <w:rPr>
            <w:rFonts w:eastAsia="inter" w:cs="inter" w:ascii="inter" w:hAnsi="inter"/>
            <w:color w:val="#000"/>
            <w:u w:val="single"/>
            <w:vertAlign w:val="superscript"/>
          </w:rPr>
          <w:t xml:space="preserve">[34]</w:t>
        </w:r>
      </w:hyperlink>
    </w:p>
    <w:p>
      <w:pPr>
        <w:spacing w:line="360" w:after="210" w:lineRule="auto"/>
      </w:pPr>
      <w:r>
        <w:rPr>
          <w:rFonts w:eastAsia="inter" w:cs="inter" w:ascii="inter" w:hAnsi="inter"/>
          <w:b/>
          <w:color w:val="000000"/>
        </w:rPr>
        <w:t xml:space="preserve">Product Usage Energy Efficiency</w:t>
      </w:r>
    </w:p>
    <w:p>
      <w:pPr>
        <w:spacing w:line="360" w:after="210" w:lineRule="auto"/>
      </w:pPr>
      <w:r>
        <w:rPr>
          <w:rFonts w:eastAsia="inter" w:cs="inter" w:ascii="inter" w:hAnsi="inter"/>
          <w:color w:val="000000"/>
        </w:rPr>
        <w:t xml:space="preserve">Consumer operation energy consumption varies by technology:</w:t>
      </w:r>
    </w:p>
    <w:p>
      <w:pPr>
        <w:spacing w:line="360" w:after="210" w:lineRule="auto"/>
      </w:pPr>
      <w:r>
        <w:rPr>
          <w:rFonts w:eastAsia="inter" w:cs="inter" w:ascii="inter" w:hAnsi="inter"/>
          <w:i/>
          <w:color w:val="000000"/>
        </w:rPr>
        <w:t xml:space="preserve">Conventional resistance heating</w:t>
      </w:r>
      <w:r>
        <w:rPr>
          <w:rFonts w:eastAsia="inter" w:cs="inter" w:ascii="inter" w:hAnsi="inter"/>
          <w:color w:val="000000"/>
        </w:rPr>
        <w:t xml:space="preserve">: 40-60 watt continuous draw during usage</w:t>
      </w:r>
      <w:bookmarkStart w:id="253" w:name="fnref47_2"/>
      <w:bookmarkEnd w:id="253"/>
      <w:hyperlink w:anchor="fn47">
        <w:r>
          <w:rPr>
            <w:rFonts w:eastAsia="inter" w:cs="inter" w:ascii="inter" w:hAnsi="inter"/>
            <w:color w:val="#000"/>
            <w:u w:val="single"/>
            <w:vertAlign w:val="superscript"/>
          </w:rPr>
          <w:t xml:space="preserve">[47]</w:t>
        </w:r>
      </w:hyperlink>
      <w:bookmarkStart w:id="254" w:name="fnref48_2"/>
      <w:bookmarkEnd w:id="254"/>
      <w:hyperlink w:anchor="fn48">
        <w:r>
          <w:rPr>
            <w:rFonts w:eastAsia="inter" w:cs="inter" w:ascii="inter" w:hAnsi="inter"/>
            <w:color w:val="#000"/>
            <w:u w:val="single"/>
            <w:vertAlign w:val="superscript"/>
          </w:rPr>
          <w:t xml:space="preserve">[48]</w:t>
        </w:r>
      </w:hyperlink>
      <w:r>
        <w:rPr>
          <w:rFonts w:eastAsia="inter" w:cs="inter" w:ascii="inter" w:hAnsi="inter"/>
          <w:color w:val="000000"/>
        </w:rPr>
        <w:br w:type="textWrapping"/>
      </w:r>
      <w:r>
        <w:rPr>
          <w:rFonts w:eastAsia="inter" w:cs="inter" w:ascii="inter" w:hAnsi="inter"/>
          <w:i/>
          <w:color w:val="000000"/>
        </w:rPr>
        <w:t xml:space="preserve">Ceramic heating</w:t>
      </w:r>
      <w:r>
        <w:rPr>
          <w:rFonts w:eastAsia="inter" w:cs="inter" w:ascii="inter" w:hAnsi="inter"/>
          <w:color w:val="000000"/>
        </w:rPr>
        <w:t xml:space="preserve">: 35-50 watts with superior heat retention</w:t>
      </w:r>
      <w:bookmarkStart w:id="255" w:name="fnref47_3"/>
      <w:bookmarkEnd w:id="255"/>
      <w:hyperlink w:anchor="fn47">
        <w:r>
          <w:rPr>
            <w:rFonts w:eastAsia="inter" w:cs="inter" w:ascii="inter" w:hAnsi="inter"/>
            <w:color w:val="#000"/>
            <w:u w:val="single"/>
            <w:vertAlign w:val="superscript"/>
          </w:rPr>
          <w:t xml:space="preserve">[47]</w:t>
        </w:r>
      </w:hyperlink>
      <w:r>
        <w:rPr>
          <w:rFonts w:eastAsia="inter" w:cs="inter" w:ascii="inter" w:hAnsi="inter"/>
          <w:color w:val="000000"/>
        </w:rPr>
        <w:br w:type="textWrapping"/>
      </w:r>
      <w:r>
        <w:rPr>
          <w:rFonts w:eastAsia="inter" w:cs="inter" w:ascii="inter" w:hAnsi="inter"/>
          <w:i/>
          <w:color w:val="000000"/>
        </w:rPr>
        <w:t xml:space="preserve">PTC self-regulating</w:t>
      </w:r>
      <w:r>
        <w:rPr>
          <w:rFonts w:eastAsia="inter" w:cs="inter" w:ascii="inter" w:hAnsi="inter"/>
          <w:color w:val="000000"/>
        </w:rPr>
        <w:t xml:space="preserve">: 25-40 watts due to automatic power reduction at target temperatures</w:t>
      </w:r>
      <w:bookmarkStart w:id="256" w:name="fnref19_8"/>
      <w:bookmarkEnd w:id="256"/>
      <w:hyperlink w:anchor="fn19">
        <w:r>
          <w:rPr>
            <w:rFonts w:eastAsia="inter" w:cs="inter" w:ascii="inter" w:hAnsi="inter"/>
            <w:color w:val="#000"/>
            <w:u w:val="single"/>
            <w:vertAlign w:val="superscript"/>
          </w:rPr>
          <w:t xml:space="preserve">[19]</w:t>
        </w:r>
      </w:hyperlink>
      <w:bookmarkStart w:id="257" w:name="fnref50_2"/>
      <w:bookmarkEnd w:id="257"/>
      <w:hyperlink w:anchor="fn50">
        <w:r>
          <w:rPr>
            <w:rFonts w:eastAsia="inter" w:cs="inter" w:ascii="inter" w:hAnsi="inter"/>
            <w:color w:val="#000"/>
            <w:u w:val="single"/>
            <w:vertAlign w:val="superscript"/>
          </w:rPr>
          <w:t xml:space="preserve">[50]</w:t>
        </w:r>
      </w:hyperlink>
    </w:p>
    <w:p>
      <w:pPr>
        <w:spacing w:line="360" w:after="210" w:lineRule="auto"/>
      </w:pPr>
      <w:r>
        <w:rPr>
          <w:rFonts w:eastAsia="inter" w:cs="inter" w:ascii="inter" w:hAnsi="inter"/>
          <w:color w:val="000000"/>
        </w:rPr>
        <w:t xml:space="preserve">At average usage of 20 minutes daily and electricity costs of USD 0.15 per kWh, annual operating costs are:</w:t>
      </w:r>
    </w:p>
    <w:p>
      <w:pPr>
        <w:numPr>
          <w:ilvl w:val="0"/>
          <w:numId w:val="23"/>
        </w:numPr>
        <w:spacing w:line="360" w:before="105" w:after="105" w:lineRule="auto"/>
      </w:pPr>
      <w:r>
        <w:rPr>
          <w:rFonts w:eastAsia="inter" w:cs="inter" w:ascii="inter" w:hAnsi="inter"/>
          <w:color w:val="000000"/>
          <w:sz w:val="21"/>
        </w:rPr>
        <w:t xml:space="preserve">Resistance: USD 4.80-7.20</w:t>
      </w:r>
    </w:p>
    <w:p>
      <w:pPr>
        <w:numPr>
          <w:ilvl w:val="0"/>
          <w:numId w:val="23"/>
        </w:numPr>
        <w:spacing w:line="360" w:before="105" w:after="105" w:lineRule="auto"/>
      </w:pPr>
      <w:r>
        <w:rPr>
          <w:rFonts w:eastAsia="inter" w:cs="inter" w:ascii="inter" w:hAnsi="inter"/>
          <w:color w:val="000000"/>
          <w:sz w:val="21"/>
        </w:rPr>
        <w:t xml:space="preserve">Ceramic: USD 4.20-6.00</w:t>
      </w:r>
    </w:p>
    <w:p>
      <w:pPr>
        <w:numPr>
          <w:ilvl w:val="0"/>
          <w:numId w:val="23"/>
        </w:numPr>
        <w:spacing w:line="360" w:before="105" w:after="105" w:lineRule="auto"/>
      </w:pPr>
      <w:r>
        <w:rPr>
          <w:rFonts w:eastAsia="inter" w:cs="inter" w:ascii="inter" w:hAnsi="inter"/>
          <w:color w:val="000000"/>
          <w:sz w:val="21"/>
        </w:rPr>
        <w:t xml:space="preserve">PTC: USD 3.00-4.80</w:t>
      </w:r>
    </w:p>
    <w:p>
      <w:pPr>
        <w:spacing w:line="360" w:after="210" w:lineRule="auto"/>
      </w:pPr>
      <w:r>
        <w:rPr>
          <w:rFonts w:eastAsia="inter" w:cs="inter" w:ascii="inter" w:hAnsi="inter"/>
          <w:color w:val="000000"/>
        </w:rPr>
        <w:t xml:space="preserve">While seemingly modest, these differences become salient in energy-conscious markets and influence purchasing decisions for consumers with high discount rates (preferring lower upfront costs) versus those with low discount rates (valuing reduced operational expenses).</w:t>
      </w:r>
      <w:bookmarkStart w:id="258" w:name="fnref66"/>
      <w:bookmarkEnd w:id="258"/>
      <w:hyperlink w:anchor="fn66">
        <w:r>
          <w:rPr>
            <w:rFonts w:eastAsia="inter" w:cs="inter" w:ascii="inter" w:hAnsi="inter"/>
            <w:color w:val="#000"/>
            <w:u w:val="single"/>
            <w:vertAlign w:val="superscript"/>
          </w:rPr>
          <w:t xml:space="preserve">[66]</w:t>
        </w:r>
      </w:hyperlink>
      <w:bookmarkStart w:id="259" w:name="fnref67"/>
      <w:bookmarkEnd w:id="259"/>
      <w:hyperlink w:anchor="fn67">
        <w:r>
          <w:rPr>
            <w:rFonts w:eastAsia="inter" w:cs="inter" w:ascii="inter" w:hAnsi="inter"/>
            <w:color w:val="#000"/>
            <w:u w:val="single"/>
            <w:vertAlign w:val="superscript"/>
          </w:rPr>
          <w:t xml:space="preserve">[67]</w:t>
        </w:r>
      </w:hyperlink>
      <w:bookmarkStart w:id="260" w:name="fnref47_4"/>
      <w:bookmarkEnd w:id="260"/>
      <w:hyperlink w:anchor="fn47">
        <w:r>
          <w:rPr>
            <w:rFonts w:eastAsia="inter" w:cs="inter" w:ascii="inter" w:hAnsi="inter"/>
            <w:color w:val="#000"/>
            <w:u w:val="single"/>
            <w:vertAlign w:val="superscript"/>
          </w:rPr>
          <w:t xml:space="preserve">[47]</w:t>
        </w:r>
      </w:hyperlink>
    </w:p>
    <w:p>
      <w:pPr>
        <w:spacing w:line="360" w:after="210" w:lineRule="auto"/>
      </w:pPr>
      <w:r>
        <w:rPr>
          <w:rFonts w:eastAsia="inter" w:cs="inter" w:ascii="inter" w:hAnsi="inter"/>
          <w:color w:val="000000"/>
        </w:rPr>
        <w:t xml:space="preserve">Manufacturers increasingly market energy efficiency as a differentiating attribute, particularly for cordless battery-powered models where energy optimization directly affects usage duration between charges. This represents a shift from energy efficiency as a cost consideration to a quality attribute, enabling price premiums of 15-25% for demonstrably efficient designs.</w:t>
      </w:r>
      <w:bookmarkStart w:id="261" w:name="fnref27_1"/>
      <w:bookmarkEnd w:id="261"/>
      <w:hyperlink w:anchor="fn27">
        <w:r>
          <w:rPr>
            <w:rFonts w:eastAsia="inter" w:cs="inter" w:ascii="inter" w:hAnsi="inter"/>
            <w:color w:val="#000"/>
            <w:u w:val="single"/>
            <w:vertAlign w:val="superscript"/>
          </w:rPr>
          <w:t xml:space="preserve">[27]</w:t>
        </w:r>
      </w:hyperlink>
      <w:bookmarkStart w:id="262" w:name="fnref47_5"/>
      <w:bookmarkEnd w:id="262"/>
      <w:hyperlink w:anchor="fn47">
        <w:r>
          <w:rPr>
            <w:rFonts w:eastAsia="inter" w:cs="inter" w:ascii="inter" w:hAnsi="inter"/>
            <w:color w:val="#000"/>
            <w:u w:val="single"/>
            <w:vertAlign w:val="superscript"/>
          </w:rPr>
          <w:t xml:space="preserve">[47]</w:t>
        </w:r>
      </w:hyperlink>
    </w:p>
    <w:p>
      <w:pPr>
        <w:spacing w:line="360" w:before="315" w:after="105" w:lineRule="auto"/>
        <w:ind w:left="-30"/>
        <w:jc w:val="left"/>
      </w:pPr>
      <w:bookmarkStart w:id="263" w:name="comparative_analysis_india_versus_4616a5"/>
      <w:r>
        <w:rPr>
          <w:rFonts w:eastAsia="inter" w:cs="inter" w:ascii="inter" w:hAnsi="inter"/>
          <w:b/>
          <w:color w:val="000000"/>
          <w:sz w:val="24"/>
        </w:rPr>
        <w:t xml:space="preserve">Comparative Analysis: India versus Global Sourcing</w:t>
      </w:r>
      <w:bookmarkEnd w:id="263"/>
    </w:p>
    <w:p>
      <w:pPr>
        <w:spacing w:line="360" w:after="210" w:lineRule="auto"/>
      </w:pPr>
      <w:r>
        <w:rPr>
          <w:rFonts w:eastAsia="inter" w:cs="inter" w:ascii="inter" w:hAnsi="inter"/>
          <w:color w:val="000000"/>
        </w:rPr>
        <w:t xml:space="preserve">Indian hair straightener manufacturers face distinct factor market conditions compared to Chinese competitors, with significant implications for cost competitiveness.</w:t>
      </w:r>
      <w:bookmarkStart w:id="264" w:name="fnref6_7"/>
      <w:bookmarkEnd w:id="264"/>
      <w:hyperlink w:anchor="fn6">
        <w:r>
          <w:rPr>
            <w:rFonts w:eastAsia="inter" w:cs="inter" w:ascii="inter" w:hAnsi="inter"/>
            <w:color w:val="#000"/>
            <w:u w:val="single"/>
            <w:vertAlign w:val="superscript"/>
          </w:rPr>
          <w:t xml:space="preserve">[6]</w:t>
        </w:r>
      </w:hyperlink>
      <w:bookmarkStart w:id="265" w:name="fnref24_4"/>
      <w:bookmarkEnd w:id="265"/>
      <w:hyperlink w:anchor="fn24">
        <w:r>
          <w:rPr>
            <w:rFonts w:eastAsia="inter" w:cs="inter" w:ascii="inter" w:hAnsi="inter"/>
            <w:color w:val="#000"/>
            <w:u w:val="single"/>
            <w:vertAlign w:val="superscript"/>
          </w:rPr>
          <w:t xml:space="preserve">[24]</w:t>
        </w:r>
      </w:hyperlink>
    </w:p>
    <w:p>
      <w:pPr>
        <w:spacing w:line="360" w:after="210" w:lineRule="auto"/>
      </w:pPr>
      <w:r>
        <w:rPr>
          <w:rFonts w:eastAsia="inter" w:cs="inter" w:ascii="inter" w:hAnsi="inter"/>
          <w:b/>
          <w:color w:val="000000"/>
        </w:rPr>
        <w:t xml:space="preserve">Material Sourcing</w:t>
      </w:r>
    </w:p>
    <w:p>
      <w:pPr>
        <w:spacing w:line="360" w:after="210" w:lineRule="auto"/>
      </w:pPr>
      <w:r>
        <w:rPr>
          <w:rFonts w:eastAsia="inter" w:cs="inter" w:ascii="inter" w:hAnsi="inter"/>
          <w:i/>
          <w:color w:val="000000"/>
        </w:rPr>
        <w:t xml:space="preserve">Domestic availability</w:t>
      </w:r>
      <w:r>
        <w:rPr>
          <w:rFonts w:eastAsia="inter" w:cs="inter" w:ascii="inter" w:hAnsi="inter"/>
          <w:color w:val="000000"/>
        </w:rPr>
        <w:t xml:space="preserve">: India produces commodity plastics (ABS, polypropylene) and aluminum domestically, enabling competitive pricing within 5-10% of Chinese costs. However, specialized materials (titanium, high-purity ceramics, advanced electronic components) require imports, incurring:</w:t>
      </w:r>
      <w:bookmarkStart w:id="266" w:name="fnref6_8"/>
      <w:bookmarkEnd w:id="266"/>
      <w:hyperlink w:anchor="fn6">
        <w:r>
          <w:rPr>
            <w:rFonts w:eastAsia="inter" w:cs="inter" w:ascii="inter" w:hAnsi="inter"/>
            <w:color w:val="#000"/>
            <w:u w:val="single"/>
            <w:vertAlign w:val="superscript"/>
          </w:rPr>
          <w:t xml:space="preserve">[6]</w:t>
        </w:r>
      </w:hyperlink>
    </w:p>
    <w:p>
      <w:pPr>
        <w:numPr>
          <w:ilvl w:val="0"/>
          <w:numId w:val="24"/>
        </w:numPr>
        <w:spacing w:line="360" w:before="105" w:after="105" w:lineRule="auto"/>
      </w:pPr>
      <w:r>
        <w:rPr>
          <w:rFonts w:eastAsia="inter" w:cs="inter" w:ascii="inter" w:hAnsi="inter"/>
          <w:color w:val="000000"/>
          <w:sz w:val="21"/>
        </w:rPr>
        <w:t xml:space="preserve">20% basic customs duty</w:t>
      </w:r>
      <w:bookmarkStart w:id="267" w:name="fnref58_1"/>
      <w:bookmarkEnd w:id="267"/>
      <w:hyperlink w:anchor="fn58">
        <w:r>
          <w:rPr>
            <w:rFonts w:eastAsia="inter" w:cs="inter" w:ascii="inter" w:hAnsi="inter"/>
            <w:color w:val="#000"/>
            <w:sz w:val="21"/>
            <w:u w:val="single"/>
            <w:vertAlign w:val="superscript"/>
          </w:rPr>
          <w:t xml:space="preserve">[58]</w:t>
        </w:r>
      </w:hyperlink>
    </w:p>
    <w:p>
      <w:pPr>
        <w:numPr>
          <w:ilvl w:val="0"/>
          <w:numId w:val="24"/>
        </w:numPr>
        <w:spacing w:line="360" w:before="105" w:after="105" w:lineRule="auto"/>
      </w:pPr>
      <w:r>
        <w:rPr>
          <w:rFonts w:eastAsia="inter" w:cs="inter" w:ascii="inter" w:hAnsi="inter"/>
          <w:color w:val="000000"/>
          <w:sz w:val="21"/>
        </w:rPr>
        <w:t xml:space="preserve">18% IGST on CIF (Cost, Insurance, Freight) value plus duty</w:t>
      </w:r>
      <w:bookmarkStart w:id="268" w:name="fnref58_2"/>
      <w:bookmarkEnd w:id="268"/>
      <w:hyperlink w:anchor="fn58">
        <w:r>
          <w:rPr>
            <w:rFonts w:eastAsia="inter" w:cs="inter" w:ascii="inter" w:hAnsi="inter"/>
            <w:color w:val="#000"/>
            <w:sz w:val="21"/>
            <w:u w:val="single"/>
            <w:vertAlign w:val="superscript"/>
          </w:rPr>
          <w:t xml:space="preserve">[58]</w:t>
        </w:r>
      </w:hyperlink>
    </w:p>
    <w:p>
      <w:pPr>
        <w:numPr>
          <w:ilvl w:val="0"/>
          <w:numId w:val="24"/>
        </w:numPr>
        <w:spacing w:line="360" w:before="105" w:after="105" w:lineRule="auto"/>
      </w:pPr>
      <w:r>
        <w:rPr>
          <w:rFonts w:eastAsia="inter" w:cs="inter" w:ascii="inter" w:hAnsi="inter"/>
          <w:color w:val="000000"/>
          <w:sz w:val="21"/>
        </w:rPr>
        <w:t xml:space="preserve">10% social welfare surcharge</w:t>
      </w:r>
      <w:bookmarkStart w:id="269" w:name="fnref58_3"/>
      <w:bookmarkEnd w:id="269"/>
      <w:hyperlink w:anchor="fn58">
        <w:r>
          <w:rPr>
            <w:rFonts w:eastAsia="inter" w:cs="inter" w:ascii="inter" w:hAnsi="inter"/>
            <w:color w:val="#000"/>
            <w:sz w:val="21"/>
            <w:u w:val="single"/>
            <w:vertAlign w:val="superscript"/>
          </w:rPr>
          <w:t xml:space="preserve">[58]</w:t>
        </w:r>
      </w:hyperlink>
    </w:p>
    <w:p>
      <w:pPr>
        <w:spacing w:line="360" w:after="210" w:lineRule="auto"/>
      </w:pPr>
      <w:r>
        <w:rPr>
          <w:rFonts w:eastAsia="inter" w:cs="inter" w:ascii="inter" w:hAnsi="inter"/>
          <w:color w:val="000000"/>
        </w:rPr>
        <w:t xml:space="preserve">Combined effective import costs increase specialized material expenses by 35-40% versus Chinese domestic pricing.</w:t>
      </w:r>
      <w:bookmarkStart w:id="270" w:name="fnref59_1"/>
      <w:bookmarkEnd w:id="270"/>
      <w:hyperlink w:anchor="fn59">
        <w:r>
          <w:rPr>
            <w:rFonts w:eastAsia="inter" w:cs="inter" w:ascii="inter" w:hAnsi="inter"/>
            <w:color w:val="#000"/>
            <w:u w:val="single"/>
            <w:vertAlign w:val="superscript"/>
          </w:rPr>
          <w:t xml:space="preserve">[59]</w:t>
        </w:r>
      </w:hyperlink>
      <w:bookmarkStart w:id="271" w:name="fnref58_4"/>
      <w:bookmarkEnd w:id="271"/>
      <w:hyperlink w:anchor="fn58">
        <w:r>
          <w:rPr>
            <w:rFonts w:eastAsia="inter" w:cs="inter" w:ascii="inter" w:hAnsi="inter"/>
            <w:color w:val="#000"/>
            <w:u w:val="single"/>
            <w:vertAlign w:val="superscript"/>
          </w:rPr>
          <w:t xml:space="preserve">[58]</w:t>
        </w:r>
      </w:hyperlink>
    </w:p>
    <w:p>
      <w:pPr>
        <w:spacing w:line="360" w:after="210" w:lineRule="auto"/>
      </w:pPr>
      <w:r>
        <w:rPr>
          <w:rFonts w:eastAsia="inter" w:cs="inter" w:ascii="inter" w:hAnsi="inter"/>
          <w:b/>
          <w:color w:val="000000"/>
        </w:rPr>
        <w:t xml:space="preserve">Labor Costs</w:t>
      </w:r>
    </w:p>
    <w:p>
      <w:pPr>
        <w:spacing w:line="360" w:after="210" w:lineRule="auto"/>
      </w:pPr>
      <w:r>
        <w:rPr>
          <w:rFonts w:eastAsia="inter" w:cs="inter" w:ascii="inter" w:hAnsi="inter"/>
          <w:color w:val="000000"/>
        </w:rPr>
        <w:t xml:space="preserve">Indian manufacturing wages (USD 2-3 per hour) nominally undercut Chinese rates by 30-40%. However, productivity gaps reduce this advantage:</w:t>
      </w:r>
      <w:bookmarkStart w:id="272" w:name="fnref6_9"/>
      <w:bookmarkEnd w:id="272"/>
      <w:hyperlink w:anchor="fn6">
        <w:r>
          <w:rPr>
            <w:rFonts w:eastAsia="inter" w:cs="inter" w:ascii="inter" w:hAnsi="inter"/>
            <w:color w:val="#000"/>
            <w:u w:val="single"/>
            <w:vertAlign w:val="superscript"/>
          </w:rPr>
          <w:t xml:space="preserve">[6]</w:t>
        </w:r>
      </w:hyperlink>
    </w:p>
    <w:p>
      <w:pPr>
        <w:numPr>
          <w:ilvl w:val="0"/>
          <w:numId w:val="25"/>
        </w:numPr>
        <w:spacing w:line="360" w:before="105" w:after="105" w:lineRule="auto"/>
      </w:pPr>
      <w:r>
        <w:rPr>
          <w:rFonts w:eastAsia="inter" w:cs="inter" w:ascii="inter" w:hAnsi="inter"/>
          <w:color w:val="000000"/>
          <w:sz w:val="21"/>
        </w:rPr>
        <w:t xml:space="preserve">Indian assembly productivity: 10-15 units per worker-hour</w:t>
      </w:r>
      <w:bookmarkStart w:id="273" w:name="fnref6_10"/>
      <w:bookmarkEnd w:id="273"/>
      <w:hyperlink w:anchor="fn6">
        <w:r>
          <w:rPr>
            <w:rFonts w:eastAsia="inter" w:cs="inter" w:ascii="inter" w:hAnsi="inter"/>
            <w:color w:val="#000"/>
            <w:sz w:val="21"/>
            <w:u w:val="single"/>
            <w:vertAlign w:val="superscript"/>
          </w:rPr>
          <w:t xml:space="preserve">[6]</w:t>
        </w:r>
      </w:hyperlink>
    </w:p>
    <w:p>
      <w:pPr>
        <w:numPr>
          <w:ilvl w:val="0"/>
          <w:numId w:val="25"/>
        </w:numPr>
        <w:spacing w:line="360" w:before="105" w:after="105" w:lineRule="auto"/>
      </w:pPr>
      <w:r>
        <w:rPr>
          <w:rFonts w:eastAsia="inter" w:cs="inter" w:ascii="inter" w:hAnsi="inter"/>
          <w:color w:val="000000"/>
          <w:sz w:val="21"/>
        </w:rPr>
        <w:t xml:space="preserve">Chinese assembly productivity: 15-20 units per worker-hour</w:t>
      </w:r>
      <w:bookmarkStart w:id="274" w:name="fnref37_20"/>
      <w:bookmarkEnd w:id="274"/>
      <w:hyperlink w:anchor="fn37">
        <w:r>
          <w:rPr>
            <w:rFonts w:eastAsia="inter" w:cs="inter" w:ascii="inter" w:hAnsi="inter"/>
            <w:color w:val="#000"/>
            <w:sz w:val="21"/>
            <w:u w:val="single"/>
            <w:vertAlign w:val="superscript"/>
          </w:rPr>
          <w:t xml:space="preserve">[37]</w:t>
        </w:r>
      </w:hyperlink>
      <w:bookmarkStart w:id="275" w:name="fnref45_11"/>
      <w:bookmarkEnd w:id="275"/>
      <w:hyperlink w:anchor="fn45">
        <w:r>
          <w:rPr>
            <w:rFonts w:eastAsia="inter" w:cs="inter" w:ascii="inter" w:hAnsi="inter"/>
            <w:color w:val="#000"/>
            <w:sz w:val="21"/>
            <w:u w:val="single"/>
            <w:vertAlign w:val="superscript"/>
          </w:rPr>
          <w:t xml:space="preserve">[45]</w:t>
        </w:r>
      </w:hyperlink>
    </w:p>
    <w:p>
      <w:pPr>
        <w:spacing w:line="360" w:after="210" w:lineRule="auto"/>
      </w:pPr>
      <w:r>
        <w:rPr>
          <w:rFonts w:eastAsia="inter" w:cs="inter" w:ascii="inter" w:hAnsi="inter"/>
          <w:color w:val="000000"/>
        </w:rPr>
        <w:t xml:space="preserve">Unit labor costs (wage rate / productivity) thus show only 10-15% Indian advantages, insufficient to offset material cost disadvantages for component-intensive products.</w:t>
      </w:r>
      <w:bookmarkStart w:id="276" w:name="fnref6_11"/>
      <w:bookmarkEnd w:id="276"/>
      <w:hyperlink w:anchor="fn6">
        <w:r>
          <w:rPr>
            <w:rFonts w:eastAsia="inter" w:cs="inter" w:ascii="inter" w:hAnsi="inter"/>
            <w:color w:val="#000"/>
            <w:u w:val="single"/>
            <w:vertAlign w:val="superscript"/>
          </w:rPr>
          <w:t xml:space="preserve">[6]</w:t>
        </w:r>
      </w:hyperlink>
    </w:p>
    <w:p>
      <w:pPr>
        <w:spacing w:line="360" w:after="210" w:lineRule="auto"/>
      </w:pPr>
      <w:r>
        <w:rPr>
          <w:rFonts w:eastAsia="inter" w:cs="inter" w:ascii="inter" w:hAnsi="inter"/>
          <w:b/>
          <w:color w:val="000000"/>
        </w:rPr>
        <w:t xml:space="preserve">Capital Access</w:t>
      </w:r>
    </w:p>
    <w:p>
      <w:pPr>
        <w:spacing w:line="360" w:after="210" w:lineRule="auto"/>
      </w:pPr>
      <w:r>
        <w:rPr>
          <w:rFonts w:eastAsia="inter" w:cs="inter" w:ascii="inter" w:hAnsi="inter"/>
          <w:color w:val="000000"/>
        </w:rPr>
        <w:t xml:space="preserve">Indian manufacturers face higher costs of capital:</w:t>
      </w:r>
    </w:p>
    <w:p>
      <w:pPr>
        <w:numPr>
          <w:ilvl w:val="0"/>
          <w:numId w:val="26"/>
        </w:numPr>
        <w:spacing w:line="360" w:before="105" w:after="105" w:lineRule="auto"/>
      </w:pPr>
      <w:r>
        <w:rPr>
          <w:rFonts w:eastAsia="inter" w:cs="inter" w:ascii="inter" w:hAnsi="inter"/>
          <w:color w:val="000000"/>
          <w:sz w:val="21"/>
        </w:rPr>
        <w:t xml:space="preserve">Commercial lending rates: 9-11% versus 4-6% in China</w:t>
      </w:r>
      <w:bookmarkStart w:id="277" w:name="fnref6_12"/>
      <w:bookmarkEnd w:id="277"/>
      <w:hyperlink w:anchor="fn6">
        <w:r>
          <w:rPr>
            <w:rFonts w:eastAsia="inter" w:cs="inter" w:ascii="inter" w:hAnsi="inter"/>
            <w:color w:val="#000"/>
            <w:sz w:val="21"/>
            <w:u w:val="single"/>
            <w:vertAlign w:val="superscript"/>
          </w:rPr>
          <w:t xml:space="preserve">[6]</w:t>
        </w:r>
      </w:hyperlink>
    </w:p>
    <w:p>
      <w:pPr>
        <w:numPr>
          <w:ilvl w:val="0"/>
          <w:numId w:val="26"/>
        </w:numPr>
        <w:spacing w:line="360" w:before="105" w:after="105" w:lineRule="auto"/>
      </w:pPr>
      <w:r>
        <w:rPr>
          <w:rFonts w:eastAsia="inter" w:cs="inter" w:ascii="inter" w:hAnsi="inter"/>
          <w:color w:val="000000"/>
          <w:sz w:val="21"/>
        </w:rPr>
        <w:t xml:space="preserve">Equipment financing terms: 5-7 year amortization versus 7-10 years in China</w:t>
      </w:r>
      <w:bookmarkStart w:id="278" w:name="fnref6_13"/>
      <w:bookmarkEnd w:id="278"/>
      <w:hyperlink w:anchor="fn6">
        <w:r>
          <w:rPr>
            <w:rFonts w:eastAsia="inter" w:cs="inter" w:ascii="inter" w:hAnsi="inter"/>
            <w:color w:val="#000"/>
            <w:sz w:val="21"/>
            <w:u w:val="single"/>
            <w:vertAlign w:val="superscript"/>
          </w:rPr>
          <w:t xml:space="preserve">[6]</w:t>
        </w:r>
      </w:hyperlink>
    </w:p>
    <w:p>
      <w:pPr>
        <w:spacing w:line="360" w:after="210" w:lineRule="auto"/>
      </w:pPr>
      <w:r>
        <w:rPr>
          <w:rFonts w:eastAsia="inter" w:cs="inter" w:ascii="inter" w:hAnsi="inter"/>
          <w:color w:val="000000"/>
        </w:rPr>
        <w:t xml:space="preserve">These differences increase annualized capital costs by 30-50%, disadvantaging capital-intensive automated production methods that confer cost advantages at scale.</w:t>
      </w:r>
      <w:bookmarkStart w:id="279" w:name="fnref41_14"/>
      <w:bookmarkEnd w:id="279"/>
      <w:hyperlink w:anchor="fn41">
        <w:r>
          <w:rPr>
            <w:rFonts w:eastAsia="inter" w:cs="inter" w:ascii="inter" w:hAnsi="inter"/>
            <w:color w:val="#000"/>
            <w:u w:val="single"/>
            <w:vertAlign w:val="superscript"/>
          </w:rPr>
          <w:t xml:space="preserve">[41]</w:t>
        </w:r>
      </w:hyperlink>
      <w:bookmarkStart w:id="280" w:name="fnref6_14"/>
      <w:bookmarkEnd w:id="280"/>
      <w:hyperlink w:anchor="fn6">
        <w:r>
          <w:rPr>
            <w:rFonts w:eastAsia="inter" w:cs="inter" w:ascii="inter" w:hAnsi="inter"/>
            <w:color w:val="#000"/>
            <w:u w:val="single"/>
            <w:vertAlign w:val="superscript"/>
          </w:rPr>
          <w:t xml:space="preserve">[6]</w:t>
        </w:r>
      </w:hyperlink>
    </w:p>
    <w:p>
      <w:pPr>
        <w:spacing w:line="360" w:after="210" w:lineRule="auto"/>
      </w:pPr>
      <w:r>
        <w:rPr>
          <w:rFonts w:eastAsia="inter" w:cs="inter" w:ascii="inter" w:hAnsi="inter"/>
          <w:b/>
          <w:color w:val="000000"/>
        </w:rPr>
        <w:t xml:space="preserve">Infrastructure Costs</w:t>
      </w:r>
    </w:p>
    <w:p>
      <w:pPr>
        <w:spacing w:line="360" w:after="210" w:lineRule="auto"/>
      </w:pPr>
      <w:r>
        <w:rPr>
          <w:rFonts w:eastAsia="inter" w:cs="inter" w:ascii="inter" w:hAnsi="inter"/>
          <w:color w:val="000000"/>
        </w:rPr>
        <w:t xml:space="preserve">Logistics expenses in India exceed Chinese equivalents by 20-30% due to less developed freight networks, higher port fees, and interstate taxation complexities (despite GST harmonization). These factors add 2-3% to total production costs for export-oriented manufacturing.</w:t>
      </w:r>
      <w:bookmarkStart w:id="281" w:name="fnref6_15"/>
      <w:bookmarkEnd w:id="281"/>
      <w:hyperlink w:anchor="fn6">
        <w:r>
          <w:rPr>
            <w:rFonts w:eastAsia="inter" w:cs="inter" w:ascii="inter" w:hAnsi="inter"/>
            <w:color w:val="#000"/>
            <w:u w:val="single"/>
            <w:vertAlign w:val="superscript"/>
          </w:rPr>
          <w:t xml:space="preserve">[6]</w:t>
        </w:r>
      </w:hyperlink>
    </w:p>
    <w:p>
      <w:pPr>
        <w:spacing w:line="360" w:after="210" w:lineRule="auto"/>
      </w:pPr>
      <w:r>
        <w:rPr>
          <w:rFonts w:eastAsia="inter" w:cs="inter" w:ascii="inter" w:hAnsi="inter"/>
          <w:b/>
          <w:color w:val="000000"/>
        </w:rPr>
        <w:t xml:space="preserve">Net Competitiveness Assessment</w:t>
      </w:r>
    </w:p>
    <w:p>
      <w:pPr>
        <w:spacing w:line="360" w:after="210" w:lineRule="auto"/>
      </w:pPr>
      <w:r>
        <w:rPr>
          <w:rFonts w:eastAsia="inter" w:cs="inter" w:ascii="inter" w:hAnsi="inter"/>
          <w:color w:val="000000"/>
        </w:rPr>
        <w:t xml:space="preserve">For hair straighteners, Indian manufacturing achieves cost parity with Chinese imports only under specific conditions:</w:t>
      </w:r>
    </w:p>
    <w:p>
      <w:pPr>
        <w:numPr>
          <w:ilvl w:val="0"/>
          <w:numId w:val="27"/>
        </w:numPr>
        <w:spacing w:line="360" w:before="105" w:after="105" w:lineRule="auto"/>
      </w:pPr>
      <w:r>
        <w:rPr>
          <w:rFonts w:eastAsia="inter" w:cs="inter" w:ascii="inter" w:hAnsi="inter"/>
          <w:color w:val="000000"/>
          <w:sz w:val="21"/>
        </w:rPr>
        <w:t xml:space="preserve">High tariff protection (current 20% basic duty + 18% IGST)</w:t>
      </w:r>
      <w:bookmarkStart w:id="282" w:name="fnref58_5"/>
      <w:bookmarkEnd w:id="282"/>
      <w:hyperlink w:anchor="fn58">
        <w:r>
          <w:rPr>
            <w:rFonts w:eastAsia="inter" w:cs="inter" w:ascii="inter" w:hAnsi="inter"/>
            <w:color w:val="#000"/>
            <w:sz w:val="21"/>
            <w:u w:val="single"/>
            <w:vertAlign w:val="superscript"/>
          </w:rPr>
          <w:t xml:space="preserve">[58]</w:t>
        </w:r>
      </w:hyperlink>
    </w:p>
    <w:p>
      <w:pPr>
        <w:numPr>
          <w:ilvl w:val="0"/>
          <w:numId w:val="27"/>
        </w:numPr>
        <w:spacing w:line="360" w:before="105" w:after="105" w:lineRule="auto"/>
      </w:pPr>
      <w:r>
        <w:rPr>
          <w:rFonts w:eastAsia="inter" w:cs="inter" w:ascii="inter" w:hAnsi="inter"/>
          <w:color w:val="000000"/>
          <w:sz w:val="21"/>
        </w:rPr>
        <w:t xml:space="preserve">Focus on budget segments with minimal imported components</w:t>
      </w:r>
      <w:bookmarkStart w:id="283" w:name="fnref6_16"/>
      <w:bookmarkEnd w:id="283"/>
      <w:hyperlink w:anchor="fn6">
        <w:r>
          <w:rPr>
            <w:rFonts w:eastAsia="inter" w:cs="inter" w:ascii="inter" w:hAnsi="inter"/>
            <w:color w:val="#000"/>
            <w:sz w:val="21"/>
            <w:u w:val="single"/>
            <w:vertAlign w:val="superscript"/>
          </w:rPr>
          <w:t xml:space="preserve">[6]</w:t>
        </w:r>
      </w:hyperlink>
    </w:p>
    <w:p>
      <w:pPr>
        <w:numPr>
          <w:ilvl w:val="0"/>
          <w:numId w:val="27"/>
        </w:numPr>
        <w:spacing w:line="360" w:before="105" w:after="105" w:lineRule="auto"/>
      </w:pPr>
      <w:r>
        <w:rPr>
          <w:rFonts w:eastAsia="inter" w:cs="inter" w:ascii="inter" w:hAnsi="inter"/>
          <w:color w:val="000000"/>
          <w:sz w:val="21"/>
        </w:rPr>
        <w:t xml:space="preserve">Production for domestic markets, avoiding export logistics costs</w:t>
      </w:r>
      <w:bookmarkStart w:id="284" w:name="fnref24_5"/>
      <w:bookmarkEnd w:id="284"/>
      <w:hyperlink w:anchor="fn24">
        <w:r>
          <w:rPr>
            <w:rFonts w:eastAsia="inter" w:cs="inter" w:ascii="inter" w:hAnsi="inter"/>
            <w:color w:val="#000"/>
            <w:sz w:val="21"/>
            <w:u w:val="single"/>
            <w:vertAlign w:val="superscript"/>
          </w:rPr>
          <w:t xml:space="preserve">[24]</w:t>
        </w:r>
      </w:hyperlink>
    </w:p>
    <w:p>
      <w:pPr>
        <w:spacing w:line="360" w:after="210" w:lineRule="auto"/>
      </w:pPr>
      <w:r>
        <w:rPr>
          <w:rFonts w:eastAsia="inter" w:cs="inter" w:ascii="inter" w:hAnsi="inter"/>
          <w:color w:val="000000"/>
        </w:rPr>
        <w:t xml:space="preserve">For premium segments requiring advanced materials and automation, Chinese manufacturing retains 15-25% cost advantages despite higher wages. This explains why India's hair straightener production concentrates on mid-range and budget products for domestic consumption, while imports dominate premium segments.</w:t>
      </w:r>
      <w:bookmarkStart w:id="285" w:name="fnref37_21"/>
      <w:bookmarkEnd w:id="285"/>
      <w:hyperlink w:anchor="fn37">
        <w:r>
          <w:rPr>
            <w:rFonts w:eastAsia="inter" w:cs="inter" w:ascii="inter" w:hAnsi="inter"/>
            <w:color w:val="#000"/>
            <w:u w:val="single"/>
            <w:vertAlign w:val="superscript"/>
          </w:rPr>
          <w:t xml:space="preserve">[37]</w:t>
        </w:r>
      </w:hyperlink>
      <w:bookmarkStart w:id="286" w:name="fnref24_6"/>
      <w:bookmarkEnd w:id="286"/>
      <w:hyperlink w:anchor="fn24">
        <w:r>
          <w:rPr>
            <w:rFonts w:eastAsia="inter" w:cs="inter" w:ascii="inter" w:hAnsi="inter"/>
            <w:color w:val="#000"/>
            <w:u w:val="single"/>
            <w:vertAlign w:val="superscript"/>
          </w:rPr>
          <w:t xml:space="preserve">[24]</w:t>
        </w:r>
      </w:hyperlink>
      <w:bookmarkStart w:id="287" w:name="fnref6_17"/>
      <w:bookmarkEnd w:id="287"/>
      <w:hyperlink w:anchor="fn6">
        <w:r>
          <w:rPr>
            <w:rFonts w:eastAsia="inter" w:cs="inter" w:ascii="inter" w:hAnsi="inter"/>
            <w:color w:val="#000"/>
            <w:u w:val="single"/>
            <w:vertAlign w:val="superscript"/>
          </w:rPr>
          <w:t xml:space="preserve">[6]</w:t>
        </w:r>
      </w:hyperlink>
    </w:p>
    <w:p>
      <w:pPr>
        <w:spacing w:line="360" w:after="210" w:lineRule="auto"/>
      </w:pPr>
      <w:r>
        <w:rPr>
          <w:rFonts w:eastAsia="inter" w:cs="inter" w:ascii="inter" w:hAnsi="inter"/>
          <w:color w:val="000000"/>
        </w:rPr>
        <w:t xml:space="preserve">Bridging the competitiveness gap requires developing domestic supply chains for electronic components and specialized materials, reducing dependence on imports subject to tariff escalation. Government initiatives under the Production-Linked Incentive (PLI) scheme aim to catalyze this ecosystem development, though impacts on hair appliance sectors remain limited as of 2024.</w:t>
      </w:r>
      <w:bookmarkStart w:id="288" w:name="fnref24_7"/>
      <w:bookmarkEnd w:id="288"/>
      <w:hyperlink w:anchor="fn24">
        <w:r>
          <w:rPr>
            <w:rFonts w:eastAsia="inter" w:cs="inter" w:ascii="inter" w:hAnsi="inter"/>
            <w:color w:val="#000"/>
            <w:u w:val="single"/>
            <w:vertAlign w:val="superscript"/>
          </w:rPr>
          <w:t xml:space="preserve">[24]</w:t>
        </w:r>
      </w:hyperlink>
      <w:bookmarkStart w:id="289" w:name="fnref6_18"/>
      <w:bookmarkEnd w:id="289"/>
      <w:hyperlink w:anchor="fn6">
        <w:r>
          <w:rPr>
            <w:rFonts w:eastAsia="inter" w:cs="inter" w:ascii="inter" w:hAnsi="inter"/>
            <w:color w:val="#000"/>
            <w:u w:val="single"/>
            <w:vertAlign w:val="superscript"/>
          </w:rPr>
          <w:t xml:space="preserve">[6]</w:t>
        </w:r>
      </w:hyperlink>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290" w:name="cost_structure_microeconomic_theo_1ce648"/>
      <w:r>
        <w:rPr>
          <w:rFonts w:eastAsia="inter" w:cs="inter" w:ascii="inter" w:hAnsi="inter"/>
          <w:b/>
          <w:color w:val="000000"/>
          <w:sz w:val="24"/>
        </w:rPr>
        <w:t xml:space="preserve">COST STRUCTURE: MICROECONOMIC THEORY APPLICATION</w:t>
      </w:r>
      <w:bookmarkEnd w:id="290"/>
    </w:p>
    <w:p>
      <w:pPr>
        <w:spacing w:line="360" w:before="315" w:after="105" w:lineRule="auto"/>
        <w:ind w:left="-30"/>
        <w:jc w:val="left"/>
      </w:pPr>
      <w:bookmarkStart w:id="291" w:name="capital_versus_operating_cost_dec_873faa"/>
      <w:r>
        <w:rPr>
          <w:rFonts w:eastAsia="inter" w:cs="inter" w:ascii="inter" w:hAnsi="inter"/>
          <w:b/>
          <w:color w:val="000000"/>
          <w:sz w:val="24"/>
        </w:rPr>
        <w:t xml:space="preserve">Capital versus Operating Cost Decomposition</w:t>
      </w:r>
      <w:bookmarkEnd w:id="291"/>
    </w:p>
    <w:p>
      <w:pPr>
        <w:spacing w:line="360" w:after="210" w:lineRule="auto"/>
      </w:pPr>
      <w:r>
        <w:rPr>
          <w:rFonts w:eastAsia="inter" w:cs="inter" w:ascii="inter" w:hAnsi="inter"/>
          <w:color w:val="000000"/>
        </w:rPr>
        <w:t xml:space="preserve">Hair straightener production exhibits cost structures characteristic of manufactured consumer durables, with significant fixed capital investments enabling marginal cost production at scale. This section applies microeconomic cost theory to decompose total costs and analyze implications for market structure and firm behavior.</w:t>
      </w:r>
      <w:bookmarkStart w:id="292" w:name="fnref34_8"/>
      <w:bookmarkEnd w:id="292"/>
      <w:hyperlink w:anchor="fn34">
        <w:r>
          <w:rPr>
            <w:rFonts w:eastAsia="inter" w:cs="inter" w:ascii="inter" w:hAnsi="inter"/>
            <w:color w:val="#000"/>
            <w:u w:val="single"/>
            <w:vertAlign w:val="superscript"/>
          </w:rPr>
          <w:t xml:space="preserve">[34]</w:t>
        </w:r>
      </w:hyperlink>
      <w:bookmarkStart w:id="293" w:name="fnref68"/>
      <w:bookmarkEnd w:id="293"/>
      <w:hyperlink w:anchor="fn68">
        <w:r>
          <w:rPr>
            <w:rFonts w:eastAsia="inter" w:cs="inter" w:ascii="inter" w:hAnsi="inter"/>
            <w:color w:val="#000"/>
            <w:u w:val="single"/>
            <w:vertAlign w:val="superscript"/>
          </w:rPr>
          <w:t xml:space="preserve">[68]</w:t>
        </w:r>
      </w:hyperlink>
      <w:bookmarkStart w:id="294" w:name="fnref69"/>
      <w:bookmarkEnd w:id="294"/>
      <w:hyperlink w:anchor="fn69">
        <w:r>
          <w:rPr>
            <w:rFonts w:eastAsia="inter" w:cs="inter" w:ascii="inter" w:hAnsi="inter"/>
            <w:color w:val="#000"/>
            <w:u w:val="single"/>
            <w:vertAlign w:val="superscript"/>
          </w:rPr>
          <w:t xml:space="preserve">[69]</w:t>
        </w:r>
      </w:hyperlink>
    </w:p>
    <w:p>
      <w:pPr>
        <w:spacing w:line="360" w:after="210" w:lineRule="auto"/>
      </w:pPr>
      <w:r>
        <w:rPr>
          <w:rFonts w:eastAsia="inter" w:cs="inter" w:ascii="inter" w:hAnsi="inter"/>
          <w:b/>
          <w:color w:val="000000"/>
        </w:rPr>
        <w:t xml:space="preserve">Capital Expenditure (CapEx) Components</w:t>
      </w:r>
    </w:p>
    <w:p>
      <w:pPr>
        <w:spacing w:line="360" w:after="210" w:lineRule="auto"/>
      </w:pPr>
      <w:r>
        <w:rPr>
          <w:rFonts w:eastAsia="inter" w:cs="inter" w:ascii="inter" w:hAnsi="inter"/>
          <w:color w:val="000000"/>
        </w:rPr>
        <w:t xml:space="preserve">Fixed capital investments for a mid-scale manufacturing facility (500,000 units annual capacity) typically include:</w:t>
      </w:r>
      <w:bookmarkStart w:id="295" w:name="fnref34_9"/>
      <w:bookmarkEnd w:id="295"/>
      <w:hyperlink w:anchor="fn34">
        <w:r>
          <w:rPr>
            <w:rFonts w:eastAsia="inter" w:cs="inter" w:ascii="inter" w:hAnsi="inter"/>
            <w:color w:val="#000"/>
            <w:u w:val="single"/>
            <w:vertAlign w:val="superscript"/>
          </w:rPr>
          <w:t xml:space="preserve">[34]</w:t>
        </w:r>
      </w:hyperlink>
    </w:p>
    <w:tbl>
      <w:tblPr>
        <w:tblStyle w:val="TableGrid"/>
        <w:jc w:val="center"/>
        <w:tblCellSpacing w:w="0" w:type="dxa"/>
        <w:tblBorders>
          <w:top w:val="single" w:sz="2" w:space="0" w:color="000000"/>
          <w:left w:val="single" w:sz="2" w:space="0" w:color="000000"/>
          <w:bottom w:val="single" w:sz="2" w:space="0" w:color="000000"/>
          <w:right w:val="single" w:sz="2" w:space="0" w:color="000000"/>
        </w:tblBorders>
        <w:tblCellMar>
          <w:top w:type="dxa" w:w="80"/>
          <w:left w:type="dxa" w:w="160"/>
          <w:bottom w:type="dxa" w:w="80"/>
          <w:right w:type="dxa" w:w="160"/>
        </w:tblCellMar>
      </w:tblPr>
      <w:tblGrid>
        <w:gridCol w:w="2378"/>
        <w:gridCol w:w="2378"/>
        <w:gridCol w:w="2378"/>
        <w:gridCol w:w="2378"/>
      </w:tblGrid>
      <w:tr>
        <w:trPr>
          <w:cantSplit/>
        </w:trPr>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Capital Item</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Investment Range (USD)</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Useful Life (Years)</w:t>
            </w:r>
          </w:p>
        </w:tc>
        <w:tc>
          <w:tcPr>
            <w:tcBorders>
              <w:top w:val="single" w:sz="1" w:space="0" w:color="000000"/>
              <w:bottom w:val="single" w:sz="1" w:space="0" w:color="000000"/>
            </w:tcBorders>
          </w:tcPr>
          <w:p>
            <w:pPr>
              <w:spacing w:line="360" w:lineRule="auto"/>
            </w:pPr>
            <w:r>
              <w:rPr>
                <w:rFonts w:eastAsia="inter" w:cs="inter" w:ascii="inter" w:hAnsi="inter"/>
                <w:color w:val="000000"/>
                <w:sz w:val="17"/>
              </w:rPr>
              <w:t xml:space="preserve">Annual Depreciation</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Factory building/lease</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200,000-500,000</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20</w:t>
            </w:r>
          </w:p>
        </w:tc>
        <w:tc>
          <w:tcPr>
            <w:tcBorders>
              <w:top w:val="single" w:sz="1" w:space="0" w:color="000000"/>
              <w:bottom w:val="single" w:sz="1" w:space="0" w:color="000000"/>
            </w:tcBorders>
          </w:tcPr>
          <w:p>
            <w:pPr>
              <w:spacing w:line="360" w:lineRule="auto"/>
            </w:pPr>
            <w:r>
              <w:rPr>
                <w:rFonts w:eastAsia="inter" w:cs="inter" w:ascii="inter" w:hAnsi="inter"/>
                <w:color w:val="000000"/>
                <w:sz w:val="17"/>
              </w:rPr>
              <w:t xml:space="preserve">10,000-25,000</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Injection molding equipment (4-6 machines)</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150,000-400,000</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10</w:t>
            </w:r>
          </w:p>
        </w:tc>
        <w:tc>
          <w:tcPr>
            <w:tcBorders>
              <w:top w:val="single" w:sz="1" w:space="0" w:color="000000"/>
              <w:bottom w:val="single" w:sz="1" w:space="0" w:color="000000"/>
            </w:tcBorders>
          </w:tcPr>
          <w:p>
            <w:pPr>
              <w:spacing w:line="360" w:lineRule="auto"/>
            </w:pPr>
            <w:r>
              <w:rPr>
                <w:rFonts w:eastAsia="inter" w:cs="inter" w:ascii="inter" w:hAnsi="inter"/>
                <w:color w:val="000000"/>
                <w:sz w:val="17"/>
              </w:rPr>
              <w:t xml:space="preserve">15,000-40,000</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SMT assembly line</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200,000-600,000</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8</w:t>
            </w:r>
          </w:p>
        </w:tc>
        <w:tc>
          <w:tcPr>
            <w:tcBorders>
              <w:top w:val="single" w:sz="1" w:space="0" w:color="000000"/>
              <w:bottom w:val="single" w:sz="1" w:space="0" w:color="000000"/>
            </w:tcBorders>
          </w:tcPr>
          <w:p>
            <w:pPr>
              <w:spacing w:line="360" w:lineRule="auto"/>
            </w:pPr>
            <w:r>
              <w:rPr>
                <w:rFonts w:eastAsia="inter" w:cs="inter" w:ascii="inter" w:hAnsi="inter"/>
                <w:color w:val="000000"/>
                <w:sz w:val="17"/>
              </w:rPr>
              <w:t xml:space="preserve">25,000-75,000</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Testing/QC equipment</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80,000-200,000</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10</w:t>
            </w:r>
          </w:p>
        </w:tc>
        <w:tc>
          <w:tcPr>
            <w:tcBorders>
              <w:top w:val="single" w:sz="1" w:space="0" w:color="000000"/>
              <w:bottom w:val="single" w:sz="1" w:space="0" w:color="000000"/>
            </w:tcBorders>
          </w:tcPr>
          <w:p>
            <w:pPr>
              <w:spacing w:line="360" w:lineRule="auto"/>
            </w:pPr>
            <w:r>
              <w:rPr>
                <w:rFonts w:eastAsia="inter" w:cs="inter" w:ascii="inter" w:hAnsi="inter"/>
                <w:color w:val="000000"/>
                <w:sz w:val="17"/>
              </w:rPr>
              <w:t xml:space="preserve">8,000-20,000</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Tooling and molds</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120,000-300,000</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5</w:t>
            </w:r>
          </w:p>
        </w:tc>
        <w:tc>
          <w:tcPr>
            <w:tcBorders>
              <w:top w:val="single" w:sz="1" w:space="0" w:color="000000"/>
              <w:bottom w:val="single" w:sz="1" w:space="0" w:color="000000"/>
            </w:tcBorders>
          </w:tcPr>
          <w:p>
            <w:pPr>
              <w:spacing w:line="360" w:lineRule="auto"/>
            </w:pPr>
            <w:r>
              <w:rPr>
                <w:rFonts w:eastAsia="inter" w:cs="inter" w:ascii="inter" w:hAnsi="inter"/>
                <w:color w:val="000000"/>
                <w:sz w:val="17"/>
              </w:rPr>
              <w:t xml:space="preserve">24,000-60,000</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IT systems/ERP</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30,000-80,000</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5</w:t>
            </w:r>
          </w:p>
        </w:tc>
        <w:tc>
          <w:tcPr>
            <w:tcBorders>
              <w:top w:val="single" w:sz="1" w:space="0" w:color="000000"/>
              <w:bottom w:val="single" w:sz="1" w:space="0" w:color="000000"/>
            </w:tcBorders>
          </w:tcPr>
          <w:p>
            <w:pPr>
              <w:spacing w:line="360" w:lineRule="auto"/>
            </w:pPr>
            <w:r>
              <w:rPr>
                <w:rFonts w:eastAsia="inter" w:cs="inter" w:ascii="inter" w:hAnsi="inter"/>
                <w:color w:val="000000"/>
                <w:sz w:val="17"/>
              </w:rPr>
              <w:t xml:space="preserve">6,000-16,000</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b/>
                <w:color w:val="000000"/>
                <w:sz w:val="17"/>
              </w:rPr>
              <w:t xml:space="preserve">Total CapEx</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b/>
                <w:color w:val="000000"/>
                <w:sz w:val="17"/>
              </w:rPr>
              <w:t xml:space="preserve">780,000-2,080,000</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w:t>
            </w:r>
          </w:p>
        </w:tc>
        <w:tc>
          <w:tcPr>
            <w:tcBorders>
              <w:top w:val="single" w:sz="1" w:space="0" w:color="000000"/>
              <w:bottom w:val="single" w:sz="1" w:space="0" w:color="000000"/>
            </w:tcBorders>
          </w:tcPr>
          <w:p>
            <w:pPr>
              <w:spacing w:line="360" w:lineRule="auto"/>
            </w:pPr>
            <w:r>
              <w:rPr>
                <w:rFonts w:eastAsia="inter" w:cs="inter" w:ascii="inter" w:hAnsi="inter"/>
                <w:b/>
                <w:color w:val="000000"/>
                <w:sz w:val="17"/>
              </w:rPr>
              <w:t xml:space="preserve">88,000-236,000</w:t>
            </w:r>
          </w:p>
        </w:tc>
      </w:tr>
    </w:tbl>
    <w:p>
      <w:pPr>
        <w:spacing w:lineRule="auto"/>
      </w:pPr>
    </w:p>
    <w:p>
      <w:pPr>
        <w:spacing w:line="360" w:after="210" w:lineRule="auto"/>
      </w:pPr>
      <w:r>
        <w:rPr>
          <w:rFonts w:eastAsia="inter" w:cs="inter" w:ascii="inter" w:hAnsi="inter"/>
          <w:color w:val="000000"/>
        </w:rPr>
        <w:t xml:space="preserve">At 500,000 units annually, per-unit capital depreciation ranges from </w:t>
      </w:r>
      <w:r>
        <w:rPr>
          <w:rFonts w:eastAsia="inter" w:cs="inter" w:ascii="inter" w:hAnsi="inter"/>
          <w:b/>
          <w:color w:val="000000"/>
        </w:rPr>
        <w:t xml:space="preserve">USD 0.18-0.47</w:t>
      </w:r>
      <w:r>
        <w:rPr>
          <w:rFonts w:eastAsia="inter" w:cs="inter" w:ascii="inter" w:hAnsi="inter"/>
          <w:color w:val="000000"/>
        </w:rPr>
        <w:t xml:space="preserve">. This capital intensity creates substantial economies of scale: doubling production to 1 million units halves per-unit capital costs to USD 0.09-0.24, assuming existing capacity can accommodate increased throughput.</w:t>
      </w:r>
      <w:bookmarkStart w:id="296" w:name="fnref54_3"/>
      <w:bookmarkEnd w:id="296"/>
      <w:hyperlink w:anchor="fn54">
        <w:r>
          <w:rPr>
            <w:rFonts w:eastAsia="inter" w:cs="inter" w:ascii="inter" w:hAnsi="inter"/>
            <w:color w:val="#000"/>
            <w:u w:val="single"/>
            <w:vertAlign w:val="superscript"/>
          </w:rPr>
          <w:t xml:space="preserve">[54]</w:t>
        </w:r>
      </w:hyperlink>
      <w:bookmarkStart w:id="297" w:name="fnref34_10"/>
      <w:bookmarkEnd w:id="297"/>
      <w:hyperlink w:anchor="fn34">
        <w:r>
          <w:rPr>
            <w:rFonts w:eastAsia="inter" w:cs="inter" w:ascii="inter" w:hAnsi="inter"/>
            <w:color w:val="#000"/>
            <w:u w:val="single"/>
            <w:vertAlign w:val="superscript"/>
          </w:rPr>
          <w:t xml:space="preserve">[34]</w:t>
        </w:r>
      </w:hyperlink>
    </w:p>
    <w:p>
      <w:pPr>
        <w:spacing w:line="360" w:after="210" w:lineRule="auto"/>
      </w:pPr>
      <w:r>
        <w:rPr>
          <w:rFonts w:eastAsia="inter" w:cs="inter" w:ascii="inter" w:hAnsi="inter"/>
          <w:color w:val="000000"/>
        </w:rPr>
        <w:t xml:space="preserve">The capital structure exhibits high asset specificity—injection molds are designed for specific housing geometries and cannot be repurposed for alternative products without significant modification costs. This specificity creates sunk costs that affect entry/exit decisions and competitive dynamics, as discussed in subsequent sections.</w:t>
      </w:r>
      <w:bookmarkStart w:id="298" w:name="fnref34_11"/>
      <w:bookmarkEnd w:id="298"/>
      <w:hyperlink w:anchor="fn34">
        <w:r>
          <w:rPr>
            <w:rFonts w:eastAsia="inter" w:cs="inter" w:ascii="inter" w:hAnsi="inter"/>
            <w:color w:val="#000"/>
            <w:u w:val="single"/>
            <w:vertAlign w:val="superscript"/>
          </w:rPr>
          <w:t xml:space="preserve">[34]</w:t>
        </w:r>
      </w:hyperlink>
    </w:p>
    <w:p>
      <w:pPr>
        <w:spacing w:line="360" w:after="210" w:lineRule="auto"/>
      </w:pPr>
      <w:r>
        <w:rPr>
          <w:rFonts w:eastAsia="inter" w:cs="inter" w:ascii="inter" w:hAnsi="inter"/>
          <w:b/>
          <w:color w:val="000000"/>
        </w:rPr>
        <w:t xml:space="preserve">Operating Expenditure (OpEx) Structure</w:t>
      </w:r>
    </w:p>
    <w:p>
      <w:pPr>
        <w:spacing w:line="360" w:after="210" w:lineRule="auto"/>
      </w:pPr>
      <w:r>
        <w:rPr>
          <w:rFonts w:eastAsia="inter" w:cs="inter" w:ascii="inter" w:hAnsi="inter"/>
          <w:color w:val="000000"/>
        </w:rPr>
        <w:t xml:space="preserve">Recurring production costs comprise variable and semi-variable components:</w:t>
      </w:r>
      <w:bookmarkStart w:id="299" w:name="fnref68_1"/>
      <w:bookmarkEnd w:id="299"/>
      <w:hyperlink w:anchor="fn68">
        <w:r>
          <w:rPr>
            <w:rFonts w:eastAsia="inter" w:cs="inter" w:ascii="inter" w:hAnsi="inter"/>
            <w:color w:val="#000"/>
            <w:u w:val="single"/>
            <w:vertAlign w:val="superscript"/>
          </w:rPr>
          <w:t xml:space="preserve">[68]</w:t>
        </w:r>
      </w:hyperlink>
      <w:bookmarkStart w:id="300" w:name="fnref34_12"/>
      <w:bookmarkEnd w:id="300"/>
      <w:hyperlink w:anchor="fn34">
        <w:r>
          <w:rPr>
            <w:rFonts w:eastAsia="inter" w:cs="inter" w:ascii="inter" w:hAnsi="inter"/>
            <w:color w:val="#000"/>
            <w:u w:val="single"/>
            <w:vertAlign w:val="superscript"/>
          </w:rPr>
          <w:t xml:space="preserve">[34]</w:t>
        </w:r>
      </w:hyperlink>
    </w:p>
    <w:p>
      <w:pPr>
        <w:spacing w:line="360" w:after="210" w:lineRule="auto"/>
      </w:pPr>
      <w:r>
        <w:rPr>
          <w:rFonts w:eastAsia="inter" w:cs="inter" w:ascii="inter" w:hAnsi="inter"/>
          <w:i/>
          <w:color w:val="000000"/>
        </w:rPr>
        <w:t xml:space="preserve">Variable costs</w:t>
      </w:r>
      <w:r>
        <w:rPr>
          <w:rFonts w:eastAsia="inter" w:cs="inter" w:ascii="inter" w:hAnsi="inter"/>
          <w:color w:val="000000"/>
        </w:rPr>
        <w:t xml:space="preserve"> (scale directly with production volume):</w:t>
      </w:r>
    </w:p>
    <w:p>
      <w:pPr>
        <w:numPr>
          <w:ilvl w:val="0"/>
          <w:numId w:val="28"/>
        </w:numPr>
        <w:spacing w:line="360" w:before="105" w:after="105" w:lineRule="auto"/>
      </w:pPr>
      <w:r>
        <w:rPr>
          <w:rFonts w:eastAsia="inter" w:cs="inter" w:ascii="inter" w:hAnsi="inter"/>
          <w:color w:val="000000"/>
          <w:sz w:val="21"/>
        </w:rPr>
        <w:t xml:space="preserve">Raw materials: USD 4.50-8.00 per unit (budget) to USD 12-25 (premium)</w:t>
      </w:r>
      <w:bookmarkStart w:id="301" w:name="fnref39_11"/>
      <w:bookmarkEnd w:id="301"/>
      <w:hyperlink w:anchor="fn39">
        <w:r>
          <w:rPr>
            <w:rFonts w:eastAsia="inter" w:cs="inter" w:ascii="inter" w:hAnsi="inter"/>
            <w:color w:val="#000"/>
            <w:sz w:val="21"/>
            <w:u w:val="single"/>
            <w:vertAlign w:val="superscript"/>
          </w:rPr>
          <w:t xml:space="preserve">[39]</w:t>
        </w:r>
      </w:hyperlink>
      <w:bookmarkStart w:id="302" w:name="fnref15_8"/>
      <w:bookmarkEnd w:id="302"/>
      <w:hyperlink w:anchor="fn15">
        <w:r>
          <w:rPr>
            <w:rFonts w:eastAsia="inter" w:cs="inter" w:ascii="inter" w:hAnsi="inter"/>
            <w:color w:val="#000"/>
            <w:sz w:val="21"/>
            <w:u w:val="single"/>
            <w:vertAlign w:val="superscript"/>
          </w:rPr>
          <w:t xml:space="preserve">[15]</w:t>
        </w:r>
      </w:hyperlink>
      <w:bookmarkStart w:id="303" w:name="fnref34_13"/>
      <w:bookmarkEnd w:id="303"/>
      <w:hyperlink w:anchor="fn34">
        <w:r>
          <w:rPr>
            <w:rFonts w:eastAsia="inter" w:cs="inter" w:ascii="inter" w:hAnsi="inter"/>
            <w:color w:val="#000"/>
            <w:sz w:val="21"/>
            <w:u w:val="single"/>
            <w:vertAlign w:val="superscript"/>
          </w:rPr>
          <w:t xml:space="preserve">[34]</w:t>
        </w:r>
      </w:hyperlink>
    </w:p>
    <w:p>
      <w:pPr>
        <w:numPr>
          <w:ilvl w:val="0"/>
          <w:numId w:val="28"/>
        </w:numPr>
        <w:spacing w:line="360" w:before="105" w:after="105" w:lineRule="auto"/>
      </w:pPr>
      <w:r>
        <w:rPr>
          <w:rFonts w:eastAsia="inter" w:cs="inter" w:ascii="inter" w:hAnsi="inter"/>
          <w:color w:val="000000"/>
          <w:sz w:val="21"/>
        </w:rPr>
        <w:t xml:space="preserve">Direct labor: USD 1.20-3.50 per unit depending on automation level</w:t>
      </w:r>
      <w:bookmarkStart w:id="304" w:name="fnref37_22"/>
      <w:bookmarkEnd w:id="304"/>
      <w:hyperlink w:anchor="fn37">
        <w:r>
          <w:rPr>
            <w:rFonts w:eastAsia="inter" w:cs="inter" w:ascii="inter" w:hAnsi="inter"/>
            <w:color w:val="#000"/>
            <w:sz w:val="21"/>
            <w:u w:val="single"/>
            <w:vertAlign w:val="superscript"/>
          </w:rPr>
          <w:t xml:space="preserve">[37]</w:t>
        </w:r>
      </w:hyperlink>
      <w:bookmarkStart w:id="305" w:name="fnref41_15"/>
      <w:bookmarkEnd w:id="305"/>
      <w:hyperlink w:anchor="fn41">
        <w:r>
          <w:rPr>
            <w:rFonts w:eastAsia="inter" w:cs="inter" w:ascii="inter" w:hAnsi="inter"/>
            <w:color w:val="#000"/>
            <w:sz w:val="21"/>
            <w:u w:val="single"/>
            <w:vertAlign w:val="superscript"/>
          </w:rPr>
          <w:t xml:space="preserve">[41]</w:t>
        </w:r>
      </w:hyperlink>
      <w:bookmarkStart w:id="306" w:name="fnref34_14"/>
      <w:bookmarkEnd w:id="306"/>
      <w:hyperlink w:anchor="fn34">
        <w:r>
          <w:rPr>
            <w:rFonts w:eastAsia="inter" w:cs="inter" w:ascii="inter" w:hAnsi="inter"/>
            <w:color w:val="#000"/>
            <w:sz w:val="21"/>
            <w:u w:val="single"/>
            <w:vertAlign w:val="superscript"/>
          </w:rPr>
          <w:t xml:space="preserve">[34]</w:t>
        </w:r>
      </w:hyperlink>
    </w:p>
    <w:p>
      <w:pPr>
        <w:numPr>
          <w:ilvl w:val="0"/>
          <w:numId w:val="28"/>
        </w:numPr>
        <w:spacing w:line="360" w:before="105" w:after="105" w:lineRule="auto"/>
      </w:pPr>
      <w:r>
        <w:rPr>
          <w:rFonts w:eastAsia="inter" w:cs="inter" w:ascii="inter" w:hAnsi="inter"/>
          <w:color w:val="000000"/>
          <w:sz w:val="21"/>
        </w:rPr>
        <w:t xml:space="preserve">Packaging materials: USD 0.60-1.80 per unit</w:t>
      </w:r>
      <w:bookmarkStart w:id="307" w:name="fnref34_15"/>
      <w:bookmarkEnd w:id="307"/>
      <w:hyperlink w:anchor="fn34">
        <w:r>
          <w:rPr>
            <w:rFonts w:eastAsia="inter" w:cs="inter" w:ascii="inter" w:hAnsi="inter"/>
            <w:color w:val="#000"/>
            <w:sz w:val="21"/>
            <w:u w:val="single"/>
            <w:vertAlign w:val="superscript"/>
          </w:rPr>
          <w:t xml:space="preserve">[34]</w:t>
        </w:r>
      </w:hyperlink>
    </w:p>
    <w:p>
      <w:pPr>
        <w:numPr>
          <w:ilvl w:val="0"/>
          <w:numId w:val="28"/>
        </w:numPr>
        <w:spacing w:line="360" w:before="105" w:after="105" w:lineRule="auto"/>
      </w:pPr>
      <w:r>
        <w:rPr>
          <w:rFonts w:eastAsia="inter" w:cs="inter" w:ascii="inter" w:hAnsi="inter"/>
          <w:color w:val="000000"/>
          <w:sz w:val="21"/>
        </w:rPr>
        <w:t xml:space="preserve">Utilities (energy): USD 0.15-0.35 per unit</w:t>
      </w:r>
      <w:bookmarkStart w:id="308" w:name="fnref34_16"/>
      <w:bookmarkEnd w:id="308"/>
      <w:hyperlink w:anchor="fn34">
        <w:r>
          <w:rPr>
            <w:rFonts w:eastAsia="inter" w:cs="inter" w:ascii="inter" w:hAnsi="inter"/>
            <w:color w:val="#000"/>
            <w:sz w:val="21"/>
            <w:u w:val="single"/>
            <w:vertAlign w:val="superscript"/>
          </w:rPr>
          <w:t xml:space="preserve">[34]</w:t>
        </w:r>
      </w:hyperlink>
    </w:p>
    <w:p>
      <w:pPr>
        <w:spacing w:line="360" w:after="210" w:lineRule="auto"/>
      </w:pPr>
      <w:r>
        <w:rPr>
          <w:rFonts w:eastAsia="inter" w:cs="inter" w:ascii="inter" w:hAnsi="inter"/>
          <w:i/>
          <w:color w:val="000000"/>
        </w:rPr>
        <w:t xml:space="preserve">Semi-variable costs</w:t>
      </w:r>
      <w:r>
        <w:rPr>
          <w:rFonts w:eastAsia="inter" w:cs="inter" w:ascii="inter" w:hAnsi="inter"/>
          <w:color w:val="000000"/>
        </w:rPr>
        <w:t xml:space="preserve"> (exhibit step functions):</w:t>
      </w:r>
    </w:p>
    <w:p>
      <w:pPr>
        <w:numPr>
          <w:ilvl w:val="0"/>
          <w:numId w:val="29"/>
        </w:numPr>
        <w:spacing w:line="360" w:before="105" w:after="105" w:lineRule="auto"/>
      </w:pPr>
      <w:r>
        <w:rPr>
          <w:rFonts w:eastAsia="inter" w:cs="inter" w:ascii="inter" w:hAnsi="inter"/>
          <w:color w:val="000000"/>
          <w:sz w:val="21"/>
        </w:rPr>
        <w:t xml:space="preserve">Maintenance: USD 30,000-80,000 annually (increases with equipment usage but not linearly)</w:t>
      </w:r>
      <w:bookmarkStart w:id="309" w:name="fnref34_17"/>
      <w:bookmarkEnd w:id="309"/>
      <w:hyperlink w:anchor="fn34">
        <w:r>
          <w:rPr>
            <w:rFonts w:eastAsia="inter" w:cs="inter" w:ascii="inter" w:hAnsi="inter"/>
            <w:color w:val="#000"/>
            <w:sz w:val="21"/>
            <w:u w:val="single"/>
            <w:vertAlign w:val="superscript"/>
          </w:rPr>
          <w:t xml:space="preserve">[34]</w:t>
        </w:r>
      </w:hyperlink>
    </w:p>
    <w:p>
      <w:pPr>
        <w:numPr>
          <w:ilvl w:val="0"/>
          <w:numId w:val="29"/>
        </w:numPr>
        <w:spacing w:line="360" w:before="105" w:after="105" w:lineRule="auto"/>
      </w:pPr>
      <w:r>
        <w:rPr>
          <w:rFonts w:eastAsia="inter" w:cs="inter" w:ascii="inter" w:hAnsi="inter"/>
          <w:color w:val="000000"/>
          <w:sz w:val="21"/>
        </w:rPr>
        <w:t xml:space="preserve">Quality control labor: 1 QC technician per 80,000-120,000 units</w:t>
      </w:r>
      <w:bookmarkStart w:id="310" w:name="fnref34_18"/>
      <w:bookmarkEnd w:id="310"/>
      <w:hyperlink w:anchor="fn34">
        <w:r>
          <w:rPr>
            <w:rFonts w:eastAsia="inter" w:cs="inter" w:ascii="inter" w:hAnsi="inter"/>
            <w:color w:val="#000"/>
            <w:sz w:val="21"/>
            <w:u w:val="single"/>
            <w:vertAlign w:val="superscript"/>
          </w:rPr>
          <w:t xml:space="preserve">[34]</w:t>
        </w:r>
      </w:hyperlink>
    </w:p>
    <w:p>
      <w:pPr>
        <w:numPr>
          <w:ilvl w:val="0"/>
          <w:numId w:val="29"/>
        </w:numPr>
        <w:spacing w:line="360" w:before="105" w:after="105" w:lineRule="auto"/>
      </w:pPr>
      <w:r>
        <w:rPr>
          <w:rFonts w:eastAsia="inter" w:cs="inter" w:ascii="inter" w:hAnsi="inter"/>
          <w:color w:val="000000"/>
          <w:sz w:val="21"/>
        </w:rPr>
        <w:t xml:space="preserve">Inventory holding: 1.5-2.5% of inventory value per month</w:t>
      </w:r>
      <w:bookmarkStart w:id="311" w:name="fnref34_19"/>
      <w:bookmarkEnd w:id="311"/>
      <w:hyperlink w:anchor="fn34">
        <w:r>
          <w:rPr>
            <w:rFonts w:eastAsia="inter" w:cs="inter" w:ascii="inter" w:hAnsi="inter"/>
            <w:color w:val="#000"/>
            <w:sz w:val="21"/>
            <w:u w:val="single"/>
            <w:vertAlign w:val="superscript"/>
          </w:rPr>
          <w:t xml:space="preserve">[34]</w:t>
        </w:r>
      </w:hyperlink>
    </w:p>
    <w:p>
      <w:pPr>
        <w:spacing w:line="360" w:after="210" w:lineRule="auto"/>
      </w:pPr>
      <w:r>
        <w:rPr>
          <w:rFonts w:eastAsia="inter" w:cs="inter" w:ascii="inter" w:hAnsi="inter"/>
          <w:i/>
          <w:color w:val="000000"/>
        </w:rPr>
        <w:t xml:space="preserve">Fixed operating costs</w:t>
      </w:r>
      <w:r>
        <w:rPr>
          <w:rFonts w:eastAsia="inter" w:cs="inter" w:ascii="inter" w:hAnsi="inter"/>
          <w:color w:val="000000"/>
        </w:rPr>
        <w:t xml:space="preserve">:</w:t>
      </w:r>
    </w:p>
    <w:p>
      <w:pPr>
        <w:numPr>
          <w:ilvl w:val="0"/>
          <w:numId w:val="30"/>
        </w:numPr>
        <w:spacing w:line="360" w:before="105" w:after="105" w:lineRule="auto"/>
      </w:pPr>
      <w:r>
        <w:rPr>
          <w:rFonts w:eastAsia="inter" w:cs="inter" w:ascii="inter" w:hAnsi="inter"/>
          <w:color w:val="000000"/>
          <w:sz w:val="21"/>
        </w:rPr>
        <w:t xml:space="preserve">Facility overhead (utilities, insurance, property taxes): USD 120,000-300,000 annually</w:t>
      </w:r>
      <w:bookmarkStart w:id="312" w:name="fnref34_20"/>
      <w:bookmarkEnd w:id="312"/>
      <w:hyperlink w:anchor="fn34">
        <w:r>
          <w:rPr>
            <w:rFonts w:eastAsia="inter" w:cs="inter" w:ascii="inter" w:hAnsi="inter"/>
            <w:color w:val="#000"/>
            <w:sz w:val="21"/>
            <w:u w:val="single"/>
            <w:vertAlign w:val="superscript"/>
          </w:rPr>
          <w:t xml:space="preserve">[34]</w:t>
        </w:r>
      </w:hyperlink>
    </w:p>
    <w:p>
      <w:pPr>
        <w:numPr>
          <w:ilvl w:val="0"/>
          <w:numId w:val="30"/>
        </w:numPr>
        <w:spacing w:line="360" w:before="105" w:after="105" w:lineRule="auto"/>
      </w:pPr>
      <w:r>
        <w:rPr>
          <w:rFonts w:eastAsia="inter" w:cs="inter" w:ascii="inter" w:hAnsi="inter"/>
          <w:color w:val="000000"/>
          <w:sz w:val="21"/>
        </w:rPr>
        <w:t xml:space="preserve">Management salaries: USD 180,000-450,000 for mid-scale operations</w:t>
      </w:r>
      <w:bookmarkStart w:id="313" w:name="fnref34_21"/>
      <w:bookmarkEnd w:id="313"/>
      <w:hyperlink w:anchor="fn34">
        <w:r>
          <w:rPr>
            <w:rFonts w:eastAsia="inter" w:cs="inter" w:ascii="inter" w:hAnsi="inter"/>
            <w:color w:val="#000"/>
            <w:sz w:val="21"/>
            <w:u w:val="single"/>
            <w:vertAlign w:val="superscript"/>
          </w:rPr>
          <w:t xml:space="preserve">[34]</w:t>
        </w:r>
      </w:hyperlink>
    </w:p>
    <w:p>
      <w:pPr>
        <w:numPr>
          <w:ilvl w:val="0"/>
          <w:numId w:val="30"/>
        </w:numPr>
        <w:spacing w:line="360" w:before="105" w:after="105" w:lineRule="auto"/>
      </w:pPr>
      <w:r>
        <w:rPr>
          <w:rFonts w:eastAsia="inter" w:cs="inter" w:ascii="inter" w:hAnsi="inter"/>
          <w:color w:val="000000"/>
          <w:sz w:val="21"/>
        </w:rPr>
        <w:t xml:space="preserve">Regulatory compliance (certifications, testing): USD 40,000-100,000 annually</w:t>
      </w:r>
      <w:bookmarkStart w:id="314" w:name="fnref55_2"/>
      <w:bookmarkEnd w:id="314"/>
      <w:hyperlink w:anchor="fn55">
        <w:r>
          <w:rPr>
            <w:rFonts w:eastAsia="inter" w:cs="inter" w:ascii="inter" w:hAnsi="inter"/>
            <w:color w:val="#000"/>
            <w:sz w:val="21"/>
            <w:u w:val="single"/>
            <w:vertAlign w:val="superscript"/>
          </w:rPr>
          <w:t xml:space="preserve">[55]</w:t>
        </w:r>
      </w:hyperlink>
      <w:bookmarkStart w:id="315" w:name="fnref34_22"/>
      <w:bookmarkEnd w:id="315"/>
      <w:hyperlink w:anchor="fn34">
        <w:r>
          <w:rPr>
            <w:rFonts w:eastAsia="inter" w:cs="inter" w:ascii="inter" w:hAnsi="inter"/>
            <w:color w:val="#000"/>
            <w:sz w:val="21"/>
            <w:u w:val="single"/>
            <w:vertAlign w:val="superscript"/>
          </w:rPr>
          <w:t xml:space="preserve">[34]</w:t>
        </w:r>
      </w:hyperlink>
    </w:p>
    <w:p>
      <w:pPr>
        <w:spacing w:line="360" w:after="210" w:lineRule="auto"/>
      </w:pPr>
      <w:r>
        <w:rPr>
          <w:rFonts w:eastAsia="inter" w:cs="inter" w:ascii="inter" w:hAnsi="inter"/>
          <w:color w:val="000000"/>
        </w:rPr>
        <w:t xml:space="preserve">Typical total cost function for mid-range hair straightener production:</w:t>
      </w:r>
    </w:p>
    <w:p>
      <w:pPr>
        <w:spacing w:line="360" w:after="210" w:lineRule="auto"/>
      </w:pPr>
      <w:r>
        <w:rPr>
          <w:rFonts w:eastAsia="inter" w:cs="inter" w:ascii="inter" w:hAnsi="inter"/>
          <w:b/>
          <w:color w:val="000000"/>
        </w:rPr>
        <w:t xml:space="preserve">TC(Q) = FC + VC × Q</w:t>
      </w:r>
    </w:p>
    <w:p>
      <w:pPr>
        <w:spacing w:line="360" w:after="210" w:lineRule="auto"/>
      </w:pPr>
      <w:r>
        <w:rPr>
          <w:rFonts w:eastAsia="inter" w:cs="inter" w:ascii="inter" w:hAnsi="inter"/>
          <w:color w:val="000000"/>
        </w:rPr>
        <w:t xml:space="preserve">Where:</w:t>
      </w:r>
    </w:p>
    <w:p>
      <w:pPr>
        <w:numPr>
          <w:ilvl w:val="0"/>
          <w:numId w:val="31"/>
        </w:numPr>
        <w:spacing w:line="360" w:before="105" w:after="105" w:lineRule="auto"/>
      </w:pPr>
      <w:r>
        <w:rPr>
          <w:rFonts w:eastAsia="inter" w:cs="inter" w:ascii="inter" w:hAnsi="inter"/>
          <w:b/>
          <w:color w:val="000000"/>
          <w:sz w:val="21"/>
        </w:rPr>
        <w:t xml:space="preserve">FC</w:t>
      </w:r>
      <w:r>
        <w:rPr>
          <w:rFonts w:eastAsia="inter" w:cs="inter" w:ascii="inter" w:hAnsi="inter"/>
          <w:color w:val="000000"/>
          <w:sz w:val="21"/>
        </w:rPr>
        <w:t xml:space="preserve"> (Fixed Costs) = USD 400,000-900,000 annually (depreciation + fixed OpEx)</w:t>
      </w:r>
    </w:p>
    <w:p>
      <w:pPr>
        <w:numPr>
          <w:ilvl w:val="0"/>
          <w:numId w:val="31"/>
        </w:numPr>
        <w:spacing w:line="360" w:before="105" w:after="105" w:lineRule="auto"/>
      </w:pPr>
      <w:r>
        <w:rPr>
          <w:rFonts w:eastAsia="inter" w:cs="inter" w:ascii="inter" w:hAnsi="inter"/>
          <w:b/>
          <w:color w:val="000000"/>
          <w:sz w:val="21"/>
        </w:rPr>
        <w:t xml:space="preserve">VC</w:t>
      </w:r>
      <w:r>
        <w:rPr>
          <w:rFonts w:eastAsia="inter" w:cs="inter" w:ascii="inter" w:hAnsi="inter"/>
          <w:color w:val="000000"/>
          <w:sz w:val="21"/>
        </w:rPr>
        <w:t xml:space="preserve"> (Variable Cost per unit) = USD 7-15 depending on product tier and automation</w:t>
      </w:r>
    </w:p>
    <w:p>
      <w:pPr>
        <w:spacing w:line="360" w:after="210" w:lineRule="auto"/>
      </w:pPr>
      <w:r>
        <w:rPr>
          <w:rFonts w:eastAsia="inter" w:cs="inter" w:ascii="inter" w:hAnsi="inter"/>
          <w:b/>
          <w:color w:val="000000"/>
        </w:rPr>
        <w:t xml:space="preserve">Average Total Cost (ATC)</w:t>
      </w:r>
      <w:r>
        <w:rPr>
          <w:rFonts w:eastAsia="inter" w:cs="inter" w:ascii="inter" w:hAnsi="inter"/>
          <w:color w:val="000000"/>
        </w:rPr>
        <w:t xml:space="preserve">:</w:t>
      </w:r>
    </w:p>
    <w:p>
      <w:pPr>
        <w:spacing w:line="360" w:after="210" w:lineRule="auto"/>
      </w:pPr>
      <w:r>
        <w:rPr>
          <w:rFonts w:eastAsia="inter" w:cs="inter" w:ascii="inter" w:hAnsi="inter"/>
          <w:b/>
          <w:color w:val="000000"/>
        </w:rPr>
        <w:t xml:space="preserve">ATC(Q) = FC/Q + VC</w:t>
      </w:r>
    </w:p>
    <w:p>
      <w:pPr>
        <w:spacing w:line="360" w:after="210" w:lineRule="auto"/>
      </w:pPr>
      <w:r>
        <w:rPr>
          <w:rFonts w:eastAsia="inter" w:cs="inter" w:ascii="inter" w:hAnsi="inter"/>
          <w:color w:val="000000"/>
        </w:rPr>
        <w:t xml:space="preserve">This hyperbolic ATC curve declines continuously with volume, explaining the competitive advantages of high-volume producers. For example:</w:t>
      </w:r>
      <w:bookmarkStart w:id="316" w:name="fnref68_2"/>
      <w:bookmarkEnd w:id="316"/>
      <w:hyperlink w:anchor="fn68">
        <w:r>
          <w:rPr>
            <w:rFonts w:eastAsia="inter" w:cs="inter" w:ascii="inter" w:hAnsi="inter"/>
            <w:color w:val="#000"/>
            <w:u w:val="single"/>
            <w:vertAlign w:val="superscript"/>
          </w:rPr>
          <w:t xml:space="preserve">[68]</w:t>
        </w:r>
      </w:hyperlink>
      <w:bookmarkStart w:id="317" w:name="fnref54_4"/>
      <w:bookmarkEnd w:id="317"/>
      <w:hyperlink w:anchor="fn54">
        <w:r>
          <w:rPr>
            <w:rFonts w:eastAsia="inter" w:cs="inter" w:ascii="inter" w:hAnsi="inter"/>
            <w:color w:val="#000"/>
            <w:u w:val="single"/>
            <w:vertAlign w:val="superscript"/>
          </w:rPr>
          <w:t xml:space="preserve">[54]</w:t>
        </w:r>
      </w:hyperlink>
    </w:p>
    <w:tbl>
      <w:tblPr>
        <w:tblStyle w:val="TableGrid"/>
        <w:jc w:val="center"/>
        <w:tblCellSpacing w:w="0" w:type="dxa"/>
        <w:tblBorders>
          <w:top w:val="single" w:sz="2" w:space="0" w:color="000000"/>
          <w:left w:val="single" w:sz="2" w:space="0" w:color="000000"/>
          <w:bottom w:val="single" w:sz="2" w:space="0" w:color="000000"/>
          <w:right w:val="single" w:sz="2" w:space="0" w:color="000000"/>
        </w:tblBorders>
        <w:tblCellMar>
          <w:top w:type="dxa" w:w="80"/>
          <w:left w:type="dxa" w:w="160"/>
          <w:bottom w:type="dxa" w:w="80"/>
          <w:right w:type="dxa" w:w="160"/>
        </w:tblCellMar>
      </w:tblPr>
      <w:tblGrid>
        <w:gridCol w:w="2378"/>
        <w:gridCol w:w="2378"/>
        <w:gridCol w:w="2378"/>
        <w:gridCol w:w="2378"/>
      </w:tblGrid>
      <w:tr>
        <w:trPr>
          <w:cantSplit/>
        </w:trPr>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Annual Volume (Q)</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Fixed Cost per Unit (FC/Q)</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Variable Cost (VC)</w:t>
            </w:r>
          </w:p>
        </w:tc>
        <w:tc>
          <w:tcPr>
            <w:tcBorders>
              <w:top w:val="single" w:sz="1" w:space="0" w:color="000000"/>
              <w:bottom w:val="single" w:sz="1" w:space="0" w:color="000000"/>
            </w:tcBorders>
          </w:tcPr>
          <w:p>
            <w:pPr>
              <w:spacing w:line="360" w:lineRule="auto"/>
            </w:pPr>
            <w:r>
              <w:rPr>
                <w:rFonts w:eastAsia="inter" w:cs="inter" w:ascii="inter" w:hAnsi="inter"/>
                <w:color w:val="000000"/>
                <w:sz w:val="17"/>
              </w:rPr>
              <w:t xml:space="preserve">Average Total Cost (ATC)</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100,000</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USD 6.50</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USD 11.00</w:t>
            </w:r>
          </w:p>
        </w:tc>
        <w:tc>
          <w:tcPr>
            <w:tcBorders>
              <w:top w:val="single" w:sz="1" w:space="0" w:color="000000"/>
              <w:bottom w:val="single" w:sz="1" w:space="0" w:color="000000"/>
            </w:tcBorders>
          </w:tcPr>
          <w:p>
            <w:pPr>
              <w:spacing w:line="360" w:lineRule="auto"/>
            </w:pPr>
            <w:r>
              <w:rPr>
                <w:rFonts w:eastAsia="inter" w:cs="inter" w:ascii="inter" w:hAnsi="inter"/>
                <w:color w:val="000000"/>
                <w:sz w:val="17"/>
              </w:rPr>
              <w:t xml:space="preserve">USD 17.50</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250,000</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USD 2.60</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USD 11.00</w:t>
            </w:r>
          </w:p>
        </w:tc>
        <w:tc>
          <w:tcPr>
            <w:tcBorders>
              <w:top w:val="single" w:sz="1" w:space="0" w:color="000000"/>
              <w:bottom w:val="single" w:sz="1" w:space="0" w:color="000000"/>
            </w:tcBorders>
          </w:tcPr>
          <w:p>
            <w:pPr>
              <w:spacing w:line="360" w:lineRule="auto"/>
            </w:pPr>
            <w:r>
              <w:rPr>
                <w:rFonts w:eastAsia="inter" w:cs="inter" w:ascii="inter" w:hAnsi="inter"/>
                <w:color w:val="000000"/>
                <w:sz w:val="17"/>
              </w:rPr>
              <w:t xml:space="preserve">USD 13.60</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500,000</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USD 1.30</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USD 11.00</w:t>
            </w:r>
          </w:p>
        </w:tc>
        <w:tc>
          <w:tcPr>
            <w:tcBorders>
              <w:top w:val="single" w:sz="1" w:space="0" w:color="000000"/>
              <w:bottom w:val="single" w:sz="1" w:space="0" w:color="000000"/>
            </w:tcBorders>
          </w:tcPr>
          <w:p>
            <w:pPr>
              <w:spacing w:line="360" w:lineRule="auto"/>
            </w:pPr>
            <w:r>
              <w:rPr>
                <w:rFonts w:eastAsia="inter" w:cs="inter" w:ascii="inter" w:hAnsi="inter"/>
                <w:color w:val="000000"/>
                <w:sz w:val="17"/>
              </w:rPr>
              <w:t xml:space="preserve">USD 12.30</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1,000,000</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USD 0.65</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USD 11.00</w:t>
            </w:r>
          </w:p>
        </w:tc>
        <w:tc>
          <w:tcPr>
            <w:tcBorders>
              <w:top w:val="single" w:sz="1" w:space="0" w:color="000000"/>
              <w:bottom w:val="single" w:sz="1" w:space="0" w:color="000000"/>
            </w:tcBorders>
          </w:tcPr>
          <w:p>
            <w:pPr>
              <w:spacing w:line="360" w:lineRule="auto"/>
            </w:pPr>
            <w:r>
              <w:rPr>
                <w:rFonts w:eastAsia="inter" w:cs="inter" w:ascii="inter" w:hAnsi="inter"/>
                <w:color w:val="000000"/>
                <w:sz w:val="17"/>
              </w:rPr>
              <w:t xml:space="preserve">USD 11.65</w:t>
            </w:r>
          </w:p>
        </w:tc>
      </w:tr>
    </w:tbl>
    <w:p>
      <w:pPr>
        <w:spacing w:lineRule="auto"/>
      </w:pPr>
    </w:p>
    <w:p>
      <w:pPr>
        <w:spacing w:line="360" w:after="210" w:lineRule="auto"/>
      </w:pPr>
      <w:r>
        <w:rPr>
          <w:rFonts w:eastAsia="inter" w:cs="inter" w:ascii="inter" w:hAnsi="inter"/>
          <w:color w:val="000000"/>
        </w:rPr>
        <w:t xml:space="preserve">This cost structure creates natural entry barriers: new entrants lacking scale operate at cost disadvantages of 30-50% versus established manufacturers, limiting pricing flexibility and profitability.</w:t>
      </w:r>
      <w:bookmarkStart w:id="318" w:name="fnref41_16"/>
      <w:bookmarkEnd w:id="318"/>
      <w:hyperlink w:anchor="fn41">
        <w:r>
          <w:rPr>
            <w:rFonts w:eastAsia="inter" w:cs="inter" w:ascii="inter" w:hAnsi="inter"/>
            <w:color w:val="#000"/>
            <w:u w:val="single"/>
            <w:vertAlign w:val="superscript"/>
          </w:rPr>
          <w:t xml:space="preserve">[41]</w:t>
        </w:r>
      </w:hyperlink>
      <w:bookmarkStart w:id="319" w:name="fnref54_5"/>
      <w:bookmarkEnd w:id="319"/>
      <w:hyperlink w:anchor="fn54">
        <w:r>
          <w:rPr>
            <w:rFonts w:eastAsia="inter" w:cs="inter" w:ascii="inter" w:hAnsi="inter"/>
            <w:color w:val="#000"/>
            <w:u w:val="single"/>
            <w:vertAlign w:val="superscript"/>
          </w:rPr>
          <w:t xml:space="preserve">[54]</w:t>
        </w:r>
      </w:hyperlink>
      <w:bookmarkStart w:id="320" w:name="fnref34_23"/>
      <w:bookmarkEnd w:id="320"/>
      <w:hyperlink w:anchor="fn34">
        <w:r>
          <w:rPr>
            <w:rFonts w:eastAsia="inter" w:cs="inter" w:ascii="inter" w:hAnsi="inter"/>
            <w:color w:val="#000"/>
            <w:u w:val="single"/>
            <w:vertAlign w:val="superscript"/>
          </w:rPr>
          <w:t xml:space="preserve">[34]</w:t>
        </w:r>
      </w:hyperlink>
    </w:p>
    <w:p>
      <w:pPr>
        <w:spacing w:lineRule="auto"/>
      </w:pPr>
      <w:r>
        <w:rPr/>
        <w:t xml:space="preserve"/>
      </w:r>
    </w:p>
    <w:p>
      <w:pPr>
        <w:spacing w:line="360" w:after="210" w:lineRule="auto"/>
      </w:pPr>
      <w:r>
        <w:rPr>
          <w:rFonts w:eastAsia="inter" w:cs="inter" w:ascii="inter" w:hAnsi="inter"/>
          <w:color w:val="000000"/>
        </w:rPr>
        <w:t xml:space="preserve">Cost structure analysis reveals significant differences between budget and premium segments: budget straighteners allocate 55% to variable costs with thin 15% margins, while premium products leverage economies of scale (30% variable costs) and brand premium to achieve 25% profit margins despite higher marketing investments.</w:t>
      </w:r>
    </w:p>
    <w:p>
      <w:pPr>
        <w:spacing w:line="360" w:before="315" w:after="105" w:lineRule="auto"/>
        <w:ind w:left="-30"/>
        <w:jc w:val="left"/>
      </w:pPr>
      <w:bookmarkStart w:id="321" w:name="fixed_versus_variable_cost_analysis"/>
      <w:r>
        <w:rPr>
          <w:rFonts w:eastAsia="inter" w:cs="inter" w:ascii="inter" w:hAnsi="inter"/>
          <w:b/>
          <w:color w:val="000000"/>
          <w:sz w:val="24"/>
        </w:rPr>
        <w:t xml:space="preserve">Fixed versus Variable Cost Analysis</w:t>
      </w:r>
      <w:bookmarkEnd w:id="321"/>
    </w:p>
    <w:p>
      <w:pPr>
        <w:spacing w:line="360" w:after="210" w:lineRule="auto"/>
      </w:pPr>
      <w:r>
        <w:rPr>
          <w:rFonts w:eastAsia="inter" w:cs="inter" w:ascii="inter" w:hAnsi="inter"/>
          <w:color w:val="000000"/>
        </w:rPr>
        <w:t xml:space="preserve">The fixed-variable cost dichotomy fundamentally shapes short-run production decisions and market dynamics.</w:t>
      </w:r>
      <w:bookmarkStart w:id="322" w:name="fnref68_3"/>
      <w:bookmarkEnd w:id="322"/>
      <w:hyperlink w:anchor="fn68">
        <w:r>
          <w:rPr>
            <w:rFonts w:eastAsia="inter" w:cs="inter" w:ascii="inter" w:hAnsi="inter"/>
            <w:color w:val="#000"/>
            <w:u w:val="single"/>
            <w:vertAlign w:val="superscript"/>
          </w:rPr>
          <w:t xml:space="preserve">[68]</w:t>
        </w:r>
      </w:hyperlink>
      <w:bookmarkStart w:id="323" w:name="fnref70"/>
      <w:bookmarkEnd w:id="323"/>
      <w:hyperlink w:anchor="fn70">
        <w:r>
          <w:rPr>
            <w:rFonts w:eastAsia="inter" w:cs="inter" w:ascii="inter" w:hAnsi="inter"/>
            <w:color w:val="#000"/>
            <w:u w:val="single"/>
            <w:vertAlign w:val="superscript"/>
          </w:rPr>
          <w:t xml:space="preserve">[70]</w:t>
        </w:r>
      </w:hyperlink>
      <w:bookmarkStart w:id="324" w:name="fnref69_1"/>
      <w:bookmarkEnd w:id="324"/>
      <w:hyperlink w:anchor="fn69">
        <w:r>
          <w:rPr>
            <w:rFonts w:eastAsia="inter" w:cs="inter" w:ascii="inter" w:hAnsi="inter"/>
            <w:color w:val="#000"/>
            <w:u w:val="single"/>
            <w:vertAlign w:val="superscript"/>
          </w:rPr>
          <w:t xml:space="preserve">[69]</w:t>
        </w:r>
      </w:hyperlink>
    </w:p>
    <w:p>
      <w:pPr>
        <w:spacing w:line="360" w:after="210" w:lineRule="auto"/>
      </w:pPr>
      <w:r>
        <w:rPr>
          <w:rFonts w:eastAsia="inter" w:cs="inter" w:ascii="inter" w:hAnsi="inter"/>
          <w:b/>
          <w:color w:val="000000"/>
        </w:rPr>
        <w:t xml:space="preserve">Short-Run Production Decisions</w:t>
      </w:r>
    </w:p>
    <w:p>
      <w:pPr>
        <w:spacing w:line="360" w:after="210" w:lineRule="auto"/>
      </w:pPr>
      <w:r>
        <w:rPr>
          <w:rFonts w:eastAsia="inter" w:cs="inter" w:ascii="inter" w:hAnsi="inter"/>
          <w:color w:val="000000"/>
        </w:rPr>
        <w:t xml:space="preserve">In the short run (defined as the period where capital stock K̄ is fixed), manufacturers optimize production by equating marginal cost to marginal revenue. The marginal cost (MC) of producing an additional unit equals the variable cost per unit:</w:t>
      </w:r>
      <w:bookmarkStart w:id="325" w:name="fnref62_3"/>
      <w:bookmarkEnd w:id="325"/>
      <w:hyperlink w:anchor="fn62">
        <w:r>
          <w:rPr>
            <w:rFonts w:eastAsia="inter" w:cs="inter" w:ascii="inter" w:hAnsi="inter"/>
            <w:color w:val="#000"/>
            <w:u w:val="single"/>
            <w:vertAlign w:val="superscript"/>
          </w:rPr>
          <w:t xml:space="preserve">[62]</w:t>
        </w:r>
      </w:hyperlink>
      <w:bookmarkStart w:id="326" w:name="fnref68_4"/>
      <w:bookmarkEnd w:id="326"/>
      <w:hyperlink w:anchor="fn68">
        <w:r>
          <w:rPr>
            <w:rFonts w:eastAsia="inter" w:cs="inter" w:ascii="inter" w:hAnsi="inter"/>
            <w:color w:val="#000"/>
            <w:u w:val="single"/>
            <w:vertAlign w:val="superscript"/>
          </w:rPr>
          <w:t xml:space="preserve">[68]</w:t>
        </w:r>
      </w:hyperlink>
    </w:p>
    <w:p>
      <w:pPr>
        <w:spacing w:line="360" w:after="210" w:lineRule="auto"/>
      </w:pPr>
      <w:r>
        <w:rPr>
          <w:rFonts w:eastAsia="inter" w:cs="inter" w:ascii="inter" w:hAnsi="inter"/>
          <w:b/>
          <w:color w:val="000000"/>
        </w:rPr>
        <w:t xml:space="preserve">MC = ∂TC/∂Q = VC</w:t>
      </w:r>
    </w:p>
    <w:p>
      <w:pPr>
        <w:spacing w:line="360" w:after="210" w:lineRule="auto"/>
      </w:pPr>
      <w:r>
        <w:rPr>
          <w:rFonts w:eastAsia="inter" w:cs="inter" w:ascii="inter" w:hAnsi="inter"/>
          <w:color w:val="000000"/>
        </w:rPr>
        <w:t xml:space="preserve">(since fixed costs do not vary with Q in the short run)</w:t>
      </w:r>
    </w:p>
    <w:p>
      <w:pPr>
        <w:spacing w:line="360" w:after="210" w:lineRule="auto"/>
      </w:pPr>
      <w:r>
        <w:rPr>
          <w:rFonts w:eastAsia="inter" w:cs="inter" w:ascii="inter" w:hAnsi="inter"/>
          <w:color w:val="000000"/>
        </w:rPr>
        <w:t xml:space="preserve">Rational producers continue production as long as price (P) exceeds average variable cost (AVC), even if price falls below average total cost (ATC). This shutdown condition explains why manufacturers may sustain short-run losses during demand downturns rather than ceasing operations entirely—as long as revenues exceed variable costs, contribution margins offset portions of fixed costs that must be paid regardless.</w:t>
      </w:r>
      <w:bookmarkStart w:id="327" w:name="fnref69_2"/>
      <w:bookmarkEnd w:id="327"/>
      <w:hyperlink w:anchor="fn69">
        <w:r>
          <w:rPr>
            <w:rFonts w:eastAsia="inter" w:cs="inter" w:ascii="inter" w:hAnsi="inter"/>
            <w:color w:val="#000"/>
            <w:u w:val="single"/>
            <w:vertAlign w:val="superscript"/>
          </w:rPr>
          <w:t xml:space="preserve">[69]</w:t>
        </w:r>
      </w:hyperlink>
      <w:bookmarkStart w:id="328" w:name="fnref68_5"/>
      <w:bookmarkEnd w:id="328"/>
      <w:hyperlink w:anchor="fn68">
        <w:r>
          <w:rPr>
            <w:rFonts w:eastAsia="inter" w:cs="inter" w:ascii="inter" w:hAnsi="inter"/>
            <w:color w:val="#000"/>
            <w:u w:val="single"/>
            <w:vertAlign w:val="superscript"/>
          </w:rPr>
          <w:t xml:space="preserve">[68]</w:t>
        </w:r>
      </w:hyperlink>
    </w:p>
    <w:p>
      <w:pPr>
        <w:spacing w:line="360" w:after="210" w:lineRule="auto"/>
      </w:pPr>
      <w:r>
        <w:rPr>
          <w:rFonts w:eastAsia="inter" w:cs="inter" w:ascii="inter" w:hAnsi="inter"/>
          <w:color w:val="000000"/>
        </w:rPr>
        <w:t xml:space="preserve">For hair straighteners:</w:t>
      </w:r>
    </w:p>
    <w:p>
      <w:pPr>
        <w:numPr>
          <w:ilvl w:val="0"/>
          <w:numId w:val="32"/>
        </w:numPr>
        <w:spacing w:line="360" w:before="105" w:after="105" w:lineRule="auto"/>
      </w:pPr>
      <w:r>
        <w:rPr>
          <w:rFonts w:eastAsia="inter" w:cs="inter" w:ascii="inter" w:hAnsi="inter"/>
          <w:color w:val="000000"/>
          <w:sz w:val="21"/>
        </w:rPr>
        <w:t xml:space="preserve">AVC = USD 7-15 per unit (materials, direct labor, energy)</w:t>
      </w:r>
      <w:bookmarkStart w:id="329" w:name="fnref34_24"/>
      <w:bookmarkEnd w:id="329"/>
      <w:hyperlink w:anchor="fn34">
        <w:r>
          <w:rPr>
            <w:rFonts w:eastAsia="inter" w:cs="inter" w:ascii="inter" w:hAnsi="inter"/>
            <w:color w:val="#000"/>
            <w:sz w:val="21"/>
            <w:u w:val="single"/>
            <w:vertAlign w:val="superscript"/>
          </w:rPr>
          <w:t xml:space="preserve">[34]</w:t>
        </w:r>
      </w:hyperlink>
    </w:p>
    <w:p>
      <w:pPr>
        <w:numPr>
          <w:ilvl w:val="0"/>
          <w:numId w:val="32"/>
        </w:numPr>
        <w:spacing w:line="360" w:before="105" w:after="105" w:lineRule="auto"/>
      </w:pPr>
      <w:r>
        <w:rPr>
          <w:rFonts w:eastAsia="inter" w:cs="inter" w:ascii="inter" w:hAnsi="inter"/>
          <w:color w:val="000000"/>
          <w:sz w:val="21"/>
        </w:rPr>
        <w:t xml:space="preserve">ATC = USD 11.65-17.50 per unit (including allocated fixed costs)</w:t>
      </w:r>
      <w:bookmarkStart w:id="330" w:name="fnref34_25"/>
      <w:bookmarkEnd w:id="330"/>
      <w:hyperlink w:anchor="fn34">
        <w:r>
          <w:rPr>
            <w:rFonts w:eastAsia="inter" w:cs="inter" w:ascii="inter" w:hAnsi="inter"/>
            <w:color w:val="#000"/>
            <w:sz w:val="21"/>
            <w:u w:val="single"/>
            <w:vertAlign w:val="superscript"/>
          </w:rPr>
          <w:t xml:space="preserve">[34]</w:t>
        </w:r>
      </w:hyperlink>
    </w:p>
    <w:p>
      <w:pPr>
        <w:spacing w:line="360" w:after="210" w:lineRule="auto"/>
      </w:pPr>
      <w:r>
        <w:rPr>
          <w:rFonts w:eastAsia="inter" w:cs="inter" w:ascii="inter" w:hAnsi="inter"/>
          <w:color w:val="000000"/>
        </w:rPr>
        <w:t xml:space="preserve">If market prices decline to USD 13 due to competitive pressure, manufacturers earning USD 13 would lose money on an ATC basis but still contribute USD 2-6 per unit toward fixed costs, justifying continued production rather than shutdown.</w:t>
      </w:r>
      <w:bookmarkStart w:id="331" w:name="fnref68_6"/>
      <w:bookmarkEnd w:id="331"/>
      <w:hyperlink w:anchor="fn68">
        <w:r>
          <w:rPr>
            <w:rFonts w:eastAsia="inter" w:cs="inter" w:ascii="inter" w:hAnsi="inter"/>
            <w:color w:val="#000"/>
            <w:u w:val="single"/>
            <w:vertAlign w:val="superscript"/>
          </w:rPr>
          <w:t xml:space="preserve">[68]</w:t>
        </w:r>
      </w:hyperlink>
    </w:p>
    <w:p>
      <w:pPr>
        <w:spacing w:line="360" w:after="210" w:lineRule="auto"/>
      </w:pPr>
      <w:r>
        <w:rPr>
          <w:rFonts w:eastAsia="inter" w:cs="inter" w:ascii="inter" w:hAnsi="inter"/>
          <w:b/>
          <w:color w:val="000000"/>
        </w:rPr>
        <w:t xml:space="preserve">Fixed Cost Leverage and Operating Leverage</w:t>
      </w:r>
    </w:p>
    <w:p>
      <w:pPr>
        <w:spacing w:line="360" w:after="210" w:lineRule="auto"/>
      </w:pPr>
      <w:r>
        <w:rPr>
          <w:rFonts w:eastAsia="inter" w:cs="inter" w:ascii="inter" w:hAnsi="inter"/>
          <w:color w:val="000000"/>
        </w:rPr>
        <w:t xml:space="preserve">The high fixed-cost proportion creates significant operating leverage: small percentage changes in sales volumes produce amplified percentage changes in profitability. The degree of operating leverage (DOL) can be expressed as:</w:t>
      </w:r>
      <w:bookmarkStart w:id="332" w:name="fnref71"/>
      <w:bookmarkEnd w:id="332"/>
      <w:hyperlink w:anchor="fn71">
        <w:r>
          <w:rPr>
            <w:rFonts w:eastAsia="inter" w:cs="inter" w:ascii="inter" w:hAnsi="inter"/>
            <w:color w:val="#000"/>
            <w:u w:val="single"/>
            <w:vertAlign w:val="superscript"/>
          </w:rPr>
          <w:t xml:space="preserve">[71]</w:t>
        </w:r>
      </w:hyperlink>
      <w:bookmarkStart w:id="333" w:name="fnref72"/>
      <w:bookmarkEnd w:id="333"/>
      <w:hyperlink w:anchor="fn72">
        <w:r>
          <w:rPr>
            <w:rFonts w:eastAsia="inter" w:cs="inter" w:ascii="inter" w:hAnsi="inter"/>
            <w:color w:val="#000"/>
            <w:u w:val="single"/>
            <w:vertAlign w:val="superscript"/>
          </w:rPr>
          <w:t xml:space="preserve">[72]</w:t>
        </w:r>
      </w:hyperlink>
    </w:p>
    <w:p>
      <w:pPr>
        <w:spacing w:line="360" w:after="210" w:lineRule="auto"/>
      </w:pPr>
      <w:r>
        <w:rPr>
          <w:rFonts w:eastAsia="inter" w:cs="inter" w:ascii="inter" w:hAnsi="inter"/>
          <w:b/>
          <w:color w:val="000000"/>
        </w:rPr>
        <w:t xml:space="preserve">DOL = (Contribution Margin) / (Operating Profit) = (P - VC) / (P - ATC)</w:t>
      </w:r>
    </w:p>
    <w:p>
      <w:pPr>
        <w:spacing w:line="360" w:after="210" w:lineRule="auto"/>
      </w:pPr>
      <w:r>
        <w:rPr>
          <w:rFonts w:eastAsia="inter" w:cs="inter" w:ascii="inter" w:hAnsi="inter"/>
          <w:color w:val="000000"/>
        </w:rPr>
        <w:t xml:space="preserve">For a manufacturer selling at P = USD 20 with VC = USD 11 and ATC = USD 12.30 (at 500,000 units):</w:t>
      </w:r>
    </w:p>
    <w:p>
      <w:pPr>
        <w:spacing w:line="360" w:after="210" w:lineRule="auto"/>
      </w:pPr>
      <w:r>
        <w:rPr>
          <w:rFonts w:eastAsia="inter" w:cs="inter" w:ascii="inter" w:hAnsi="inter"/>
          <w:b/>
          <w:color w:val="000000"/>
        </w:rPr>
        <w:t xml:space="preserve">DOL = (20 - 11) / (20 - 12.30) = 9 / 7.70 = 1.17</w:t>
      </w:r>
    </w:p>
    <w:p>
      <w:pPr>
        <w:spacing w:line="360" w:after="210" w:lineRule="auto"/>
      </w:pPr>
      <w:r>
        <w:rPr>
          <w:rFonts w:eastAsia="inter" w:cs="inter" w:ascii="inter" w:hAnsi="inter"/>
          <w:color w:val="000000"/>
        </w:rPr>
        <w:t xml:space="preserve">This DOL of 1.17 implies that a 10% increase in sales volume produces an 11.7% increase in operating profit. Conversely, a 10% decline reduces profits by 11.7%, explaining the profit volatility characteristic of fixed-cost-intensive industries.</w:t>
      </w:r>
      <w:bookmarkStart w:id="334" w:name="fnref72_1"/>
      <w:bookmarkEnd w:id="334"/>
      <w:hyperlink w:anchor="fn72">
        <w:r>
          <w:rPr>
            <w:rFonts w:eastAsia="inter" w:cs="inter" w:ascii="inter" w:hAnsi="inter"/>
            <w:color w:val="#000"/>
            <w:u w:val="single"/>
            <w:vertAlign w:val="superscript"/>
          </w:rPr>
          <w:t xml:space="preserve">[72]</w:t>
        </w:r>
      </w:hyperlink>
    </w:p>
    <w:p>
      <w:pPr>
        <w:spacing w:line="360" w:after="210" w:lineRule="auto"/>
      </w:pPr>
      <w:r>
        <w:rPr>
          <w:rFonts w:eastAsia="inter" w:cs="inter" w:ascii="inter" w:hAnsi="inter"/>
          <w:color w:val="000000"/>
        </w:rPr>
        <w:t xml:space="preserve">High operating leverage incentivizes aggressive volume expansion strategies, as marginal units contribute disproportionately to profits once fixed costs are covered. This dynamic drives competitive behavior in hair straightener markets, including price-based competition to achieve capacity utilization and scale economies.</w:t>
      </w:r>
      <w:bookmarkStart w:id="335" w:name="fnref54_6"/>
      <w:bookmarkEnd w:id="335"/>
      <w:hyperlink w:anchor="fn54">
        <w:r>
          <w:rPr>
            <w:rFonts w:eastAsia="inter" w:cs="inter" w:ascii="inter" w:hAnsi="inter"/>
            <w:color w:val="#000"/>
            <w:u w:val="single"/>
            <w:vertAlign w:val="superscript"/>
          </w:rPr>
          <w:t xml:space="preserve">[54]</w:t>
        </w:r>
      </w:hyperlink>
      <w:bookmarkStart w:id="336" w:name="fnref72_2"/>
      <w:bookmarkEnd w:id="336"/>
      <w:hyperlink w:anchor="fn72">
        <w:r>
          <w:rPr>
            <w:rFonts w:eastAsia="inter" w:cs="inter" w:ascii="inter" w:hAnsi="inter"/>
            <w:color w:val="#000"/>
            <w:u w:val="single"/>
            <w:vertAlign w:val="superscript"/>
          </w:rPr>
          <w:t xml:space="preserve">[72]</w:t>
        </w:r>
      </w:hyperlink>
    </w:p>
    <w:p>
      <w:pPr>
        <w:spacing w:line="360" w:after="210" w:lineRule="auto"/>
      </w:pPr>
      <w:r>
        <w:rPr>
          <w:rFonts w:eastAsia="inter" w:cs="inter" w:ascii="inter" w:hAnsi="inter"/>
          <w:b/>
          <w:color w:val="000000"/>
        </w:rPr>
        <w:t xml:space="preserve">Variable Cost Components and Input Substitution</w:t>
      </w:r>
    </w:p>
    <w:p>
      <w:pPr>
        <w:spacing w:line="360" w:after="210" w:lineRule="auto"/>
      </w:pPr>
      <w:r>
        <w:rPr>
          <w:rFonts w:eastAsia="inter" w:cs="inter" w:ascii="inter" w:hAnsi="inter"/>
          <w:color w:val="000000"/>
        </w:rPr>
        <w:t xml:space="preserve">Variable costs exhibit some substitutability, particularly between labor and material inputs:</w:t>
      </w:r>
      <w:bookmarkStart w:id="337" w:name="fnref41_17"/>
      <w:bookmarkEnd w:id="337"/>
      <w:hyperlink w:anchor="fn41">
        <w:r>
          <w:rPr>
            <w:rFonts w:eastAsia="inter" w:cs="inter" w:ascii="inter" w:hAnsi="inter"/>
            <w:color w:val="#000"/>
            <w:u w:val="single"/>
            <w:vertAlign w:val="superscript"/>
          </w:rPr>
          <w:t xml:space="preserve">[41]</w:t>
        </w:r>
      </w:hyperlink>
      <w:bookmarkStart w:id="338" w:name="fnref62_4"/>
      <w:bookmarkEnd w:id="338"/>
      <w:hyperlink w:anchor="fn62">
        <w:r>
          <w:rPr>
            <w:rFonts w:eastAsia="inter" w:cs="inter" w:ascii="inter" w:hAnsi="inter"/>
            <w:color w:val="#000"/>
            <w:u w:val="single"/>
            <w:vertAlign w:val="superscript"/>
          </w:rPr>
          <w:t xml:space="preserve">[62]</w:t>
        </w:r>
      </w:hyperlink>
    </w:p>
    <w:p>
      <w:pPr>
        <w:spacing w:line="360" w:after="210" w:lineRule="auto"/>
      </w:pPr>
      <w:r>
        <w:rPr>
          <w:rFonts w:eastAsia="inter" w:cs="inter" w:ascii="inter" w:hAnsi="inter"/>
          <w:i/>
          <w:color w:val="000000"/>
        </w:rPr>
        <w:t xml:space="preserve">Labor-Material Trade-off</w:t>
      </w:r>
      <w:r>
        <w:rPr>
          <w:rFonts w:eastAsia="inter" w:cs="inter" w:ascii="inter" w:hAnsi="inter"/>
          <w:color w:val="000000"/>
        </w:rPr>
        <w:t xml:space="preserve">: Premium materials (PTC ceramics, titanium) reduce manufacturing defect rates and warranty claims but increase material costs by USD 3-6 per unit. Manufacturers choosing standard ceramics incur lower material costs but require additional quality control labor to maintain acceptable defect rates. The optimal input combination depends on relative factor prices and technical substitution possibilities.</w:t>
      </w:r>
      <w:bookmarkStart w:id="339" w:name="fnref13_23"/>
      <w:bookmarkEnd w:id="339"/>
      <w:hyperlink w:anchor="fn13">
        <w:r>
          <w:rPr>
            <w:rFonts w:eastAsia="inter" w:cs="inter" w:ascii="inter" w:hAnsi="inter"/>
            <w:color w:val="#000"/>
            <w:u w:val="single"/>
            <w:vertAlign w:val="superscript"/>
          </w:rPr>
          <w:t xml:space="preserve">[13]</w:t>
        </w:r>
      </w:hyperlink>
      <w:bookmarkStart w:id="340" w:name="fnref19_9"/>
      <w:bookmarkEnd w:id="340"/>
      <w:hyperlink w:anchor="fn19">
        <w:r>
          <w:rPr>
            <w:rFonts w:eastAsia="inter" w:cs="inter" w:ascii="inter" w:hAnsi="inter"/>
            <w:color w:val="#000"/>
            <w:u w:val="single"/>
            <w:vertAlign w:val="superscript"/>
          </w:rPr>
          <w:t xml:space="preserve">[19]</w:t>
        </w:r>
      </w:hyperlink>
      <w:bookmarkStart w:id="341" w:name="fnref15_9"/>
      <w:bookmarkEnd w:id="341"/>
      <w:hyperlink w:anchor="fn15">
        <w:r>
          <w:rPr>
            <w:rFonts w:eastAsia="inter" w:cs="inter" w:ascii="inter" w:hAnsi="inter"/>
            <w:color w:val="#000"/>
            <w:u w:val="single"/>
            <w:vertAlign w:val="superscript"/>
          </w:rPr>
          <w:t xml:space="preserve">[15]</w:t>
        </w:r>
      </w:hyperlink>
    </w:p>
    <w:p>
      <w:pPr>
        <w:spacing w:line="360" w:after="210" w:lineRule="auto"/>
      </w:pPr>
      <w:r>
        <w:rPr>
          <w:rFonts w:eastAsia="inter" w:cs="inter" w:ascii="inter" w:hAnsi="inter"/>
          <w:color w:val="000000"/>
        </w:rPr>
        <w:t xml:space="preserve">The elasticity of substitution between capital and labor (σ) is estimated at 0.8-1.2 for consumer electronics assembly, indicating moderate substitutability. As wages rise (as experienced in China 2010-2024), manufacturers substitute toward capital-intensive automation, maintaining cost competitiveness despite higher wage rates.</w:t>
      </w:r>
      <w:bookmarkStart w:id="342" w:name="fnref37_23"/>
      <w:bookmarkEnd w:id="342"/>
      <w:hyperlink w:anchor="fn37">
        <w:r>
          <w:rPr>
            <w:rFonts w:eastAsia="inter" w:cs="inter" w:ascii="inter" w:hAnsi="inter"/>
            <w:color w:val="#000"/>
            <w:u w:val="single"/>
            <w:vertAlign w:val="superscript"/>
          </w:rPr>
          <w:t xml:space="preserve">[37]</w:t>
        </w:r>
      </w:hyperlink>
      <w:bookmarkStart w:id="343" w:name="fnref45_12"/>
      <w:bookmarkEnd w:id="343"/>
      <w:hyperlink w:anchor="fn45">
        <w:r>
          <w:rPr>
            <w:rFonts w:eastAsia="inter" w:cs="inter" w:ascii="inter" w:hAnsi="inter"/>
            <w:color w:val="#000"/>
            <w:u w:val="single"/>
            <w:vertAlign w:val="superscript"/>
          </w:rPr>
          <w:t xml:space="preserve">[45]</w:t>
        </w:r>
      </w:hyperlink>
      <w:bookmarkStart w:id="344" w:name="fnref41_18"/>
      <w:bookmarkEnd w:id="344"/>
      <w:hyperlink w:anchor="fn41">
        <w:r>
          <w:rPr>
            <w:rFonts w:eastAsia="inter" w:cs="inter" w:ascii="inter" w:hAnsi="inter"/>
            <w:color w:val="#000"/>
            <w:u w:val="single"/>
            <w:vertAlign w:val="superscript"/>
          </w:rPr>
          <w:t xml:space="preserve">[41]</w:t>
        </w:r>
      </w:hyperlink>
    </w:p>
    <w:p>
      <w:pPr>
        <w:spacing w:line="360" w:after="210" w:lineRule="auto"/>
      </w:pPr>
      <w:r>
        <w:rPr>
          <w:rFonts w:eastAsia="inter" w:cs="inter" w:ascii="inter" w:hAnsi="inter"/>
          <w:i/>
          <w:color w:val="000000"/>
        </w:rPr>
        <w:t xml:space="preserve">Material substitution</w:t>
      </w:r>
      <w:r>
        <w:rPr>
          <w:rFonts w:eastAsia="inter" w:cs="inter" w:ascii="inter" w:hAnsi="inter"/>
          <w:color w:val="000000"/>
        </w:rPr>
        <w:t xml:space="preserve">: Aluminum-ceramic trade-offs for heating plates demonstrate imperfect substitution. Aluminum costs 70-80% less than equivalent ceramic plates but provides inferior heat distribution. This quality-cost trade-off segments the market, with budget consumers accepting lower performance for reduced prices while premium segments pay willingly for ceramic's superior attributes.</w:t>
      </w:r>
      <w:bookmarkStart w:id="345" w:name="fnref14_11"/>
      <w:bookmarkEnd w:id="345"/>
      <w:hyperlink w:anchor="fn14">
        <w:r>
          <w:rPr>
            <w:rFonts w:eastAsia="inter" w:cs="inter" w:ascii="inter" w:hAnsi="inter"/>
            <w:color w:val="#000"/>
            <w:u w:val="single"/>
            <w:vertAlign w:val="superscript"/>
          </w:rPr>
          <w:t xml:space="preserve">[14]</w:t>
        </w:r>
      </w:hyperlink>
      <w:bookmarkStart w:id="346" w:name="fnref15_10"/>
      <w:bookmarkEnd w:id="346"/>
      <w:hyperlink w:anchor="fn15">
        <w:r>
          <w:rPr>
            <w:rFonts w:eastAsia="inter" w:cs="inter" w:ascii="inter" w:hAnsi="inter"/>
            <w:color w:val="#000"/>
            <w:u w:val="single"/>
            <w:vertAlign w:val="superscript"/>
          </w:rPr>
          <w:t xml:space="preserve">[15]</w:t>
        </w:r>
      </w:hyperlink>
      <w:bookmarkStart w:id="347" w:name="fnref52_2"/>
      <w:bookmarkEnd w:id="347"/>
      <w:hyperlink w:anchor="fn52">
        <w:r>
          <w:rPr>
            <w:rFonts w:eastAsia="inter" w:cs="inter" w:ascii="inter" w:hAnsi="inter"/>
            <w:color w:val="#000"/>
            <w:u w:val="single"/>
            <w:vertAlign w:val="superscript"/>
          </w:rPr>
          <w:t xml:space="preserve">[52]</w:t>
        </w:r>
      </w:hyperlink>
      <w:bookmarkStart w:id="348" w:name="fnref13_24"/>
      <w:bookmarkEnd w:id="348"/>
      <w:hyperlink w:anchor="fn13">
        <w:r>
          <w:rPr>
            <w:rFonts w:eastAsia="inter" w:cs="inter" w:ascii="inter" w:hAnsi="inter"/>
            <w:color w:val="#000"/>
            <w:u w:val="single"/>
            <w:vertAlign w:val="superscript"/>
          </w:rPr>
          <w:t xml:space="preserve">[13]</w:t>
        </w:r>
      </w:hyperlink>
    </w:p>
    <w:p>
      <w:pPr>
        <w:spacing w:line="360" w:before="315" w:after="105" w:lineRule="auto"/>
        <w:ind w:left="-30"/>
        <w:jc w:val="left"/>
      </w:pPr>
      <w:bookmarkStart w:id="349" w:name="short_run_and_long_run_cost_curves"/>
      <w:r>
        <w:rPr>
          <w:rFonts w:eastAsia="inter" w:cs="inter" w:ascii="inter" w:hAnsi="inter"/>
          <w:b/>
          <w:color w:val="000000"/>
          <w:sz w:val="24"/>
        </w:rPr>
        <w:t xml:space="preserve">Short-Run and Long-Run Cost Curves</w:t>
      </w:r>
      <w:bookmarkEnd w:id="349"/>
    </w:p>
    <w:p>
      <w:pPr>
        <w:spacing w:line="360" w:after="210" w:lineRule="auto"/>
      </w:pPr>
      <w:r>
        <w:rPr>
          <w:rFonts w:eastAsia="inter" w:cs="inter" w:ascii="inter" w:hAnsi="inter"/>
          <w:color w:val="000000"/>
        </w:rPr>
        <w:t xml:space="preserve">The distinction between short-run cost curves (with fixed capital K̄) and long-run cost curves (all inputs variable) provides critical insights into optimal firm size and industry structure.</w:t>
      </w:r>
      <w:bookmarkStart w:id="350" w:name="fnref73"/>
      <w:bookmarkEnd w:id="350"/>
      <w:hyperlink w:anchor="fn73">
        <w:r>
          <w:rPr>
            <w:rFonts w:eastAsia="inter" w:cs="inter" w:ascii="inter" w:hAnsi="inter"/>
            <w:color w:val="#000"/>
            <w:u w:val="single"/>
            <w:vertAlign w:val="superscript"/>
          </w:rPr>
          <w:t xml:space="preserve">[73]</w:t>
        </w:r>
      </w:hyperlink>
      <w:bookmarkStart w:id="351" w:name="fnref74"/>
      <w:bookmarkEnd w:id="351"/>
      <w:hyperlink w:anchor="fn74">
        <w:r>
          <w:rPr>
            <w:rFonts w:eastAsia="inter" w:cs="inter" w:ascii="inter" w:hAnsi="inter"/>
            <w:color w:val="#000"/>
            <w:u w:val="single"/>
            <w:vertAlign w:val="superscript"/>
          </w:rPr>
          <w:t xml:space="preserve">[74]</w:t>
        </w:r>
      </w:hyperlink>
      <w:bookmarkStart w:id="352" w:name="fnref65_1"/>
      <w:bookmarkEnd w:id="352"/>
      <w:hyperlink w:anchor="fn65">
        <w:r>
          <w:rPr>
            <w:rFonts w:eastAsia="inter" w:cs="inter" w:ascii="inter" w:hAnsi="inter"/>
            <w:color w:val="#000"/>
            <w:u w:val="single"/>
            <w:vertAlign w:val="superscript"/>
          </w:rPr>
          <w:t xml:space="preserve">[65]</w:t>
        </w:r>
      </w:hyperlink>
      <w:bookmarkStart w:id="353" w:name="fnref75"/>
      <w:bookmarkEnd w:id="353"/>
      <w:hyperlink w:anchor="fn75">
        <w:r>
          <w:rPr>
            <w:rFonts w:eastAsia="inter" w:cs="inter" w:ascii="inter" w:hAnsi="inter"/>
            <w:color w:val="#000"/>
            <w:u w:val="single"/>
            <w:vertAlign w:val="superscript"/>
          </w:rPr>
          <w:t xml:space="preserve">[75]</w:t>
        </w:r>
      </w:hyperlink>
    </w:p>
    <w:p>
      <w:pPr>
        <w:spacing w:line="360" w:after="210" w:lineRule="auto"/>
      </w:pPr>
      <w:r>
        <w:rPr>
          <w:rFonts w:eastAsia="inter" w:cs="inter" w:ascii="inter" w:hAnsi="inter"/>
          <w:b/>
          <w:color w:val="000000"/>
        </w:rPr>
        <w:t xml:space="preserve">Short-Run Cost Curves</w:t>
      </w:r>
    </w:p>
    <w:p>
      <w:pPr>
        <w:spacing w:line="360" w:after="210" w:lineRule="auto"/>
      </w:pPr>
      <w:r>
        <w:rPr>
          <w:rFonts w:eastAsia="inter" w:cs="inter" w:ascii="inter" w:hAnsi="inter"/>
          <w:color w:val="000000"/>
        </w:rPr>
        <w:t xml:space="preserve">In the short run with fixed capital stock K̄, the production function exhibits diminishing marginal returns to labor as additional workers are added:</w:t>
      </w:r>
      <w:bookmarkStart w:id="354" w:name="fnref62_5"/>
      <w:bookmarkEnd w:id="354"/>
      <w:hyperlink w:anchor="fn62">
        <w:r>
          <w:rPr>
            <w:rFonts w:eastAsia="inter" w:cs="inter" w:ascii="inter" w:hAnsi="inter"/>
            <w:color w:val="#000"/>
            <w:u w:val="single"/>
            <w:vertAlign w:val="superscript"/>
          </w:rPr>
          <w:t xml:space="preserve">[62]</w:t>
        </w:r>
      </w:hyperlink>
      <w:bookmarkStart w:id="355" w:name="fnref74_1"/>
      <w:bookmarkEnd w:id="355"/>
      <w:hyperlink w:anchor="fn74">
        <w:r>
          <w:rPr>
            <w:rFonts w:eastAsia="inter" w:cs="inter" w:ascii="inter" w:hAnsi="inter"/>
            <w:color w:val="#000"/>
            <w:u w:val="single"/>
            <w:vertAlign w:val="superscript"/>
          </w:rPr>
          <w:t xml:space="preserve">[74]</w:t>
        </w:r>
      </w:hyperlink>
      <w:bookmarkStart w:id="356" w:name="fnref75_1"/>
      <w:bookmarkEnd w:id="356"/>
      <w:hyperlink w:anchor="fn75">
        <w:r>
          <w:rPr>
            <w:rFonts w:eastAsia="inter" w:cs="inter" w:ascii="inter" w:hAnsi="inter"/>
            <w:color w:val="#000"/>
            <w:u w:val="single"/>
            <w:vertAlign w:val="superscript"/>
          </w:rPr>
          <w:t xml:space="preserve">[75]</w:t>
        </w:r>
      </w:hyperlink>
    </w:p>
    <w:p>
      <w:pPr>
        <w:spacing w:line="360" w:after="210" w:lineRule="auto"/>
      </w:pPr>
      <w:r>
        <w:rPr>
          <w:rFonts w:eastAsia="inter" w:cs="inter" w:ascii="inter" w:hAnsi="inter"/>
          <w:b/>
          <w:color w:val="000000"/>
        </w:rPr>
        <w:t xml:space="preserve">Q = f(L, K̄)</w:t>
      </w:r>
    </w:p>
    <w:p>
      <w:pPr>
        <w:spacing w:line="360" w:after="210" w:lineRule="auto"/>
      </w:pPr>
      <w:r>
        <w:rPr>
          <w:rFonts w:eastAsia="inter" w:cs="inter" w:ascii="inter" w:hAnsi="inter"/>
          <w:color w:val="000000"/>
        </w:rPr>
        <w:t xml:space="preserve">Initially, marginal product of labor (MPL) increases as workers specialize and coordinate effectively. However, beyond optimal labor intensity, MPL declines due to crowding, equipment bottlenecks, and coordination losses. This creates the characteristic U-shaped average variable cost (AVC) and marginal cost (MC) curves.</w:t>
      </w:r>
      <w:bookmarkStart w:id="357" w:name="fnref68_7"/>
      <w:bookmarkEnd w:id="357"/>
      <w:hyperlink w:anchor="fn68">
        <w:r>
          <w:rPr>
            <w:rFonts w:eastAsia="inter" w:cs="inter" w:ascii="inter" w:hAnsi="inter"/>
            <w:color w:val="#000"/>
            <w:u w:val="single"/>
            <w:vertAlign w:val="superscript"/>
          </w:rPr>
          <w:t xml:space="preserve">[68]</w:t>
        </w:r>
      </w:hyperlink>
      <w:bookmarkStart w:id="358" w:name="fnref74_2"/>
      <w:bookmarkEnd w:id="358"/>
      <w:hyperlink w:anchor="fn74">
        <w:r>
          <w:rPr>
            <w:rFonts w:eastAsia="inter" w:cs="inter" w:ascii="inter" w:hAnsi="inter"/>
            <w:color w:val="#000"/>
            <w:u w:val="single"/>
            <w:vertAlign w:val="superscript"/>
          </w:rPr>
          <w:t xml:space="preserve">[74]</w:t>
        </w:r>
      </w:hyperlink>
      <w:bookmarkStart w:id="359" w:name="fnref75_2"/>
      <w:bookmarkEnd w:id="359"/>
      <w:hyperlink w:anchor="fn75">
        <w:r>
          <w:rPr>
            <w:rFonts w:eastAsia="inter" w:cs="inter" w:ascii="inter" w:hAnsi="inter"/>
            <w:color w:val="#000"/>
            <w:u w:val="single"/>
            <w:vertAlign w:val="superscript"/>
          </w:rPr>
          <w:t xml:space="preserve">[75]</w:t>
        </w:r>
      </w:hyperlink>
      <w:bookmarkStart w:id="360" w:name="fnref62_6"/>
      <w:bookmarkEnd w:id="360"/>
      <w:hyperlink w:anchor="fn62">
        <w:r>
          <w:rPr>
            <w:rFonts w:eastAsia="inter" w:cs="inter" w:ascii="inter" w:hAnsi="inter"/>
            <w:color w:val="#000"/>
            <w:u w:val="single"/>
            <w:vertAlign w:val="superscript"/>
          </w:rPr>
          <w:t xml:space="preserve">[62]</w:t>
        </w:r>
      </w:hyperlink>
    </w:p>
    <w:p>
      <w:pPr>
        <w:spacing w:line="360" w:after="210" w:lineRule="auto"/>
      </w:pPr>
      <w:r>
        <w:rPr>
          <w:rFonts w:eastAsia="inter" w:cs="inter" w:ascii="inter" w:hAnsi="inter"/>
          <w:color w:val="000000"/>
        </w:rPr>
        <w:t xml:space="preserve">For hair straightener assembly:</w:t>
      </w:r>
    </w:p>
    <w:tbl>
      <w:tblPr>
        <w:tblStyle w:val="TableGrid"/>
        <w:jc w:val="center"/>
        <w:tblCellSpacing w:w="0" w:type="dxa"/>
        <w:tblBorders>
          <w:top w:val="single" w:sz="2" w:space="0" w:color="000000"/>
          <w:left w:val="single" w:sz="2" w:space="0" w:color="000000"/>
          <w:bottom w:val="single" w:sz="2" w:space="0" w:color="000000"/>
          <w:right w:val="single" w:sz="2" w:space="0" w:color="000000"/>
        </w:tblBorders>
        <w:tblCellMar>
          <w:top w:type="dxa" w:w="80"/>
          <w:left w:type="dxa" w:w="160"/>
          <w:bottom w:type="dxa" w:w="80"/>
          <w:right w:type="dxa" w:w="160"/>
        </w:tblCellMar>
      </w:tblPr>
      <w:tblGrid>
        <w:gridCol w:w="1902"/>
        <w:gridCol w:w="1902"/>
        <w:gridCol w:w="1902"/>
        <w:gridCol w:w="1902"/>
        <w:gridCol w:w="1902"/>
      </w:tblGrid>
      <w:tr>
        <w:trPr>
          <w:cantSplit/>
        </w:trPr>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Workers (L)</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Output per shift (Q)</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Marginal Product (MPL)</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Total Variable Cost</w:t>
            </w:r>
          </w:p>
        </w:tc>
        <w:tc>
          <w:tcPr>
            <w:tcBorders>
              <w:top w:val="single" w:sz="1" w:space="0" w:color="000000"/>
              <w:bottom w:val="single" w:sz="1" w:space="0" w:color="000000"/>
            </w:tcBorders>
          </w:tcPr>
          <w:p>
            <w:pPr>
              <w:spacing w:line="360" w:lineRule="auto"/>
            </w:pPr>
            <w:r>
              <w:rPr>
                <w:rFonts w:eastAsia="inter" w:cs="inter" w:ascii="inter" w:hAnsi="inter"/>
                <w:color w:val="000000"/>
                <w:sz w:val="17"/>
              </w:rPr>
              <w:t xml:space="preserve">Average Variable Cost (AVC)</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10</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120 units</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USD 480</w:t>
            </w:r>
          </w:p>
        </w:tc>
        <w:tc>
          <w:tcPr>
            <w:tcBorders>
              <w:top w:val="single" w:sz="1" w:space="0" w:color="000000"/>
              <w:bottom w:val="single" w:sz="1" w:space="0" w:color="000000"/>
            </w:tcBorders>
          </w:tcPr>
          <w:p>
            <w:pPr>
              <w:spacing w:line="360" w:lineRule="auto"/>
            </w:pPr>
            <w:r>
              <w:rPr>
                <w:rFonts w:eastAsia="inter" w:cs="inter" w:ascii="inter" w:hAnsi="inter"/>
                <w:color w:val="000000"/>
                <w:sz w:val="17"/>
              </w:rPr>
              <w:t xml:space="preserve">USD 4.00</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15</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210 units</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18 units/worker</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USD 720</w:t>
            </w:r>
          </w:p>
        </w:tc>
        <w:tc>
          <w:tcPr>
            <w:tcBorders>
              <w:top w:val="single" w:sz="1" w:space="0" w:color="000000"/>
              <w:bottom w:val="single" w:sz="1" w:space="0" w:color="000000"/>
            </w:tcBorders>
          </w:tcPr>
          <w:p>
            <w:pPr>
              <w:spacing w:line="360" w:lineRule="auto"/>
            </w:pPr>
            <w:r>
              <w:rPr>
                <w:rFonts w:eastAsia="inter" w:cs="inter" w:ascii="inter" w:hAnsi="inter"/>
                <w:color w:val="000000"/>
                <w:sz w:val="17"/>
              </w:rPr>
              <w:t xml:space="preserve">USD 3.43</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20</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320 units</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22 units/worker</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USD 960</w:t>
            </w:r>
          </w:p>
        </w:tc>
        <w:tc>
          <w:tcPr>
            <w:tcBorders>
              <w:top w:val="single" w:sz="1" w:space="0" w:color="000000"/>
              <w:bottom w:val="single" w:sz="1" w:space="0" w:color="000000"/>
            </w:tcBorders>
          </w:tcPr>
          <w:p>
            <w:pPr>
              <w:spacing w:line="360" w:lineRule="auto"/>
            </w:pPr>
            <w:r>
              <w:rPr>
                <w:rFonts w:eastAsia="inter" w:cs="inter" w:ascii="inter" w:hAnsi="inter"/>
                <w:color w:val="000000"/>
                <w:sz w:val="17"/>
              </w:rPr>
              <w:t xml:space="preserve">USD 3.00</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25</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410 units</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18 units/worker</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USD 1,200</w:t>
            </w:r>
          </w:p>
        </w:tc>
        <w:tc>
          <w:tcPr>
            <w:tcBorders>
              <w:top w:val="single" w:sz="1" w:space="0" w:color="000000"/>
              <w:bottom w:val="single" w:sz="1" w:space="0" w:color="000000"/>
            </w:tcBorders>
          </w:tcPr>
          <w:p>
            <w:pPr>
              <w:spacing w:line="360" w:lineRule="auto"/>
            </w:pPr>
            <w:r>
              <w:rPr>
                <w:rFonts w:eastAsia="inter" w:cs="inter" w:ascii="inter" w:hAnsi="inter"/>
                <w:color w:val="000000"/>
                <w:sz w:val="17"/>
              </w:rPr>
              <w:t xml:space="preserve">USD 2.93</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30</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480 units</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14 units/worker</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USD 1,440</w:t>
            </w:r>
          </w:p>
        </w:tc>
        <w:tc>
          <w:tcPr>
            <w:tcBorders>
              <w:top w:val="single" w:sz="1" w:space="0" w:color="000000"/>
              <w:bottom w:val="single" w:sz="1" w:space="0" w:color="000000"/>
            </w:tcBorders>
          </w:tcPr>
          <w:p>
            <w:pPr>
              <w:spacing w:line="360" w:lineRule="auto"/>
            </w:pPr>
            <w:r>
              <w:rPr>
                <w:rFonts w:eastAsia="inter" w:cs="inter" w:ascii="inter" w:hAnsi="inter"/>
                <w:color w:val="000000"/>
                <w:sz w:val="17"/>
              </w:rPr>
              <w:t xml:space="preserve">USD 3.00</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35</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530 units</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10 units/worker</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USD 1,680</w:t>
            </w:r>
          </w:p>
        </w:tc>
        <w:tc>
          <w:tcPr>
            <w:tcBorders>
              <w:top w:val="single" w:sz="1" w:space="0" w:color="000000"/>
              <w:bottom w:val="single" w:sz="1" w:space="0" w:color="000000"/>
            </w:tcBorders>
          </w:tcPr>
          <w:p>
            <w:pPr>
              <w:spacing w:line="360" w:lineRule="auto"/>
            </w:pPr>
            <w:r>
              <w:rPr>
                <w:rFonts w:eastAsia="inter" w:cs="inter" w:ascii="inter" w:hAnsi="inter"/>
                <w:color w:val="000000"/>
                <w:sz w:val="17"/>
              </w:rPr>
              <w:t xml:space="preserve">USD 3.17</w:t>
            </w:r>
          </w:p>
        </w:tc>
      </w:tr>
    </w:tbl>
    <w:p>
      <w:pPr>
        <w:spacing w:lineRule="auto"/>
      </w:pPr>
    </w:p>
    <w:p>
      <w:pPr>
        <w:spacing w:line="360" w:after="210" w:lineRule="auto"/>
      </w:pPr>
      <w:r>
        <w:rPr>
          <w:rFonts w:eastAsia="inter" w:cs="inter" w:ascii="inter" w:hAnsi="inter"/>
          <w:color w:val="000000"/>
        </w:rPr>
        <w:t xml:space="preserve">(Assuming wage of USD 48 per worker per shift)</w:t>
      </w:r>
    </w:p>
    <w:p>
      <w:pPr>
        <w:spacing w:line="360" w:after="210" w:lineRule="auto"/>
      </w:pPr>
      <w:r>
        <w:rPr>
          <w:rFonts w:eastAsia="inter" w:cs="inter" w:ascii="inter" w:hAnsi="inter"/>
          <w:color w:val="000000"/>
        </w:rPr>
        <w:t xml:space="preserve">Average variable cost reaches minimum at approximately 25 workers, where marginal product equals average product. Beyond this point, diminishing returns drive AVC upward despite constant wage rates.</w:t>
      </w:r>
      <w:bookmarkStart w:id="361" w:name="fnref74_3"/>
      <w:bookmarkEnd w:id="361"/>
      <w:hyperlink w:anchor="fn74">
        <w:r>
          <w:rPr>
            <w:rFonts w:eastAsia="inter" w:cs="inter" w:ascii="inter" w:hAnsi="inter"/>
            <w:color w:val="#000"/>
            <w:u w:val="single"/>
            <w:vertAlign w:val="superscript"/>
          </w:rPr>
          <w:t xml:space="preserve">[74]</w:t>
        </w:r>
      </w:hyperlink>
      <w:bookmarkStart w:id="362" w:name="fnref75_3"/>
      <w:bookmarkEnd w:id="362"/>
      <w:hyperlink w:anchor="fn75">
        <w:r>
          <w:rPr>
            <w:rFonts w:eastAsia="inter" w:cs="inter" w:ascii="inter" w:hAnsi="inter"/>
            <w:color w:val="#000"/>
            <w:u w:val="single"/>
            <w:vertAlign w:val="superscript"/>
          </w:rPr>
          <w:t xml:space="preserve">[75]</w:t>
        </w:r>
      </w:hyperlink>
      <w:bookmarkStart w:id="363" w:name="fnref62_7"/>
      <w:bookmarkEnd w:id="363"/>
      <w:hyperlink w:anchor="fn62">
        <w:r>
          <w:rPr>
            <w:rFonts w:eastAsia="inter" w:cs="inter" w:ascii="inter" w:hAnsi="inter"/>
            <w:color w:val="#000"/>
            <w:u w:val="single"/>
            <w:vertAlign w:val="superscript"/>
          </w:rPr>
          <w:t xml:space="preserve">[62]</w:t>
        </w:r>
      </w:hyperlink>
    </w:p>
    <w:p>
      <w:pPr>
        <w:spacing w:line="360" w:after="210" w:lineRule="auto"/>
      </w:pPr>
      <w:r>
        <w:rPr>
          <w:rFonts w:eastAsia="inter" w:cs="inter" w:ascii="inter" w:hAnsi="inter"/>
          <w:color w:val="000000"/>
        </w:rPr>
        <w:t xml:space="preserve">The short-run average total cost (SRATC) curve combines this U-shaped AVC with declining average fixed costs:</w:t>
      </w:r>
    </w:p>
    <w:p>
      <w:pPr>
        <w:spacing w:line="360" w:after="210" w:lineRule="auto"/>
      </w:pPr>
      <w:r>
        <w:rPr>
          <w:rFonts w:eastAsia="inter" w:cs="inter" w:ascii="inter" w:hAnsi="inter"/>
          <w:b/>
          <w:color w:val="000000"/>
        </w:rPr>
        <w:t xml:space="preserve">SRATC(Q) = AFC(Q) + AVC(Q) = FC/Q + AVC(Q)</w:t>
      </w:r>
    </w:p>
    <w:p>
      <w:pPr>
        <w:spacing w:line="360" w:after="210" w:lineRule="auto"/>
      </w:pPr>
      <w:r>
        <w:rPr>
          <w:rFonts w:eastAsia="inter" w:cs="inter" w:ascii="inter" w:hAnsi="inter"/>
          <w:color w:val="000000"/>
        </w:rPr>
        <w:t xml:space="preserve">This SRATC exhibits a flatter U-shape, with minimum at higher output levels than the AVC minimum.</w:t>
      </w:r>
      <w:bookmarkStart w:id="364" w:name="fnref68_8"/>
      <w:bookmarkEnd w:id="364"/>
      <w:hyperlink w:anchor="fn68">
        <w:r>
          <w:rPr>
            <w:rFonts w:eastAsia="inter" w:cs="inter" w:ascii="inter" w:hAnsi="inter"/>
            <w:color w:val="#000"/>
            <w:u w:val="single"/>
            <w:vertAlign w:val="superscript"/>
          </w:rPr>
          <w:t xml:space="preserve">[68]</w:t>
        </w:r>
      </w:hyperlink>
      <w:bookmarkStart w:id="365" w:name="fnref74_4"/>
      <w:bookmarkEnd w:id="365"/>
      <w:hyperlink w:anchor="fn74">
        <w:r>
          <w:rPr>
            <w:rFonts w:eastAsia="inter" w:cs="inter" w:ascii="inter" w:hAnsi="inter"/>
            <w:color w:val="#000"/>
            <w:u w:val="single"/>
            <w:vertAlign w:val="superscript"/>
          </w:rPr>
          <w:t xml:space="preserve">[74]</w:t>
        </w:r>
      </w:hyperlink>
    </w:p>
    <w:p>
      <w:pPr>
        <w:spacing w:line="360" w:after="210" w:lineRule="auto"/>
      </w:pPr>
      <w:r>
        <w:rPr>
          <w:rFonts w:eastAsia="inter" w:cs="inter" w:ascii="inter" w:hAnsi="inter"/>
          <w:b/>
          <w:color w:val="000000"/>
        </w:rPr>
        <w:t xml:space="preserve">Long-Run Cost Curves and Optimal Scale</w:t>
      </w:r>
    </w:p>
    <w:p>
      <w:pPr>
        <w:spacing w:line="360" w:after="210" w:lineRule="auto"/>
      </w:pPr>
      <w:r>
        <w:rPr>
          <w:rFonts w:eastAsia="inter" w:cs="inter" w:ascii="inter" w:hAnsi="inter"/>
          <w:color w:val="000000"/>
        </w:rPr>
        <w:t xml:space="preserve">In the long run, firms adjust all inputs including capital stock to minimize cost for any given output level. The long-run average cost (LRAC) curve traces the envelope of SRATC curves for different capital stocks:</w:t>
      </w:r>
      <w:bookmarkStart w:id="366" w:name="fnref65_2"/>
      <w:bookmarkEnd w:id="366"/>
      <w:hyperlink w:anchor="fn65">
        <w:r>
          <w:rPr>
            <w:rFonts w:eastAsia="inter" w:cs="inter" w:ascii="inter" w:hAnsi="inter"/>
            <w:color w:val="#000"/>
            <w:u w:val="single"/>
            <w:vertAlign w:val="superscript"/>
          </w:rPr>
          <w:t xml:space="preserve">[65]</w:t>
        </w:r>
      </w:hyperlink>
      <w:bookmarkStart w:id="367" w:name="fnref76"/>
      <w:bookmarkEnd w:id="367"/>
      <w:hyperlink w:anchor="fn76">
        <w:r>
          <w:rPr>
            <w:rFonts w:eastAsia="inter" w:cs="inter" w:ascii="inter" w:hAnsi="inter"/>
            <w:color w:val="#000"/>
            <w:u w:val="single"/>
            <w:vertAlign w:val="superscript"/>
          </w:rPr>
          <w:t xml:space="preserve">[76]</w:t>
        </w:r>
      </w:hyperlink>
      <w:bookmarkStart w:id="368" w:name="fnref73_1"/>
      <w:bookmarkEnd w:id="368"/>
      <w:hyperlink w:anchor="fn73">
        <w:r>
          <w:rPr>
            <w:rFonts w:eastAsia="inter" w:cs="inter" w:ascii="inter" w:hAnsi="inter"/>
            <w:color w:val="#000"/>
            <w:u w:val="single"/>
            <w:vertAlign w:val="superscript"/>
          </w:rPr>
          <w:t xml:space="preserve">[73]</w:t>
        </w:r>
      </w:hyperlink>
    </w:p>
    <w:p>
      <w:pPr>
        <w:spacing w:line="360" w:after="210" w:lineRule="auto"/>
      </w:pPr>
      <w:r>
        <w:rPr>
          <w:rFonts w:eastAsia="inter" w:cs="inter" w:ascii="inter" w:hAnsi="inter"/>
          <w:b/>
          <w:color w:val="000000"/>
        </w:rPr>
        <w:t xml:space="preserve">LRAC(Q) = min[SRATC₁(Q), SRATC₂(Q), ..., SRATCₙ(Q)]</w:t>
      </w:r>
    </w:p>
    <w:p>
      <w:pPr>
        <w:spacing w:line="360" w:after="210" w:lineRule="auto"/>
      </w:pPr>
      <w:r>
        <w:rPr>
          <w:rFonts w:eastAsia="inter" w:cs="inter" w:ascii="inter" w:hAnsi="inter"/>
          <w:color w:val="000000"/>
        </w:rPr>
        <w:t xml:space="preserve">For hair straightener manufacturing, the LRAC exhibits three regions:</w:t>
      </w:r>
      <w:bookmarkStart w:id="369" w:name="fnref54_7"/>
      <w:bookmarkEnd w:id="369"/>
      <w:hyperlink w:anchor="fn54">
        <w:r>
          <w:rPr>
            <w:rFonts w:eastAsia="inter" w:cs="inter" w:ascii="inter" w:hAnsi="inter"/>
            <w:color w:val="#000"/>
            <w:u w:val="single"/>
            <w:vertAlign w:val="superscript"/>
          </w:rPr>
          <w:t xml:space="preserve">[54]</w:t>
        </w:r>
      </w:hyperlink>
      <w:bookmarkStart w:id="370" w:name="fnref77"/>
      <w:bookmarkEnd w:id="370"/>
      <w:hyperlink w:anchor="fn77">
        <w:r>
          <w:rPr>
            <w:rFonts w:eastAsia="inter" w:cs="inter" w:ascii="inter" w:hAnsi="inter"/>
            <w:color w:val="#000"/>
            <w:u w:val="single"/>
            <w:vertAlign w:val="superscript"/>
          </w:rPr>
          <w:t xml:space="preserve">[77]</w:t>
        </w:r>
      </w:hyperlink>
      <w:bookmarkStart w:id="371" w:name="fnref73_2"/>
      <w:bookmarkEnd w:id="371"/>
      <w:hyperlink w:anchor="fn73">
        <w:r>
          <w:rPr>
            <w:rFonts w:eastAsia="inter" w:cs="inter" w:ascii="inter" w:hAnsi="inter"/>
            <w:color w:val="#000"/>
            <w:u w:val="single"/>
            <w:vertAlign w:val="superscript"/>
          </w:rPr>
          <w:t xml:space="preserve">[73]</w:t>
        </w:r>
      </w:hyperlink>
    </w:p>
    <w:p>
      <w:pPr>
        <w:numPr>
          <w:ilvl w:val="0"/>
          <w:numId w:val="33"/>
        </w:numPr>
        <w:spacing w:line="360" w:after="210" w:lineRule="auto"/>
      </w:pPr>
      <w:r>
        <w:rPr>
          <w:rFonts w:eastAsia="inter" w:cs="inter" w:ascii="inter" w:hAnsi="inter"/>
          <w:b/>
          <w:color w:val="000000"/>
          <w:sz w:val="21"/>
        </w:rPr>
        <w:t xml:space="preserve">Increasing Returns to Scale (Economies of Scale)</w:t>
      </w:r>
      <w:r>
        <w:rPr>
          <w:rFonts w:eastAsia="inter" w:cs="inter" w:ascii="inter" w:hAnsi="inter"/>
          <w:color w:val="000000"/>
          <w:sz w:val="21"/>
        </w:rPr>
        <w:t xml:space="preserve">: At output levels below 500,000 units annually, LRAC declines with volume due to:</w:t>
      </w:r>
    </w:p>
    <w:p>
      <w:pPr>
        <w:numPr>
          <w:ilvl w:val="1"/>
          <w:numId w:val="33"/>
        </w:numPr>
        <w:spacing w:line="360" w:before="105" w:after="105" w:lineRule="auto"/>
      </w:pPr>
      <w:r>
        <w:rPr>
          <w:rFonts w:eastAsia="inter" w:cs="inter" w:ascii="inter" w:hAnsi="inter"/>
          <w:color w:val="000000"/>
          <w:sz w:val="21"/>
        </w:rPr>
        <w:t xml:space="preserve">Spreading indivisible capital costs (one SMT line serves 200,000-800,000 units)</w:t>
      </w:r>
      <w:bookmarkStart w:id="372" w:name="fnref41_19"/>
      <w:bookmarkEnd w:id="372"/>
      <w:hyperlink w:anchor="fn41">
        <w:r>
          <w:rPr>
            <w:rFonts w:eastAsia="inter" w:cs="inter" w:ascii="inter" w:hAnsi="inter"/>
            <w:color w:val="#000"/>
            <w:sz w:val="21"/>
            <w:u w:val="single"/>
            <w:vertAlign w:val="superscript"/>
          </w:rPr>
          <w:t xml:space="preserve">[41]</w:t>
        </w:r>
      </w:hyperlink>
    </w:p>
    <w:p>
      <w:pPr>
        <w:numPr>
          <w:ilvl w:val="1"/>
          <w:numId w:val="33"/>
        </w:numPr>
        <w:spacing w:line="360" w:before="105" w:after="105" w:lineRule="auto"/>
      </w:pPr>
      <w:r>
        <w:rPr>
          <w:rFonts w:eastAsia="inter" w:cs="inter" w:ascii="inter" w:hAnsi="inter"/>
          <w:color w:val="000000"/>
          <w:sz w:val="21"/>
        </w:rPr>
        <w:t xml:space="preserve">Bulk purchasing discounts for materials (5-15% reductions at 200,000+ unit orders)</w:t>
      </w:r>
      <w:bookmarkStart w:id="373" w:name="fnref45_13"/>
      <w:bookmarkEnd w:id="373"/>
      <w:hyperlink w:anchor="fn45">
        <w:r>
          <w:rPr>
            <w:rFonts w:eastAsia="inter" w:cs="inter" w:ascii="inter" w:hAnsi="inter"/>
            <w:color w:val="#000"/>
            <w:sz w:val="21"/>
            <w:u w:val="single"/>
            <w:vertAlign w:val="superscript"/>
          </w:rPr>
          <w:t xml:space="preserve">[45]</w:t>
        </w:r>
      </w:hyperlink>
      <w:bookmarkStart w:id="374" w:name="fnref41_20"/>
      <w:bookmarkEnd w:id="374"/>
      <w:hyperlink w:anchor="fn41">
        <w:r>
          <w:rPr>
            <w:rFonts w:eastAsia="inter" w:cs="inter" w:ascii="inter" w:hAnsi="inter"/>
            <w:color w:val="#000"/>
            <w:sz w:val="21"/>
            <w:u w:val="single"/>
            <w:vertAlign w:val="superscript"/>
          </w:rPr>
          <w:t xml:space="preserve">[41]</w:t>
        </w:r>
      </w:hyperlink>
    </w:p>
    <w:p>
      <w:pPr>
        <w:numPr>
          <w:ilvl w:val="1"/>
          <w:numId w:val="33"/>
        </w:numPr>
        <w:spacing w:line="360" w:before="105" w:after="105" w:lineRule="auto"/>
      </w:pPr>
      <w:r>
        <w:rPr>
          <w:rFonts w:eastAsia="inter" w:cs="inter" w:ascii="inter" w:hAnsi="inter"/>
          <w:color w:val="000000"/>
          <w:sz w:val="21"/>
        </w:rPr>
        <w:t xml:space="preserve">Specialization gains from dedicated roles (separate QC, maintenance, setup personnel)</w:t>
      </w:r>
      <w:bookmarkStart w:id="375" w:name="fnref41_21"/>
      <w:bookmarkEnd w:id="375"/>
      <w:hyperlink w:anchor="fn41">
        <w:r>
          <w:rPr>
            <w:rFonts w:eastAsia="inter" w:cs="inter" w:ascii="inter" w:hAnsi="inter"/>
            <w:color w:val="#000"/>
            <w:sz w:val="21"/>
            <w:u w:val="single"/>
            <w:vertAlign w:val="superscript"/>
          </w:rPr>
          <w:t xml:space="preserve">[41]</w:t>
        </w:r>
      </w:hyperlink>
    </w:p>
    <w:p>
      <w:pPr>
        <w:numPr>
          <w:ilvl w:val="1"/>
          <w:numId w:val="33"/>
        </w:numPr>
        <w:spacing w:line="360" w:before="105" w:after="105" w:lineRule="auto"/>
      </w:pPr>
      <w:r>
        <w:rPr>
          <w:rFonts w:eastAsia="inter" w:cs="inter" w:ascii="inter" w:hAnsi="inter"/>
          <w:color w:val="000000"/>
          <w:sz w:val="21"/>
        </w:rPr>
        <w:t xml:space="preserve">Learning effects reducing defect rates and setup times</w:t>
      </w:r>
      <w:bookmarkStart w:id="376" w:name="fnref45_14"/>
      <w:bookmarkEnd w:id="376"/>
      <w:hyperlink w:anchor="fn45">
        <w:r>
          <w:rPr>
            <w:rFonts w:eastAsia="inter" w:cs="inter" w:ascii="inter" w:hAnsi="inter"/>
            <w:color w:val="#000"/>
            <w:sz w:val="21"/>
            <w:u w:val="single"/>
            <w:vertAlign w:val="superscript"/>
          </w:rPr>
          <w:t xml:space="preserve">[45]</w:t>
        </w:r>
      </w:hyperlink>
    </w:p>
    <w:p>
      <w:pPr>
        <w:numPr>
          <w:ilvl w:val="0"/>
          <w:numId w:val="33"/>
        </w:numPr>
        <w:spacing w:line="360" w:after="210" w:lineRule="auto"/>
      </w:pPr>
      <w:r>
        <w:rPr>
          <w:rFonts w:eastAsia="inter" w:cs="inter" w:ascii="inter" w:hAnsi="inter"/>
          <w:b/>
          <w:color w:val="000000"/>
          <w:sz w:val="21"/>
        </w:rPr>
        <w:t xml:space="preserve">Constant Returns to Scale</w:t>
      </w:r>
      <w:r>
        <w:rPr>
          <w:rFonts w:eastAsia="inter" w:cs="inter" w:ascii="inter" w:hAnsi="inter"/>
          <w:color w:val="000000"/>
          <w:sz w:val="21"/>
        </w:rPr>
        <w:t xml:space="preserve">: At 500,000-2 million units, LRAC remains approximately flat. Manufacturers achieve optimal capital utilization and can scale by replicating efficient plant configurations without per-unit cost changes.</w:t>
      </w:r>
      <w:bookmarkStart w:id="377" w:name="fnref73_3"/>
      <w:bookmarkEnd w:id="377"/>
      <w:hyperlink w:anchor="fn73">
        <w:r>
          <w:rPr>
            <w:rFonts w:eastAsia="inter" w:cs="inter" w:ascii="inter" w:hAnsi="inter"/>
            <w:color w:val="#000"/>
            <w:sz w:val="21"/>
            <w:u w:val="single"/>
            <w:vertAlign w:val="superscript"/>
          </w:rPr>
          <w:t xml:space="preserve">[73]</w:t>
        </w:r>
      </w:hyperlink>
      <w:bookmarkStart w:id="378" w:name="fnref54_8"/>
      <w:bookmarkEnd w:id="378"/>
      <w:hyperlink w:anchor="fn54">
        <w:r>
          <w:rPr>
            <w:rFonts w:eastAsia="inter" w:cs="inter" w:ascii="inter" w:hAnsi="inter"/>
            <w:color w:val="#000"/>
            <w:sz w:val="21"/>
            <w:u w:val="single"/>
            <w:vertAlign w:val="superscript"/>
          </w:rPr>
          <w:t xml:space="preserve">[54]</w:t>
        </w:r>
      </w:hyperlink>
    </w:p>
    <w:p>
      <w:pPr>
        <w:numPr>
          <w:ilvl w:val="0"/>
          <w:numId w:val="33"/>
        </w:numPr>
        <w:spacing w:line="360" w:after="210" w:lineRule="auto"/>
      </w:pPr>
      <w:r>
        <w:rPr>
          <w:rFonts w:eastAsia="inter" w:cs="inter" w:ascii="inter" w:hAnsi="inter"/>
          <w:b/>
          <w:color w:val="000000"/>
          <w:sz w:val="21"/>
        </w:rPr>
        <w:t xml:space="preserve">Decreasing Returns to Scale (Diseconomies of Scale)</w:t>
      </w:r>
      <w:r>
        <w:rPr>
          <w:rFonts w:eastAsia="inter" w:cs="inter" w:ascii="inter" w:hAnsi="inter"/>
          <w:color w:val="000000"/>
          <w:sz w:val="21"/>
        </w:rPr>
        <w:t xml:space="preserve">: Beyond 2.5-3 million units in single facilities, LRAC increases due to:</w:t>
      </w:r>
    </w:p>
    <w:p>
      <w:pPr>
        <w:numPr>
          <w:ilvl w:val="1"/>
          <w:numId w:val="33"/>
        </w:numPr>
        <w:spacing w:line="360" w:before="105" w:after="105" w:lineRule="auto"/>
      </w:pPr>
      <w:r>
        <w:rPr>
          <w:rFonts w:eastAsia="inter" w:cs="inter" w:ascii="inter" w:hAnsi="inter"/>
          <w:color w:val="000000"/>
          <w:sz w:val="21"/>
        </w:rPr>
        <w:t xml:space="preserve">Management coordination complexity with large workforces</w:t>
      </w:r>
      <w:bookmarkStart w:id="379" w:name="fnref54_9"/>
      <w:bookmarkEnd w:id="379"/>
      <w:hyperlink w:anchor="fn54">
        <w:r>
          <w:rPr>
            <w:rFonts w:eastAsia="inter" w:cs="inter" w:ascii="inter" w:hAnsi="inter"/>
            <w:color w:val="#000"/>
            <w:sz w:val="21"/>
            <w:u w:val="single"/>
            <w:vertAlign w:val="superscript"/>
          </w:rPr>
          <w:t xml:space="preserve">[54]</w:t>
        </w:r>
      </w:hyperlink>
      <w:bookmarkStart w:id="380" w:name="fnref73_4"/>
      <w:bookmarkEnd w:id="380"/>
      <w:hyperlink w:anchor="fn73">
        <w:r>
          <w:rPr>
            <w:rFonts w:eastAsia="inter" w:cs="inter" w:ascii="inter" w:hAnsi="inter"/>
            <w:color w:val="#000"/>
            <w:sz w:val="21"/>
            <w:u w:val="single"/>
            <w:vertAlign w:val="superscript"/>
          </w:rPr>
          <w:t xml:space="preserve">[73]</w:t>
        </w:r>
      </w:hyperlink>
    </w:p>
    <w:p>
      <w:pPr>
        <w:numPr>
          <w:ilvl w:val="1"/>
          <w:numId w:val="33"/>
        </w:numPr>
        <w:spacing w:line="360" w:before="105" w:after="105" w:lineRule="auto"/>
      </w:pPr>
      <w:r>
        <w:rPr>
          <w:rFonts w:eastAsia="inter" w:cs="inter" w:ascii="inter" w:hAnsi="inter"/>
          <w:color w:val="000000"/>
          <w:sz w:val="21"/>
        </w:rPr>
        <w:t xml:space="preserve">Transportation costs from centralized production to dispersed markets</w:t>
      </w:r>
      <w:bookmarkStart w:id="381" w:name="fnref54_10"/>
      <w:bookmarkEnd w:id="381"/>
      <w:hyperlink w:anchor="fn54">
        <w:r>
          <w:rPr>
            <w:rFonts w:eastAsia="inter" w:cs="inter" w:ascii="inter" w:hAnsi="inter"/>
            <w:color w:val="#000"/>
            <w:sz w:val="21"/>
            <w:u w:val="single"/>
            <w:vertAlign w:val="superscript"/>
          </w:rPr>
          <w:t xml:space="preserve">[54]</w:t>
        </w:r>
      </w:hyperlink>
    </w:p>
    <w:p>
      <w:pPr>
        <w:numPr>
          <w:ilvl w:val="1"/>
          <w:numId w:val="33"/>
        </w:numPr>
        <w:spacing w:line="360" w:before="105" w:after="105" w:lineRule="auto"/>
      </w:pPr>
      <w:r>
        <w:rPr>
          <w:rFonts w:eastAsia="inter" w:cs="inter" w:ascii="inter" w:hAnsi="inter"/>
          <w:color w:val="000000"/>
          <w:sz w:val="21"/>
        </w:rPr>
        <w:t xml:space="preserve">Worker motivation challenges in large impersonal facilities</w:t>
      </w:r>
      <w:bookmarkStart w:id="382" w:name="fnref54_11"/>
      <w:bookmarkEnd w:id="382"/>
      <w:hyperlink w:anchor="fn54">
        <w:r>
          <w:rPr>
            <w:rFonts w:eastAsia="inter" w:cs="inter" w:ascii="inter" w:hAnsi="inter"/>
            <w:color w:val="#000"/>
            <w:sz w:val="21"/>
            <w:u w:val="single"/>
            <w:vertAlign w:val="superscript"/>
          </w:rPr>
          <w:t xml:space="preserve">[54]</w:t>
        </w:r>
      </w:hyperlink>
    </w:p>
    <w:p>
      <w:pPr>
        <w:spacing w:line="360" w:after="210" w:lineRule="auto"/>
      </w:pPr>
      <w:r>
        <w:rPr>
          <w:rFonts w:eastAsia="inter" w:cs="inter" w:ascii="inter" w:hAnsi="inter"/>
          <w:color w:val="000000"/>
        </w:rPr>
        <w:t xml:space="preserve">Empirical evidence from Chinese manufacturers indicates minimum efficient scale (MES) at approximately 600,000-800,000 units annually for mid-range products. Firms operating below MES face cost disadvantages of 18-25% versus those at MES, creating substantial barriers to entry and explaining industry concentration.</w:t>
      </w:r>
      <w:bookmarkStart w:id="383" w:name="fnref37_24"/>
      <w:bookmarkEnd w:id="383"/>
      <w:hyperlink w:anchor="fn37">
        <w:r>
          <w:rPr>
            <w:rFonts w:eastAsia="inter" w:cs="inter" w:ascii="inter" w:hAnsi="inter"/>
            <w:color w:val="#000"/>
            <w:u w:val="single"/>
            <w:vertAlign w:val="superscript"/>
          </w:rPr>
          <w:t xml:space="preserve">[37]</w:t>
        </w:r>
      </w:hyperlink>
      <w:bookmarkStart w:id="384" w:name="fnref41_22"/>
      <w:bookmarkEnd w:id="384"/>
      <w:hyperlink w:anchor="fn41">
        <w:r>
          <w:rPr>
            <w:rFonts w:eastAsia="inter" w:cs="inter" w:ascii="inter" w:hAnsi="inter"/>
            <w:color w:val="#000"/>
            <w:u w:val="single"/>
            <w:vertAlign w:val="superscript"/>
          </w:rPr>
          <w:t xml:space="preserve">[41]</w:t>
        </w:r>
      </w:hyperlink>
      <w:bookmarkStart w:id="385" w:name="fnref54_12"/>
      <w:bookmarkEnd w:id="385"/>
      <w:hyperlink w:anchor="fn54">
        <w:r>
          <w:rPr>
            <w:rFonts w:eastAsia="inter" w:cs="inter" w:ascii="inter" w:hAnsi="inter"/>
            <w:color w:val="#000"/>
            <w:u w:val="single"/>
            <w:vertAlign w:val="superscript"/>
          </w:rPr>
          <w:t xml:space="preserve">[54]</w:t>
        </w:r>
      </w:hyperlink>
    </w:p>
    <w:p>
      <w:pPr>
        <w:spacing w:line="360" w:after="210" w:lineRule="auto"/>
      </w:pPr>
      <w:r>
        <w:rPr>
          <w:rFonts w:eastAsia="inter" w:cs="inter" w:ascii="inter" w:hAnsi="inter"/>
          <w:color w:val="000000"/>
        </w:rPr>
        <w:t xml:space="preserve">The existence of economies of scale to approximately 1.5 million units, combined with global market size of 10-12 million units annually, suggests natural oligopoly tendencies—the market can support 6-8 firms at efficient scale, consistent with observed concentration where top-10 manufacturers command 55-65% market share.</w:t>
      </w:r>
      <w:bookmarkStart w:id="386" w:name="fnref4_2"/>
      <w:bookmarkEnd w:id="386"/>
      <w:hyperlink w:anchor="fn4">
        <w:r>
          <w:rPr>
            <w:rFonts w:eastAsia="inter" w:cs="inter" w:ascii="inter" w:hAnsi="inter"/>
            <w:color w:val="#000"/>
            <w:u w:val="single"/>
            <w:vertAlign w:val="superscript"/>
          </w:rPr>
          <w:t xml:space="preserve">[4]</w:t>
        </w:r>
      </w:hyperlink>
      <w:bookmarkStart w:id="387" w:name="fnref5_3"/>
      <w:bookmarkEnd w:id="387"/>
      <w:hyperlink w:anchor="fn5">
        <w:r>
          <w:rPr>
            <w:rFonts w:eastAsia="inter" w:cs="inter" w:ascii="inter" w:hAnsi="inter"/>
            <w:color w:val="#000"/>
            <w:u w:val="single"/>
            <w:vertAlign w:val="superscript"/>
          </w:rPr>
          <w:t xml:space="preserve">[5]</w:t>
        </w:r>
      </w:hyperlink>
      <w:bookmarkStart w:id="388" w:name="fnref29_1"/>
      <w:bookmarkEnd w:id="388"/>
      <w:hyperlink w:anchor="fn29">
        <w:r>
          <w:rPr>
            <w:rFonts w:eastAsia="inter" w:cs="inter" w:ascii="inter" w:hAnsi="inter"/>
            <w:color w:val="#000"/>
            <w:u w:val="single"/>
            <w:vertAlign w:val="superscript"/>
          </w:rPr>
          <w:t xml:space="preserve">[29]</w:t>
        </w:r>
      </w:hyperlink>
      <w:bookmarkStart w:id="389" w:name="fnref30_1"/>
      <w:bookmarkEnd w:id="389"/>
      <w:hyperlink w:anchor="fn30">
        <w:r>
          <w:rPr>
            <w:rFonts w:eastAsia="inter" w:cs="inter" w:ascii="inter" w:hAnsi="inter"/>
            <w:color w:val="#000"/>
            <w:u w:val="single"/>
            <w:vertAlign w:val="superscript"/>
          </w:rPr>
          <w:t xml:space="preserve">[30]</w:t>
        </w:r>
      </w:hyperlink>
    </w:p>
    <w:p>
      <w:pPr>
        <w:spacing w:line="360" w:before="315" w:after="105" w:lineRule="auto"/>
        <w:ind w:left="-30"/>
        <w:jc w:val="left"/>
      </w:pPr>
      <w:bookmarkStart w:id="390" w:name="economies_of_scale_theoretical_an_c2261a"/>
      <w:r>
        <w:rPr>
          <w:rFonts w:eastAsia="inter" w:cs="inter" w:ascii="inter" w:hAnsi="inter"/>
          <w:b/>
          <w:color w:val="000000"/>
          <w:sz w:val="24"/>
        </w:rPr>
        <w:t xml:space="preserve">Economies of Scale: Theoretical and Empirical Evidence</w:t>
      </w:r>
      <w:bookmarkEnd w:id="390"/>
    </w:p>
    <w:p>
      <w:pPr>
        <w:spacing w:line="360" w:after="210" w:lineRule="auto"/>
      </w:pPr>
      <w:r>
        <w:rPr>
          <w:rFonts w:eastAsia="inter" w:cs="inter" w:ascii="inter" w:hAnsi="inter"/>
          <w:color w:val="000000"/>
        </w:rPr>
        <w:t xml:space="preserve">The presence and magnitude of economies of scale fundamentally determine market structure, competitive dynamics, and welfare implications.</w:t>
      </w:r>
      <w:bookmarkStart w:id="391" w:name="fnref41_23"/>
      <w:bookmarkEnd w:id="391"/>
      <w:hyperlink w:anchor="fn41">
        <w:r>
          <w:rPr>
            <w:rFonts w:eastAsia="inter" w:cs="inter" w:ascii="inter" w:hAnsi="inter"/>
            <w:color w:val="#000"/>
            <w:u w:val="single"/>
            <w:vertAlign w:val="superscript"/>
          </w:rPr>
          <w:t xml:space="preserve">[41]</w:t>
        </w:r>
      </w:hyperlink>
      <w:bookmarkStart w:id="392" w:name="fnref45_15"/>
      <w:bookmarkEnd w:id="392"/>
      <w:hyperlink w:anchor="fn45">
        <w:r>
          <w:rPr>
            <w:rFonts w:eastAsia="inter" w:cs="inter" w:ascii="inter" w:hAnsi="inter"/>
            <w:color w:val="#000"/>
            <w:u w:val="single"/>
            <w:vertAlign w:val="superscript"/>
          </w:rPr>
          <w:t xml:space="preserve">[45]</w:t>
        </w:r>
      </w:hyperlink>
      <w:bookmarkStart w:id="393" w:name="fnref54_13"/>
      <w:bookmarkEnd w:id="393"/>
      <w:hyperlink w:anchor="fn54">
        <w:r>
          <w:rPr>
            <w:rFonts w:eastAsia="inter" w:cs="inter" w:ascii="inter" w:hAnsi="inter"/>
            <w:color w:val="#000"/>
            <w:u w:val="single"/>
            <w:vertAlign w:val="superscript"/>
          </w:rPr>
          <w:t xml:space="preserve">[54]</w:t>
        </w:r>
      </w:hyperlink>
      <w:bookmarkStart w:id="394" w:name="fnref77_1"/>
      <w:bookmarkEnd w:id="394"/>
      <w:hyperlink w:anchor="fn77">
        <w:r>
          <w:rPr>
            <w:rFonts w:eastAsia="inter" w:cs="inter" w:ascii="inter" w:hAnsi="inter"/>
            <w:color w:val="#000"/>
            <w:u w:val="single"/>
            <w:vertAlign w:val="superscript"/>
          </w:rPr>
          <w:t xml:space="preserve">[77]</w:t>
        </w:r>
      </w:hyperlink>
    </w:p>
    <w:p>
      <w:pPr>
        <w:spacing w:line="360" w:after="210" w:lineRule="auto"/>
      </w:pPr>
      <w:r>
        <w:rPr>
          <w:rFonts w:eastAsia="inter" w:cs="inter" w:ascii="inter" w:hAnsi="inter"/>
          <w:b/>
          <w:color w:val="000000"/>
        </w:rPr>
        <w:t xml:space="preserve">Sources of Economies of Scale</w:t>
      </w:r>
    </w:p>
    <w:p>
      <w:pPr>
        <w:spacing w:line="360" w:after="210" w:lineRule="auto"/>
      </w:pPr>
      <w:r>
        <w:rPr>
          <w:rFonts w:eastAsia="inter" w:cs="inter" w:ascii="inter" w:hAnsi="inter"/>
          <w:i/>
          <w:color w:val="000000"/>
        </w:rPr>
        <w:t xml:space="preserve">Technical Economies</w:t>
      </w:r>
      <w:r>
        <w:rPr>
          <w:rFonts w:eastAsia="inter" w:cs="inter" w:ascii="inter" w:hAnsi="inter"/>
          <w:color w:val="000000"/>
        </w:rPr>
        <w:t xml:space="preserve">: Indivisible capital equipment creates scale economies. An SMT assembly line costs USD 400,000-600,000 regardless of whether operated at 30% or 90% capacity. Per-unit capital costs thus decline dramatically with utilization:</w:t>
      </w:r>
      <w:bookmarkStart w:id="395" w:name="fnref41_24"/>
      <w:bookmarkEnd w:id="395"/>
      <w:hyperlink w:anchor="fn41">
        <w:r>
          <w:rPr>
            <w:rFonts w:eastAsia="inter" w:cs="inter" w:ascii="inter" w:hAnsi="inter"/>
            <w:color w:val="#000"/>
            <w:u w:val="single"/>
            <w:vertAlign w:val="superscript"/>
          </w:rPr>
          <w:t xml:space="preserve">[41]</w:t>
        </w:r>
      </w:hyperlink>
    </w:p>
    <w:tbl>
      <w:tblPr>
        <w:tblStyle w:val="TableGrid"/>
        <w:jc w:val="center"/>
        <w:tblCellSpacing w:w="0" w:type="dxa"/>
        <w:tblBorders>
          <w:top w:val="single" w:sz="2" w:space="0" w:color="000000"/>
          <w:left w:val="single" w:sz="2" w:space="0" w:color="000000"/>
          <w:bottom w:val="single" w:sz="2" w:space="0" w:color="000000"/>
          <w:right w:val="single" w:sz="2" w:space="0" w:color="000000"/>
        </w:tblBorders>
        <w:tblCellMar>
          <w:top w:type="dxa" w:w="80"/>
          <w:left w:type="dxa" w:w="160"/>
          <w:bottom w:type="dxa" w:w="80"/>
          <w:right w:type="dxa" w:w="160"/>
        </w:tblCellMar>
      </w:tblPr>
      <w:tblGrid>
        <w:gridCol w:w="3170"/>
        <w:gridCol w:w="3170"/>
        <w:gridCol w:w="3170"/>
      </w:tblGrid>
      <w:tr>
        <w:trPr>
          <w:cantSplit/>
        </w:trPr>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Capacity Utilization</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Annual Output</w:t>
            </w:r>
          </w:p>
        </w:tc>
        <w:tc>
          <w:tcPr>
            <w:tcBorders>
              <w:top w:val="single" w:sz="1" w:space="0" w:color="000000"/>
              <w:bottom w:val="single" w:sz="1" w:space="0" w:color="000000"/>
            </w:tcBorders>
          </w:tcPr>
          <w:p>
            <w:pPr>
              <w:spacing w:line="360" w:lineRule="auto"/>
            </w:pPr>
            <w:r>
              <w:rPr>
                <w:rFonts w:eastAsia="inter" w:cs="inter" w:ascii="inter" w:hAnsi="inter"/>
                <w:color w:val="000000"/>
                <w:sz w:val="17"/>
              </w:rPr>
              <w:t xml:space="preserve">Capital Cost per Unit</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30%</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150,000 units</w:t>
            </w:r>
          </w:p>
        </w:tc>
        <w:tc>
          <w:tcPr>
            <w:tcBorders>
              <w:top w:val="single" w:sz="1" w:space="0" w:color="000000"/>
              <w:bottom w:val="single" w:sz="1" w:space="0" w:color="000000"/>
            </w:tcBorders>
          </w:tcPr>
          <w:p>
            <w:pPr>
              <w:spacing w:line="360" w:lineRule="auto"/>
            </w:pPr>
            <w:r>
              <w:rPr>
                <w:rFonts w:eastAsia="inter" w:cs="inter" w:ascii="inter" w:hAnsi="inter"/>
                <w:color w:val="000000"/>
                <w:sz w:val="17"/>
              </w:rPr>
              <w:t xml:space="preserve">USD 3.00</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60%</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300,000 units</w:t>
            </w:r>
          </w:p>
        </w:tc>
        <w:tc>
          <w:tcPr>
            <w:tcBorders>
              <w:top w:val="single" w:sz="1" w:space="0" w:color="000000"/>
              <w:bottom w:val="single" w:sz="1" w:space="0" w:color="000000"/>
            </w:tcBorders>
          </w:tcPr>
          <w:p>
            <w:pPr>
              <w:spacing w:line="360" w:lineRule="auto"/>
            </w:pPr>
            <w:r>
              <w:rPr>
                <w:rFonts w:eastAsia="inter" w:cs="inter" w:ascii="inter" w:hAnsi="inter"/>
                <w:color w:val="000000"/>
                <w:sz w:val="17"/>
              </w:rPr>
              <w:t xml:space="preserve">USD 1.50</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85%</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425,000 units</w:t>
            </w:r>
          </w:p>
        </w:tc>
        <w:tc>
          <w:tcPr>
            <w:tcBorders>
              <w:top w:val="single" w:sz="1" w:space="0" w:color="000000"/>
              <w:bottom w:val="single" w:sz="1" w:space="0" w:color="000000"/>
            </w:tcBorders>
          </w:tcPr>
          <w:p>
            <w:pPr>
              <w:spacing w:line="360" w:lineRule="auto"/>
            </w:pPr>
            <w:r>
              <w:rPr>
                <w:rFonts w:eastAsia="inter" w:cs="inter" w:ascii="inter" w:hAnsi="inter"/>
                <w:color w:val="000000"/>
                <w:sz w:val="17"/>
              </w:rPr>
              <w:t xml:space="preserve">USD 1.06</w:t>
            </w:r>
          </w:p>
        </w:tc>
      </w:tr>
    </w:tbl>
    <w:p>
      <w:pPr>
        <w:spacing w:lineRule="auto"/>
      </w:pPr>
    </w:p>
    <w:p>
      <w:pPr>
        <w:spacing w:line="360" w:after="210" w:lineRule="auto"/>
      </w:pPr>
      <w:r>
        <w:rPr>
          <w:rFonts w:eastAsia="inter" w:cs="inter" w:ascii="inter" w:hAnsi="inter"/>
          <w:color w:val="000000"/>
        </w:rPr>
        <w:t xml:space="preserve">This creates intense pressure to maximize capacity utilization, explaining aggressive pricing to win volume even at marginal profit margins.</w:t>
      </w:r>
      <w:bookmarkStart w:id="396" w:name="fnref54_14"/>
      <w:bookmarkEnd w:id="396"/>
      <w:hyperlink w:anchor="fn54">
        <w:r>
          <w:rPr>
            <w:rFonts w:eastAsia="inter" w:cs="inter" w:ascii="inter" w:hAnsi="inter"/>
            <w:color w:val="#000"/>
            <w:u w:val="single"/>
            <w:vertAlign w:val="superscript"/>
          </w:rPr>
          <w:t xml:space="preserve">[54]</w:t>
        </w:r>
      </w:hyperlink>
      <w:bookmarkStart w:id="397" w:name="fnref41_25"/>
      <w:bookmarkEnd w:id="397"/>
      <w:hyperlink w:anchor="fn41">
        <w:r>
          <w:rPr>
            <w:rFonts w:eastAsia="inter" w:cs="inter" w:ascii="inter" w:hAnsi="inter"/>
            <w:color w:val="#000"/>
            <w:u w:val="single"/>
            <w:vertAlign w:val="superscript"/>
          </w:rPr>
          <w:t xml:space="preserve">[41]</w:t>
        </w:r>
      </w:hyperlink>
    </w:p>
    <w:p>
      <w:pPr>
        <w:spacing w:line="360" w:after="210" w:lineRule="auto"/>
      </w:pPr>
      <w:r>
        <w:rPr>
          <w:rFonts w:eastAsia="inter" w:cs="inter" w:ascii="inter" w:hAnsi="inter"/>
          <w:i/>
          <w:color w:val="000000"/>
        </w:rPr>
        <w:t xml:space="preserve">Purchasing Economies</w:t>
      </w:r>
      <w:r>
        <w:rPr>
          <w:rFonts w:eastAsia="inter" w:cs="inter" w:ascii="inter" w:hAnsi="inter"/>
          <w:color w:val="000000"/>
        </w:rPr>
        <w:t xml:space="preserve">: Bulk material sourcing yields volume discounts. ABS plastic prices demonstrate typical patterns:</w:t>
      </w:r>
    </w:p>
    <w:p>
      <w:pPr>
        <w:numPr>
          <w:ilvl w:val="0"/>
          <w:numId w:val="34"/>
        </w:numPr>
        <w:spacing w:line="360" w:before="105" w:after="105" w:lineRule="auto"/>
      </w:pPr>
      <w:r>
        <w:rPr>
          <w:rFonts w:eastAsia="inter" w:cs="inter" w:ascii="inter" w:hAnsi="inter"/>
          <w:color w:val="000000"/>
          <w:sz w:val="21"/>
        </w:rPr>
        <w:t xml:space="preserve">&lt;10 ton orders: USD 1.75-1.85 per kg</w:t>
      </w:r>
    </w:p>
    <w:p>
      <w:pPr>
        <w:numPr>
          <w:ilvl w:val="0"/>
          <w:numId w:val="34"/>
        </w:numPr>
        <w:spacing w:line="360" w:before="105" w:after="105" w:lineRule="auto"/>
      </w:pPr>
      <w:r>
        <w:rPr>
          <w:rFonts w:eastAsia="inter" w:cs="inter" w:ascii="inter" w:hAnsi="inter"/>
          <w:color w:val="000000"/>
          <w:sz w:val="21"/>
        </w:rPr>
        <w:t xml:space="preserve">10-50 tons: USD 1.55-1.70 per kg (11-14% discount)</w:t>
      </w:r>
    </w:p>
    <w:p>
      <w:pPr>
        <w:numPr>
          <w:ilvl w:val="0"/>
          <w:numId w:val="34"/>
        </w:numPr>
        <w:spacing w:line="360" w:after="210" w:lineRule="auto"/>
        <w:ind w:left="630"/>
      </w:pPr>
      <w:r>
        <w:rPr>
          <w:rFonts w:eastAsia="inter" w:cs="inter" w:ascii="inter" w:hAnsi="inter"/>
          <w:color w:val="000000"/>
          <w:sz w:val="21"/>
        </w:rPr>
        <w:t xml:space="preserve">100 tons: USD 1.40-1.60 per kg (16-24% discount)</w:t>
      </w:r>
      <w:bookmarkStart w:id="398" w:name="fnref39_12"/>
      <w:bookmarkEnd w:id="398"/>
      <w:hyperlink w:anchor="fn39">
        <w:r>
          <w:rPr>
            <w:rFonts w:eastAsia="inter" w:cs="inter" w:ascii="inter" w:hAnsi="inter"/>
            <w:color w:val="#000"/>
            <w:sz w:val="21"/>
            <w:u w:val="single"/>
            <w:vertAlign w:val="superscript"/>
          </w:rPr>
          <w:t xml:space="preserve">[39]</w:t>
        </w:r>
      </w:hyperlink>
    </w:p>
    <w:p>
      <w:pPr>
        <w:spacing w:line="360" w:after="210" w:lineRule="auto"/>
      </w:pPr>
      <w:r>
        <w:rPr>
          <w:rFonts w:eastAsia="inter" w:cs="inter" w:ascii="inter" w:hAnsi="inter"/>
          <w:color w:val="000000"/>
        </w:rPr>
        <w:t xml:space="preserve">A manufacturer producing 500,000 units annually consumes approximately 75-90 tons of ABS, capturing middle-tier discounts. Producers at 1.5 million units (220-270 tons) access maximum discounts, reducing material costs by 10-12% versus smaller competitors.</w:t>
      </w:r>
      <w:bookmarkStart w:id="399" w:name="fnref45_16"/>
      <w:bookmarkEnd w:id="399"/>
      <w:hyperlink w:anchor="fn45">
        <w:r>
          <w:rPr>
            <w:rFonts w:eastAsia="inter" w:cs="inter" w:ascii="inter" w:hAnsi="inter"/>
            <w:color w:val="#000"/>
            <w:u w:val="single"/>
            <w:vertAlign w:val="superscript"/>
          </w:rPr>
          <w:t xml:space="preserve">[45]</w:t>
        </w:r>
      </w:hyperlink>
      <w:bookmarkStart w:id="400" w:name="fnref41_26"/>
      <w:bookmarkEnd w:id="400"/>
      <w:hyperlink w:anchor="fn41">
        <w:r>
          <w:rPr>
            <w:rFonts w:eastAsia="inter" w:cs="inter" w:ascii="inter" w:hAnsi="inter"/>
            <w:color w:val="#000"/>
            <w:u w:val="single"/>
            <w:vertAlign w:val="superscript"/>
          </w:rPr>
          <w:t xml:space="preserve">[41]</w:t>
        </w:r>
      </w:hyperlink>
    </w:p>
    <w:p>
      <w:pPr>
        <w:spacing w:line="360" w:after="210" w:lineRule="auto"/>
      </w:pPr>
      <w:r>
        <w:rPr>
          <w:rFonts w:eastAsia="inter" w:cs="inter" w:ascii="inter" w:hAnsi="inter"/>
          <w:i/>
          <w:color w:val="000000"/>
        </w:rPr>
        <w:t xml:space="preserve">Marketing and Distribution Economies</w:t>
      </w:r>
      <w:r>
        <w:rPr>
          <w:rFonts w:eastAsia="inter" w:cs="inter" w:ascii="inter" w:hAnsi="inter"/>
          <w:color w:val="000000"/>
        </w:rPr>
        <w:t xml:space="preserve">: National advertising campaigns, trade show presence, and sales force maintenance exhibit high fixed costs but declining average costs with sales volumes. A USD 500,000 annual marketing budget represents 5% of sales at USD 10 million revenue but only 1.25% at USD 40 million, enabling superior brand positioning at larger scales.</w:t>
      </w:r>
      <w:bookmarkStart w:id="401" w:name="fnref15_11"/>
      <w:bookmarkEnd w:id="401"/>
      <w:hyperlink w:anchor="fn15">
        <w:r>
          <w:rPr>
            <w:rFonts w:eastAsia="inter" w:cs="inter" w:ascii="inter" w:hAnsi="inter"/>
            <w:color w:val="#000"/>
            <w:u w:val="single"/>
            <w:vertAlign w:val="superscript"/>
          </w:rPr>
          <w:t xml:space="preserve">[15]</w:t>
        </w:r>
      </w:hyperlink>
    </w:p>
    <w:p>
      <w:pPr>
        <w:spacing w:line="360" w:after="210" w:lineRule="auto"/>
      </w:pPr>
      <w:r>
        <w:rPr>
          <w:rFonts w:eastAsia="inter" w:cs="inter" w:ascii="inter" w:hAnsi="inter"/>
          <w:i/>
          <w:color w:val="000000"/>
        </w:rPr>
        <w:t xml:space="preserve">Financial Economies</w:t>
      </w:r>
      <w:r>
        <w:rPr>
          <w:rFonts w:eastAsia="inter" w:cs="inter" w:ascii="inter" w:hAnsi="inter"/>
          <w:color w:val="000000"/>
        </w:rPr>
        <w:t xml:space="preserve">: Large manufacturers access capital at lower costs:</w:t>
      </w:r>
    </w:p>
    <w:p>
      <w:pPr>
        <w:numPr>
          <w:ilvl w:val="0"/>
          <w:numId w:val="35"/>
        </w:numPr>
        <w:spacing w:line="360" w:before="105" w:after="105" w:lineRule="auto"/>
      </w:pPr>
      <w:r>
        <w:rPr>
          <w:rFonts w:eastAsia="inter" w:cs="inter" w:ascii="inter" w:hAnsi="inter"/>
          <w:color w:val="000000"/>
          <w:sz w:val="21"/>
        </w:rPr>
        <w:t xml:space="preserve">Small firms (&lt;USD 20 million revenue): 9-12% interest rates, short-term financing</w:t>
      </w:r>
      <w:bookmarkStart w:id="402" w:name="fnref6_19"/>
      <w:bookmarkEnd w:id="402"/>
      <w:hyperlink w:anchor="fn6">
        <w:r>
          <w:rPr>
            <w:rFonts w:eastAsia="inter" w:cs="inter" w:ascii="inter" w:hAnsi="inter"/>
            <w:color w:val="#000"/>
            <w:sz w:val="21"/>
            <w:u w:val="single"/>
            <w:vertAlign w:val="superscript"/>
          </w:rPr>
          <w:t xml:space="preserve">[6]</w:t>
        </w:r>
      </w:hyperlink>
    </w:p>
    <w:p>
      <w:pPr>
        <w:numPr>
          <w:ilvl w:val="0"/>
          <w:numId w:val="35"/>
        </w:numPr>
        <w:spacing w:line="360" w:before="105" w:after="105" w:lineRule="auto"/>
      </w:pPr>
      <w:r>
        <w:rPr>
          <w:rFonts w:eastAsia="inter" w:cs="inter" w:ascii="inter" w:hAnsi="inter"/>
          <w:color w:val="000000"/>
          <w:sz w:val="21"/>
        </w:rPr>
        <w:t xml:space="preserve">Large firms (&gt;USD 100 million): 5-7% rates, long-term debt, equity markets access</w:t>
      </w:r>
      <w:bookmarkStart w:id="403" w:name="fnref41_27"/>
      <w:bookmarkEnd w:id="403"/>
      <w:hyperlink w:anchor="fn41">
        <w:r>
          <w:rPr>
            <w:rFonts w:eastAsia="inter" w:cs="inter" w:ascii="inter" w:hAnsi="inter"/>
            <w:color w:val="#000"/>
            <w:sz w:val="21"/>
            <w:u w:val="single"/>
            <w:vertAlign w:val="superscript"/>
          </w:rPr>
          <w:t xml:space="preserve">[41]</w:t>
        </w:r>
      </w:hyperlink>
    </w:p>
    <w:p>
      <w:pPr>
        <w:spacing w:line="360" w:after="210" w:lineRule="auto"/>
      </w:pPr>
      <w:r>
        <w:rPr>
          <w:rFonts w:eastAsia="inter" w:cs="inter" w:ascii="inter" w:hAnsi="inter"/>
          <w:color w:val="000000"/>
        </w:rPr>
        <w:t xml:space="preserve">This cost-of-capital differential compounds over time, giving established players persistent reinvestment advantages.</w:t>
      </w:r>
      <w:bookmarkStart w:id="404" w:name="fnref41_28"/>
      <w:bookmarkEnd w:id="404"/>
      <w:hyperlink w:anchor="fn41">
        <w:r>
          <w:rPr>
            <w:rFonts w:eastAsia="inter" w:cs="inter" w:ascii="inter" w:hAnsi="inter"/>
            <w:color w:val="#000"/>
            <w:u w:val="single"/>
            <w:vertAlign w:val="superscript"/>
          </w:rPr>
          <w:t xml:space="preserve">[41]</w:t>
        </w:r>
      </w:hyperlink>
    </w:p>
    <w:p>
      <w:pPr>
        <w:spacing w:line="360" w:after="210" w:lineRule="auto"/>
      </w:pPr>
      <w:r>
        <w:rPr>
          <w:rFonts w:eastAsia="inter" w:cs="inter" w:ascii="inter" w:hAnsi="inter"/>
          <w:b/>
          <w:color w:val="000000"/>
        </w:rPr>
        <w:t xml:space="preserve">Empirical Estimation of Scale Economies</w:t>
      </w:r>
    </w:p>
    <w:p>
      <w:pPr>
        <w:spacing w:line="360" w:after="210" w:lineRule="auto"/>
      </w:pPr>
      <w:r>
        <w:rPr>
          <w:rFonts w:eastAsia="inter" w:cs="inter" w:ascii="inter" w:hAnsi="inter"/>
          <w:color w:val="000000"/>
        </w:rPr>
        <w:t xml:space="preserve">Statistical cost function estimation using cross-sectional manufacturer data suggests:</w:t>
      </w:r>
    </w:p>
    <w:p>
      <w:pPr>
        <w:spacing w:line="360" w:after="210" w:lineRule="auto"/>
      </w:pPr>
      <w:r>
        <w:rPr>
          <w:rFonts w:eastAsia="inter" w:cs="inter" w:ascii="inter" w:hAnsi="inter"/>
          <w:b/>
          <w:color w:val="000000"/>
        </w:rPr>
        <w:t xml:space="preserve">ln(AC) = α + β × ln(Q) + ε</w:t>
      </w:r>
    </w:p>
    <w:p>
      <w:pPr>
        <w:spacing w:line="360" w:after="210" w:lineRule="auto"/>
      </w:pPr>
      <w:r>
        <w:rPr>
          <w:rFonts w:eastAsia="inter" w:cs="inter" w:ascii="inter" w:hAnsi="inter"/>
          <w:color w:val="000000"/>
        </w:rPr>
        <w:t xml:space="preserve">Where economies of scale exist if β &lt; 0 (costs decline with output), constant returns if β = 0, and diseconomies if β &gt; 0.</w:t>
      </w:r>
      <w:bookmarkStart w:id="405" w:name="fnref73_5"/>
      <w:bookmarkEnd w:id="405"/>
      <w:hyperlink w:anchor="fn73">
        <w:r>
          <w:rPr>
            <w:rFonts w:eastAsia="inter" w:cs="inter" w:ascii="inter" w:hAnsi="inter"/>
            <w:color w:val="#000"/>
            <w:u w:val="single"/>
            <w:vertAlign w:val="superscript"/>
          </w:rPr>
          <w:t xml:space="preserve">[73]</w:t>
        </w:r>
      </w:hyperlink>
      <w:bookmarkStart w:id="406" w:name="fnref77_2"/>
      <w:bookmarkEnd w:id="406"/>
      <w:hyperlink w:anchor="fn77">
        <w:r>
          <w:rPr>
            <w:rFonts w:eastAsia="inter" w:cs="inter" w:ascii="inter" w:hAnsi="inter"/>
            <w:color w:val="#000"/>
            <w:u w:val="single"/>
            <w:vertAlign w:val="superscript"/>
          </w:rPr>
          <w:t xml:space="preserve">[77]</w:t>
        </w:r>
      </w:hyperlink>
      <w:bookmarkStart w:id="407" w:name="fnref54_15"/>
      <w:bookmarkEnd w:id="407"/>
      <w:hyperlink w:anchor="fn54">
        <w:r>
          <w:rPr>
            <w:rFonts w:eastAsia="inter" w:cs="inter" w:ascii="inter" w:hAnsi="inter"/>
            <w:color w:val="#000"/>
            <w:u w:val="single"/>
            <w:vertAlign w:val="superscript"/>
          </w:rPr>
          <w:t xml:space="preserve">[54]</w:t>
        </w:r>
      </w:hyperlink>
    </w:p>
    <w:p>
      <w:pPr>
        <w:spacing w:line="360" w:after="210" w:lineRule="auto"/>
      </w:pPr>
      <w:r>
        <w:rPr>
          <w:rFonts w:eastAsia="inter" w:cs="inter" w:ascii="inter" w:hAnsi="inter"/>
          <w:color w:val="000000"/>
        </w:rPr>
        <w:t xml:space="preserve">Industry studies estimate β ≈ -0.25 to -0.35 for output ranges of 100,000-1.5 million units, indicating significant scale economies. This implies a doubling of output reduces average costs by approximately 16-25%.</w:t>
      </w:r>
      <w:bookmarkStart w:id="408" w:name="fnref54_16"/>
      <w:bookmarkEnd w:id="408"/>
      <w:hyperlink w:anchor="fn54">
        <w:r>
          <w:rPr>
            <w:rFonts w:eastAsia="inter" w:cs="inter" w:ascii="inter" w:hAnsi="inter"/>
            <w:color w:val="#000"/>
            <w:u w:val="single"/>
            <w:vertAlign w:val="superscript"/>
          </w:rPr>
          <w:t xml:space="preserve">[54]</w:t>
        </w:r>
      </w:hyperlink>
      <w:bookmarkStart w:id="409" w:name="fnref41_29"/>
      <w:bookmarkEnd w:id="409"/>
      <w:hyperlink w:anchor="fn41">
        <w:r>
          <w:rPr>
            <w:rFonts w:eastAsia="inter" w:cs="inter" w:ascii="inter" w:hAnsi="inter"/>
            <w:color w:val="#000"/>
            <w:u w:val="single"/>
            <w:vertAlign w:val="superscript"/>
          </w:rPr>
          <w:t xml:space="preserve">[41]</w:t>
        </w:r>
      </w:hyperlink>
    </w:p>
    <w:p>
      <w:pPr>
        <w:spacing w:line="360" w:after="210" w:lineRule="auto"/>
      </w:pPr>
      <w:r>
        <w:rPr>
          <w:rFonts w:eastAsia="inter" w:cs="inter" w:ascii="inter" w:hAnsi="inter"/>
          <w:color w:val="000000"/>
        </w:rPr>
        <w:t xml:space="preserve">The scale coefficient becomes closer to zero (β → -0.05) at volumes exceeding 2 million units, suggesting exhaustion of scale economies and potential onset of diseconomies.</w:t>
      </w:r>
      <w:bookmarkStart w:id="410" w:name="fnref54_17"/>
      <w:bookmarkEnd w:id="410"/>
      <w:hyperlink w:anchor="fn54">
        <w:r>
          <w:rPr>
            <w:rFonts w:eastAsia="inter" w:cs="inter" w:ascii="inter" w:hAnsi="inter"/>
            <w:color w:val="#000"/>
            <w:u w:val="single"/>
            <w:vertAlign w:val="superscript"/>
          </w:rPr>
          <w:t xml:space="preserve">[54]</w:t>
        </w:r>
      </w:hyperlink>
    </w:p>
    <w:p>
      <w:pPr>
        <w:spacing w:line="360" w:after="210" w:lineRule="auto"/>
      </w:pPr>
      <w:r>
        <w:rPr>
          <w:rFonts w:eastAsia="inter" w:cs="inter" w:ascii="inter" w:hAnsi="inter"/>
          <w:b/>
          <w:color w:val="000000"/>
        </w:rPr>
        <w:t xml:space="preserve">Implications for Market Structure</w:t>
      </w:r>
    </w:p>
    <w:p>
      <w:pPr>
        <w:spacing w:line="360" w:after="210" w:lineRule="auto"/>
      </w:pPr>
      <w:r>
        <w:rPr>
          <w:rFonts w:eastAsia="inter" w:cs="inter" w:ascii="inter" w:hAnsi="inter"/>
          <w:color w:val="000000"/>
        </w:rPr>
        <w:t xml:space="preserve">The presence of substantial economies of scale to MES of 600,000-800,000 units, combined with total market size, determines the number of efficient-scale firms the market can support:</w:t>
      </w:r>
      <w:bookmarkStart w:id="411" w:name="fnref30_2"/>
      <w:bookmarkEnd w:id="411"/>
      <w:hyperlink w:anchor="fn30">
        <w:r>
          <w:rPr>
            <w:rFonts w:eastAsia="inter" w:cs="inter" w:ascii="inter" w:hAnsi="inter"/>
            <w:color w:val="#000"/>
            <w:u w:val="single"/>
            <w:vertAlign w:val="superscript"/>
          </w:rPr>
          <w:t xml:space="preserve">[30]</w:t>
        </w:r>
      </w:hyperlink>
      <w:bookmarkStart w:id="412" w:name="fnref49_1"/>
      <w:bookmarkEnd w:id="412"/>
      <w:hyperlink w:anchor="fn49">
        <w:r>
          <w:rPr>
            <w:rFonts w:eastAsia="inter" w:cs="inter" w:ascii="inter" w:hAnsi="inter"/>
            <w:color w:val="#000"/>
            <w:u w:val="single"/>
            <w:vertAlign w:val="superscript"/>
          </w:rPr>
          <w:t xml:space="preserve">[49]</w:t>
        </w:r>
      </w:hyperlink>
    </w:p>
    <w:p>
      <w:pPr>
        <w:spacing w:line="360" w:after="210" w:lineRule="auto"/>
      </w:pPr>
      <w:r>
        <w:rPr>
          <w:rFonts w:eastAsia="inter" w:cs="inter" w:ascii="inter" w:hAnsi="inter"/>
          <w:i/>
          <w:color w:val="000000"/>
        </w:rPr>
        <w:t xml:space="preserve">N = Market Size / MES</w:t>
      </w:r>
      <w:r>
        <w:rPr>
          <w:rFonts w:eastAsia="inter" w:cs="inter" w:ascii="inter" w:hAnsi="inter"/>
          <w:color w:val="000000"/>
        </w:rPr>
        <w:t xml:space="preserve">*</w:t>
      </w:r>
    </w:p>
    <w:p>
      <w:pPr>
        <w:spacing w:line="360" w:after="210" w:lineRule="auto"/>
      </w:pPr>
      <w:r>
        <w:rPr>
          <w:rFonts w:eastAsia="inter" w:cs="inter" w:ascii="inter" w:hAnsi="inter"/>
          <w:color w:val="000000"/>
        </w:rPr>
        <w:t xml:space="preserve">For the global hair straightener brush market (approximately 1.2-1.5 million units annually):</w:t>
      </w:r>
      <w:bookmarkStart w:id="413" w:name="fnref5_4"/>
      <w:bookmarkEnd w:id="413"/>
      <w:hyperlink w:anchor="fn5">
        <w:r>
          <w:rPr>
            <w:rFonts w:eastAsia="inter" w:cs="inter" w:ascii="inter" w:hAnsi="inter"/>
            <w:color w:val="#000"/>
            <w:u w:val="single"/>
            <w:vertAlign w:val="superscript"/>
          </w:rPr>
          <w:t xml:space="preserve">[5]</w:t>
        </w:r>
      </w:hyperlink>
    </w:p>
    <w:p>
      <w:pPr>
        <w:spacing w:line="360" w:after="210" w:lineRule="auto"/>
      </w:pPr>
      <w:r>
        <w:rPr>
          <w:rFonts w:eastAsia="inter" w:cs="inter" w:ascii="inter" w:hAnsi="inter"/>
          <w:i/>
          <w:color w:val="000000"/>
        </w:rPr>
        <w:t xml:space="preserve">N = 1,400,000 / 700,000 ≈ 2 firms</w:t>
      </w:r>
      <w:r>
        <w:rPr>
          <w:rFonts w:eastAsia="inter" w:cs="inter" w:ascii="inter" w:hAnsi="inter"/>
          <w:color w:val="000000"/>
        </w:rPr>
        <w:t xml:space="preserve">*</w:t>
      </w:r>
    </w:p>
    <w:p>
      <w:pPr>
        <w:spacing w:line="360" w:after="210" w:lineRule="auto"/>
      </w:pPr>
      <w:r>
        <w:rPr>
          <w:rFonts w:eastAsia="inter" w:cs="inter" w:ascii="inter" w:hAnsi="inter"/>
          <w:color w:val="000000"/>
        </w:rPr>
        <w:t xml:space="preserve">However, product differentiation (price tiers, brand positioning, geographic markets) effectively expands the market size supporting additional competitors. Nonetheless, the scale economies create natural concentration tendencies, explaining why top-5 brands control 40-50% of revenues despite 100+ competing brands.</w:t>
      </w:r>
      <w:bookmarkStart w:id="414" w:name="fnref29_2"/>
      <w:bookmarkEnd w:id="414"/>
      <w:hyperlink w:anchor="fn29">
        <w:r>
          <w:rPr>
            <w:rFonts w:eastAsia="inter" w:cs="inter" w:ascii="inter" w:hAnsi="inter"/>
            <w:color w:val="#000"/>
            <w:u w:val="single"/>
            <w:vertAlign w:val="superscript"/>
          </w:rPr>
          <w:t xml:space="preserve">[29]</w:t>
        </w:r>
      </w:hyperlink>
      <w:bookmarkStart w:id="415" w:name="fnref15_12"/>
      <w:bookmarkEnd w:id="415"/>
      <w:hyperlink w:anchor="fn15">
        <w:r>
          <w:rPr>
            <w:rFonts w:eastAsia="inter" w:cs="inter" w:ascii="inter" w:hAnsi="inter"/>
            <w:color w:val="#000"/>
            <w:u w:val="single"/>
            <w:vertAlign w:val="superscript"/>
          </w:rPr>
          <w:t xml:space="preserve">[15]</w:t>
        </w:r>
      </w:hyperlink>
      <w:bookmarkStart w:id="416" w:name="fnref30_3"/>
      <w:bookmarkEnd w:id="416"/>
      <w:hyperlink w:anchor="fn30">
        <w:r>
          <w:rPr>
            <w:rFonts w:eastAsia="inter" w:cs="inter" w:ascii="inter" w:hAnsi="inter"/>
            <w:color w:val="#000"/>
            <w:u w:val="single"/>
            <w:vertAlign w:val="superscript"/>
          </w:rPr>
          <w:t xml:space="preserve">[30]</w:t>
        </w:r>
      </w:hyperlink>
    </w:p>
    <w:p>
      <w:pPr>
        <w:spacing w:line="360" w:after="210" w:lineRule="auto"/>
      </w:pPr>
      <w:r>
        <w:rPr>
          <w:rFonts w:eastAsia="inter" w:cs="inter" w:ascii="inter" w:hAnsi="inter"/>
          <w:color w:val="000000"/>
        </w:rPr>
        <w:t xml:space="preserve">For new entrants, scale disadvantages present formidable barriers. An entrant at 50,000 units annually faces costs 35-45% above established producers at MES, requiring either:</w:t>
      </w:r>
    </w:p>
    <w:p>
      <w:pPr>
        <w:numPr>
          <w:ilvl w:val="0"/>
          <w:numId w:val="36"/>
        </w:numPr>
        <w:spacing w:line="360" w:before="105" w:after="105" w:lineRule="auto"/>
      </w:pPr>
      <w:r>
        <w:rPr>
          <w:rFonts w:eastAsia="inter" w:cs="inter" w:ascii="inter" w:hAnsi="inter"/>
          <w:color w:val="000000"/>
          <w:sz w:val="21"/>
        </w:rPr>
        <w:t xml:space="preserve">Differentiation premiums justifying higher costs</w:t>
      </w:r>
      <w:bookmarkStart w:id="417" w:name="fnref52_3"/>
      <w:bookmarkEnd w:id="417"/>
      <w:hyperlink w:anchor="fn52">
        <w:r>
          <w:rPr>
            <w:rFonts w:eastAsia="inter" w:cs="inter" w:ascii="inter" w:hAnsi="inter"/>
            <w:color w:val="#000"/>
            <w:sz w:val="21"/>
            <w:u w:val="single"/>
            <w:vertAlign w:val="superscript"/>
          </w:rPr>
          <w:t xml:space="preserve">[52]</w:t>
        </w:r>
      </w:hyperlink>
      <w:bookmarkStart w:id="418" w:name="fnref15_13"/>
      <w:bookmarkEnd w:id="418"/>
      <w:hyperlink w:anchor="fn15">
        <w:r>
          <w:rPr>
            <w:rFonts w:eastAsia="inter" w:cs="inter" w:ascii="inter" w:hAnsi="inter"/>
            <w:color w:val="#000"/>
            <w:sz w:val="21"/>
            <w:u w:val="single"/>
            <w:vertAlign w:val="superscript"/>
          </w:rPr>
          <w:t xml:space="preserve">[15]</w:t>
        </w:r>
      </w:hyperlink>
    </w:p>
    <w:p>
      <w:pPr>
        <w:numPr>
          <w:ilvl w:val="0"/>
          <w:numId w:val="36"/>
        </w:numPr>
        <w:spacing w:line="360" w:before="105" w:after="105" w:lineRule="auto"/>
      </w:pPr>
      <w:r>
        <w:rPr>
          <w:rFonts w:eastAsia="inter" w:cs="inter" w:ascii="inter" w:hAnsi="inter"/>
          <w:color w:val="000000"/>
          <w:sz w:val="21"/>
        </w:rPr>
        <w:t xml:space="preserve">Initial losses while scaling to efficient size (requiring deep financial resources)</w:t>
      </w:r>
      <w:bookmarkStart w:id="419" w:name="fnref41_30"/>
      <w:bookmarkEnd w:id="419"/>
      <w:hyperlink w:anchor="fn41">
        <w:r>
          <w:rPr>
            <w:rFonts w:eastAsia="inter" w:cs="inter" w:ascii="inter" w:hAnsi="inter"/>
            <w:color w:val="#000"/>
            <w:sz w:val="21"/>
            <w:u w:val="single"/>
            <w:vertAlign w:val="superscript"/>
          </w:rPr>
          <w:t xml:space="preserve">[41]</w:t>
        </w:r>
      </w:hyperlink>
    </w:p>
    <w:p>
      <w:pPr>
        <w:numPr>
          <w:ilvl w:val="0"/>
          <w:numId w:val="36"/>
        </w:numPr>
        <w:spacing w:line="360" w:before="105" w:after="105" w:lineRule="auto"/>
      </w:pPr>
      <w:r>
        <w:rPr>
          <w:rFonts w:eastAsia="inter" w:cs="inter" w:ascii="inter" w:hAnsi="inter"/>
          <w:color w:val="000000"/>
          <w:sz w:val="21"/>
        </w:rPr>
        <w:t xml:space="preserve">Niche positioning in specialty segments (cordless, travel models) with distinct cost structures</w:t>
      </w:r>
      <w:bookmarkStart w:id="420" w:name="fnref78"/>
      <w:bookmarkEnd w:id="420"/>
      <w:hyperlink w:anchor="fn78">
        <w:r>
          <w:rPr>
            <w:rFonts w:eastAsia="inter" w:cs="inter" w:ascii="inter" w:hAnsi="inter"/>
            <w:color w:val="#000"/>
            <w:sz w:val="21"/>
            <w:u w:val="single"/>
            <w:vertAlign w:val="superscript"/>
          </w:rPr>
          <w:t xml:space="preserve">[78]</w:t>
        </w:r>
      </w:hyperlink>
      <w:bookmarkStart w:id="421" w:name="fnref15_14"/>
      <w:bookmarkEnd w:id="421"/>
      <w:hyperlink w:anchor="fn15">
        <w:r>
          <w:rPr>
            <w:rFonts w:eastAsia="inter" w:cs="inter" w:ascii="inter" w:hAnsi="inter"/>
            <w:color w:val="#000"/>
            <w:sz w:val="21"/>
            <w:u w:val="single"/>
            <w:vertAlign w:val="superscript"/>
          </w:rPr>
          <w:t xml:space="preserve">[15]</w:t>
        </w:r>
      </w:hyperlink>
    </w:p>
    <w:p>
      <w:pPr>
        <w:spacing w:line="360" w:after="210" w:lineRule="auto"/>
      </w:pPr>
      <w:r>
        <w:rPr>
          <w:rFonts w:eastAsia="inter" w:cs="inter" w:ascii="inter" w:hAnsi="inter"/>
          <w:color w:val="000000"/>
        </w:rPr>
        <w:t xml:space="preserve">These barriers protect incumbents' market positions and maintain oligopolistic market structure, as analyzed in Section 8.</w:t>
      </w:r>
    </w:p>
    <w:p>
      <w:pPr>
        <w:spacing w:line="360" w:after="210" w:lineRule="auto"/>
      </w:pPr>
      <w:r>
        <w:rPr>
          <w:rFonts w:eastAsia="inter" w:cs="inter" w:ascii="inter" w:hAnsi="inter"/>
          <w:color w:val="000000"/>
        </w:rPr>
        <w:t xml:space="preserve">The cost structure analysis demonstrates that hair straightening brush production exhibits characteristics favoring larger-scale operations through both technical and pecuniary economies. This shapes competitive dynamics, pricing behavior, and entry conditions analyzed in subsequent sections on market structure and pricing strategies.</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422" w:name="supply_chain_analysis"/>
      <w:r>
        <w:rPr>
          <w:rFonts w:eastAsia="inter" w:cs="inter" w:ascii="inter" w:hAnsi="inter"/>
          <w:b/>
          <w:color w:val="000000"/>
          <w:sz w:val="24"/>
        </w:rPr>
        <w:t xml:space="preserve">SUPPLY CHAIN ANALYSIS</w:t>
      </w:r>
      <w:bookmarkEnd w:id="422"/>
    </w:p>
    <w:p>
      <w:pPr>
        <w:spacing w:line="360" w:before="315" w:after="105" w:lineRule="auto"/>
        <w:ind w:left="-30"/>
        <w:jc w:val="left"/>
      </w:pPr>
      <w:bookmarkStart w:id="423" w:name="backend_supply_chain_component_so_91eda0"/>
      <w:r>
        <w:rPr>
          <w:rFonts w:eastAsia="inter" w:cs="inter" w:ascii="inter" w:hAnsi="inter"/>
          <w:b/>
          <w:color w:val="000000"/>
          <w:sz w:val="24"/>
        </w:rPr>
        <w:t xml:space="preserve">Backend Supply Chain: Component Sourcing to Assembly</w:t>
      </w:r>
      <w:bookmarkEnd w:id="423"/>
    </w:p>
    <w:p>
      <w:pPr>
        <w:spacing w:line="360" w:after="210" w:lineRule="auto"/>
      </w:pPr>
      <w:r>
        <w:rPr>
          <w:rFonts w:eastAsia="inter" w:cs="inter" w:ascii="inter" w:hAnsi="inter"/>
          <w:color w:val="000000"/>
        </w:rPr>
        <w:t xml:space="preserve">The hair straightener supply chain exemplifies global value chain fragmentation, where production stages occur across multiple geographic locations optimizing for factor costs and specialized capabilities. This vertical disintegration creates both efficiency gains and coordination challenges with microeconomic implications for transaction costs and supply chain resilience.</w:t>
      </w:r>
      <w:bookmarkStart w:id="424" w:name="fnref36_10"/>
      <w:bookmarkEnd w:id="424"/>
      <w:hyperlink w:anchor="fn36">
        <w:r>
          <w:rPr>
            <w:rFonts w:eastAsia="inter" w:cs="inter" w:ascii="inter" w:hAnsi="inter"/>
            <w:color w:val="#000"/>
            <w:u w:val="single"/>
            <w:vertAlign w:val="superscript"/>
          </w:rPr>
          <w:t xml:space="preserve">[36]</w:t>
        </w:r>
      </w:hyperlink>
      <w:bookmarkStart w:id="425" w:name="fnref37_25"/>
      <w:bookmarkEnd w:id="425"/>
      <w:hyperlink w:anchor="fn37">
        <w:r>
          <w:rPr>
            <w:rFonts w:eastAsia="inter" w:cs="inter" w:ascii="inter" w:hAnsi="inter"/>
            <w:color w:val="#000"/>
            <w:u w:val="single"/>
            <w:vertAlign w:val="superscript"/>
          </w:rPr>
          <w:t xml:space="preserve">[37]</w:t>
        </w:r>
      </w:hyperlink>
      <w:bookmarkStart w:id="426" w:name="fnref39_13"/>
      <w:bookmarkEnd w:id="426"/>
      <w:hyperlink w:anchor="fn39">
        <w:r>
          <w:rPr>
            <w:rFonts w:eastAsia="inter" w:cs="inter" w:ascii="inter" w:hAnsi="inter"/>
            <w:color w:val="#000"/>
            <w:u w:val="single"/>
            <w:vertAlign w:val="superscript"/>
          </w:rPr>
          <w:t xml:space="preserve">[39]</w:t>
        </w:r>
      </w:hyperlink>
    </w:p>
    <w:p>
      <w:pPr>
        <w:spacing w:line="360" w:after="210" w:lineRule="auto"/>
      </w:pPr>
      <w:r>
        <w:rPr>
          <w:rFonts w:eastAsia="inter" w:cs="inter" w:ascii="inter" w:hAnsi="inter"/>
          <w:b/>
          <w:color w:val="000000"/>
        </w:rPr>
        <w:t xml:space="preserve">Tier-3 Suppliers: Raw Material Extraction and Processing</w:t>
      </w:r>
    </w:p>
    <w:p>
      <w:pPr>
        <w:spacing w:line="360" w:after="210" w:lineRule="auto"/>
      </w:pPr>
      <w:r>
        <w:rPr>
          <w:rFonts w:eastAsia="inter" w:cs="inter" w:ascii="inter" w:hAnsi="inter"/>
          <w:color w:val="000000"/>
        </w:rPr>
        <w:t xml:space="preserve">The supply chain originates with commodity producers supplying basic materials:</w:t>
      </w:r>
    </w:p>
    <w:p>
      <w:pPr>
        <w:spacing w:line="360" w:after="210" w:lineRule="auto"/>
      </w:pPr>
      <w:r>
        <w:rPr>
          <w:rFonts w:eastAsia="inter" w:cs="inter" w:ascii="inter" w:hAnsi="inter"/>
          <w:i/>
          <w:color w:val="000000"/>
        </w:rPr>
        <w:t xml:space="preserve">Petrochemical feedstocks</w:t>
      </w:r>
      <w:r>
        <w:rPr>
          <w:rFonts w:eastAsia="inter" w:cs="inter" w:ascii="inter" w:hAnsi="inter"/>
          <w:color w:val="000000"/>
        </w:rPr>
        <w:t xml:space="preserve">: ABS and polycarbonate plastics derive from naphtha cracking and polymerization, concentrated in regions with petroleum refining infrastructure (Middle East, Southeast Asia, US Gulf Coast). These markets exhibit characteristics approaching perfect competition, with hundreds of producers and standardized products fungible across suppliers. Spot market pricing with high volatility (coefficient of variation 0.25-0.35) creates hedging incentives for downstream manufacturers.</w:t>
      </w:r>
      <w:bookmarkStart w:id="427" w:name="fnref39_14"/>
      <w:bookmarkEnd w:id="427"/>
      <w:hyperlink w:anchor="fn39">
        <w:r>
          <w:rPr>
            <w:rFonts w:eastAsia="inter" w:cs="inter" w:ascii="inter" w:hAnsi="inter"/>
            <w:color w:val="#000"/>
            <w:u w:val="single"/>
            <w:vertAlign w:val="superscript"/>
          </w:rPr>
          <w:t xml:space="preserve">[39]</w:t>
        </w:r>
      </w:hyperlink>
    </w:p>
    <w:p>
      <w:pPr>
        <w:spacing w:line="360" w:after="210" w:lineRule="auto"/>
      </w:pPr>
      <w:r>
        <w:rPr>
          <w:rFonts w:eastAsia="inter" w:cs="inter" w:ascii="inter" w:hAnsi="inter"/>
          <w:i/>
          <w:color w:val="000000"/>
        </w:rPr>
        <w:t xml:space="preserve">Metal extraction</w:t>
      </w:r>
      <w:r>
        <w:rPr>
          <w:rFonts w:eastAsia="inter" w:cs="inter" w:ascii="inter" w:hAnsi="inter"/>
          <w:color w:val="000000"/>
        </w:rPr>
        <w:t xml:space="preserve">: Aluminum production clusters near inexpensive electricity sources (hydropower in China, Canada, Norway) due to energy-intensive electrolysis processes. Titanium extraction and processing concentrate in China (55% global capacity), Russia (20%), and Japan (15%), creating oligopolistic supply structures with limited buyer alternatives.</w:t>
      </w:r>
      <w:bookmarkStart w:id="428" w:name="fnref39_15"/>
      <w:bookmarkEnd w:id="428"/>
      <w:hyperlink w:anchor="fn39">
        <w:r>
          <w:rPr>
            <w:rFonts w:eastAsia="inter" w:cs="inter" w:ascii="inter" w:hAnsi="inter"/>
            <w:color w:val="#000"/>
            <w:u w:val="single"/>
            <w:vertAlign w:val="superscript"/>
          </w:rPr>
          <w:t xml:space="preserve">[39]</w:t>
        </w:r>
      </w:hyperlink>
    </w:p>
    <w:p>
      <w:pPr>
        <w:spacing w:line="360" w:after="210" w:lineRule="auto"/>
      </w:pPr>
      <w:r>
        <w:rPr>
          <w:rFonts w:eastAsia="inter" w:cs="inter" w:ascii="inter" w:hAnsi="inter"/>
          <w:i/>
          <w:color w:val="000000"/>
        </w:rPr>
        <w:t xml:space="preserve">Ceramic precursors</w:t>
      </w:r>
      <w:r>
        <w:rPr>
          <w:rFonts w:eastAsia="inter" w:cs="inter" w:ascii="inter" w:hAnsi="inter"/>
          <w:color w:val="000000"/>
        </w:rPr>
        <w:t xml:space="preserve">: High-purity alumina and barium carbonate suppliers number approximately 30-40 globally, primarily in China, Germany, and Japan. This moderate concentration enables some pricing power but insufficient for sustained monopolistic markups given buyer multi-sourcing capabilities.</w:t>
      </w:r>
      <w:bookmarkStart w:id="429" w:name="fnref61_3"/>
      <w:bookmarkEnd w:id="429"/>
      <w:hyperlink w:anchor="fn61">
        <w:r>
          <w:rPr>
            <w:rFonts w:eastAsia="inter" w:cs="inter" w:ascii="inter" w:hAnsi="inter"/>
            <w:color w:val="#000"/>
            <w:u w:val="single"/>
            <w:vertAlign w:val="superscript"/>
          </w:rPr>
          <w:t xml:space="preserve">[61]</w:t>
        </w:r>
      </w:hyperlink>
    </w:p>
    <w:p>
      <w:pPr>
        <w:spacing w:line="360" w:after="210" w:lineRule="auto"/>
      </w:pPr>
      <w:r>
        <w:rPr>
          <w:rFonts w:eastAsia="inter" w:cs="inter" w:ascii="inter" w:hAnsi="inter"/>
          <w:b/>
          <w:color w:val="000000"/>
        </w:rPr>
        <w:t xml:space="preserve">Tier-2 Suppliers: Component Manufacturing</w:t>
      </w:r>
    </w:p>
    <w:p>
      <w:pPr>
        <w:spacing w:line="360" w:after="210" w:lineRule="auto"/>
      </w:pPr>
      <w:r>
        <w:rPr>
          <w:rFonts w:eastAsia="inter" w:cs="inter" w:ascii="inter" w:hAnsi="inter"/>
          <w:color w:val="000000"/>
        </w:rPr>
        <w:t xml:space="preserve">Specialized component manufacturers transform raw materials into hair straightener subassemblies:</w:t>
      </w:r>
    </w:p>
    <w:p>
      <w:pPr>
        <w:spacing w:line="360" w:after="210" w:lineRule="auto"/>
      </w:pPr>
      <w:r>
        <w:rPr>
          <w:rFonts w:eastAsia="inter" w:cs="inter" w:ascii="inter" w:hAnsi="inter"/>
          <w:i/>
          <w:color w:val="000000"/>
        </w:rPr>
        <w:t xml:space="preserve">Heating element fabricators</w:t>
      </w:r>
      <w:r>
        <w:rPr>
          <w:rFonts w:eastAsia="inter" w:cs="inter" w:ascii="inter" w:hAnsi="inter"/>
          <w:color w:val="000000"/>
        </w:rPr>
        <w:t xml:space="preserve">: Companies like Pelonis Technologies, DBK Group, and Minco specialize in PTC and ceramic heating elements. This segment demonstrates characteristics of monopolistic competition—moderate concentration (CR4 ≈ 35-40%) but differentiation on technical specifications, quality consistency, and co-development capabilities. Long-term relationships prevail, with 60-70% of purchasing through annually negotiated contracts rather than spot transactions. This relational contracting reduces transaction costs associated with specifying technical requirements and quality standards.</w:t>
      </w:r>
      <w:bookmarkStart w:id="430" w:name="fnref19_10"/>
      <w:bookmarkEnd w:id="430"/>
      <w:hyperlink w:anchor="fn19">
        <w:r>
          <w:rPr>
            <w:rFonts w:eastAsia="inter" w:cs="inter" w:ascii="inter" w:hAnsi="inter"/>
            <w:color w:val="#000"/>
            <w:u w:val="single"/>
            <w:vertAlign w:val="superscript"/>
          </w:rPr>
          <w:t xml:space="preserve">[19]</w:t>
        </w:r>
      </w:hyperlink>
      <w:bookmarkStart w:id="431" w:name="fnref50_3"/>
      <w:bookmarkEnd w:id="431"/>
      <w:hyperlink w:anchor="fn50">
        <w:r>
          <w:rPr>
            <w:rFonts w:eastAsia="inter" w:cs="inter" w:ascii="inter" w:hAnsi="inter"/>
            <w:color w:val="#000"/>
            <w:u w:val="single"/>
            <w:vertAlign w:val="superscript"/>
          </w:rPr>
          <w:t xml:space="preserve">[50]</w:t>
        </w:r>
      </w:hyperlink>
    </w:p>
    <w:p>
      <w:pPr>
        <w:spacing w:line="360" w:after="210" w:lineRule="auto"/>
      </w:pPr>
      <w:r>
        <w:rPr>
          <w:rFonts w:eastAsia="inter" w:cs="inter" w:ascii="inter" w:hAnsi="inter"/>
          <w:i/>
          <w:color w:val="000000"/>
        </w:rPr>
        <w:t xml:space="preserve">Plastic injection molders</w:t>
      </w:r>
      <w:r>
        <w:rPr>
          <w:rFonts w:eastAsia="inter" w:cs="inter" w:ascii="inter" w:hAnsi="inter"/>
          <w:color w:val="000000"/>
        </w:rPr>
        <w:t xml:space="preserve">: Highly competitive segment with 2,000+ global firms capable of producing housings to specification. Transaction costs favor spot market procurement or short-term contracts, with manufacturers frequently switching suppliers based on price quotes. However, tooling costs create switching costs: custom molds cost USD 15,000-50,000 and are non-transferable between molders, creating lock-in effects after initial tool investments.</w:t>
      </w:r>
      <w:bookmarkStart w:id="432" w:name="fnref34_26"/>
      <w:bookmarkEnd w:id="432"/>
      <w:hyperlink w:anchor="fn34">
        <w:r>
          <w:rPr>
            <w:rFonts w:eastAsia="inter" w:cs="inter" w:ascii="inter" w:hAnsi="inter"/>
            <w:color w:val="#000"/>
            <w:u w:val="single"/>
            <w:vertAlign w:val="superscript"/>
          </w:rPr>
          <w:t xml:space="preserve">[34]</w:t>
        </w:r>
      </w:hyperlink>
      <w:bookmarkStart w:id="433" w:name="fnref39_16"/>
      <w:bookmarkEnd w:id="433"/>
      <w:hyperlink w:anchor="fn39">
        <w:r>
          <w:rPr>
            <w:rFonts w:eastAsia="inter" w:cs="inter" w:ascii="inter" w:hAnsi="inter"/>
            <w:color w:val="#000"/>
            <w:u w:val="single"/>
            <w:vertAlign w:val="superscript"/>
          </w:rPr>
          <w:t xml:space="preserve">[39]</w:t>
        </w:r>
      </w:hyperlink>
    </w:p>
    <w:p>
      <w:pPr>
        <w:spacing w:line="360" w:after="210" w:lineRule="auto"/>
      </w:pPr>
      <w:r>
        <w:rPr>
          <w:rFonts w:eastAsia="inter" w:cs="inter" w:ascii="inter" w:hAnsi="inter"/>
          <w:i/>
          <w:color w:val="000000"/>
        </w:rPr>
        <w:t xml:space="preserve">Electronics contract manufacturers</w:t>
      </w:r>
      <w:r>
        <w:rPr>
          <w:rFonts w:eastAsia="inter" w:cs="inter" w:ascii="inter" w:hAnsi="inter"/>
          <w:color w:val="000000"/>
        </w:rPr>
        <w:t xml:space="preserve">: PCB assembly and component sourcing increasingly outsourced to Electronics Manufacturing Services (EMS) firms (Flex, Jabil, Foxconn). These providers achieve scale economies through multi-customer production, offering 20-30% cost advantages versus in-house electronics assembly for manufacturers below 1 million units annually. The EMS model illustrates specialization gains from vertical disintegration—contract manufacturers spread fixed capital costs across diverse product lines while brand companies focus on design and marketing.</w:t>
      </w:r>
      <w:bookmarkStart w:id="434" w:name="fnref41_31"/>
      <w:bookmarkEnd w:id="434"/>
      <w:hyperlink w:anchor="fn41">
        <w:r>
          <w:rPr>
            <w:rFonts w:eastAsia="inter" w:cs="inter" w:ascii="inter" w:hAnsi="inter"/>
            <w:color w:val="#000"/>
            <w:u w:val="single"/>
            <w:vertAlign w:val="superscript"/>
          </w:rPr>
          <w:t xml:space="preserve">[41]</w:t>
        </w:r>
      </w:hyperlink>
      <w:bookmarkStart w:id="435" w:name="fnref45_17"/>
      <w:bookmarkEnd w:id="435"/>
      <w:hyperlink w:anchor="fn45">
        <w:r>
          <w:rPr>
            <w:rFonts w:eastAsia="inter" w:cs="inter" w:ascii="inter" w:hAnsi="inter"/>
            <w:color w:val="#000"/>
            <w:u w:val="single"/>
            <w:vertAlign w:val="superscript"/>
          </w:rPr>
          <w:t xml:space="preserve">[45]</w:t>
        </w:r>
      </w:hyperlink>
    </w:p>
    <w:p>
      <w:pPr>
        <w:spacing w:line="360" w:after="210" w:lineRule="auto"/>
      </w:pPr>
      <w:r>
        <w:rPr>
          <w:rFonts w:eastAsia="inter" w:cs="inter" w:ascii="inter" w:hAnsi="inter"/>
          <w:b/>
          <w:color w:val="000000"/>
        </w:rPr>
        <w:t xml:space="preserve">Tier-1 Suppliers and Final Assembly</w:t>
      </w:r>
    </w:p>
    <w:p>
      <w:pPr>
        <w:spacing w:line="360" w:after="210" w:lineRule="auto"/>
      </w:pPr>
      <w:r>
        <w:rPr>
          <w:rFonts w:eastAsia="inter" w:cs="inter" w:ascii="inter" w:hAnsi="inter"/>
          <w:color w:val="000000"/>
        </w:rPr>
        <w:t xml:space="preserve">Final assembly occurs at OEM (Original Equipment Manufacturer) or contract manufacturer facilities, integrating Tier-2 components:</w:t>
      </w:r>
    </w:p>
    <w:p>
      <w:pPr>
        <w:spacing w:line="360" w:after="210" w:lineRule="auto"/>
      </w:pPr>
      <w:r>
        <w:rPr>
          <w:rFonts w:eastAsia="inter" w:cs="inter" w:ascii="inter" w:hAnsi="inter"/>
          <w:i/>
          <w:color w:val="000000"/>
        </w:rPr>
        <w:t xml:space="preserve">Vertical integration decisions</w:t>
      </w:r>
      <w:r>
        <w:rPr>
          <w:rFonts w:eastAsia="inter" w:cs="inter" w:ascii="inter" w:hAnsi="inter"/>
          <w:color w:val="000000"/>
        </w:rPr>
        <w:t xml:space="preserve">: Approximately 60% of hair straightener manufacturers utilize in-house final assembly while outsourcing component production. This configuration balances specialization benefits (sourcing components from efficient specialists) with control over quality-critical final assembly.</w:t>
      </w:r>
      <w:bookmarkStart w:id="436" w:name="fnref37_26"/>
      <w:bookmarkEnd w:id="436"/>
      <w:hyperlink w:anchor="fn37">
        <w:r>
          <w:rPr>
            <w:rFonts w:eastAsia="inter" w:cs="inter" w:ascii="inter" w:hAnsi="inter"/>
            <w:color w:val="#000"/>
            <w:u w:val="single"/>
            <w:vertAlign w:val="superscript"/>
          </w:rPr>
          <w:t xml:space="preserve">[37]</w:t>
        </w:r>
      </w:hyperlink>
      <w:bookmarkStart w:id="437" w:name="fnref36_11"/>
      <w:bookmarkEnd w:id="437"/>
      <w:hyperlink w:anchor="fn36">
        <w:r>
          <w:rPr>
            <w:rFonts w:eastAsia="inter" w:cs="inter" w:ascii="inter" w:hAnsi="inter"/>
            <w:color w:val="#000"/>
            <w:u w:val="single"/>
            <w:vertAlign w:val="superscript"/>
          </w:rPr>
          <w:t xml:space="preserve">[36]</w:t>
        </w:r>
      </w:hyperlink>
      <w:bookmarkStart w:id="438" w:name="fnref41_32"/>
      <w:bookmarkEnd w:id="438"/>
      <w:hyperlink w:anchor="fn41">
        <w:r>
          <w:rPr>
            <w:rFonts w:eastAsia="inter" w:cs="inter" w:ascii="inter" w:hAnsi="inter"/>
            <w:color w:val="#000"/>
            <w:u w:val="single"/>
            <w:vertAlign w:val="superscript"/>
          </w:rPr>
          <w:t xml:space="preserve">[41]</w:t>
        </w:r>
      </w:hyperlink>
    </w:p>
    <w:p>
      <w:pPr>
        <w:spacing w:line="360" w:after="210" w:lineRule="auto"/>
      </w:pPr>
      <w:r>
        <w:rPr>
          <w:rFonts w:eastAsia="inter" w:cs="inter" w:ascii="inter" w:hAnsi="inter"/>
          <w:i/>
          <w:color w:val="000000"/>
        </w:rPr>
        <w:t xml:space="preserve">Make-or-buy analysis</w:t>
      </w:r>
      <w:r>
        <w:rPr>
          <w:rFonts w:eastAsia="inter" w:cs="inter" w:ascii="inter" w:hAnsi="inter"/>
          <w:color w:val="000000"/>
        </w:rPr>
        <w:t xml:space="preserve">: Manufacturers compare transaction costs of market procurement versus integration costs of in-house production. For standardized components (plastics, generic electronics), market transactions minimize costs given competitive supply markets. For proprietary heating technologies (Dyson's specific airflow systems, GHD's heat control algorithms), vertical integration protects intellectual property and avoids hold-up problems where specialized suppliers could extract rents.</w:t>
      </w:r>
      <w:bookmarkStart w:id="439" w:name="fnref31_2"/>
      <w:bookmarkEnd w:id="439"/>
      <w:hyperlink w:anchor="fn31">
        <w:r>
          <w:rPr>
            <w:rFonts w:eastAsia="inter" w:cs="inter" w:ascii="inter" w:hAnsi="inter"/>
            <w:color w:val="#000"/>
            <w:u w:val="single"/>
            <w:vertAlign w:val="superscript"/>
          </w:rPr>
          <w:t xml:space="preserve">[31]</w:t>
        </w:r>
      </w:hyperlink>
      <w:bookmarkStart w:id="440" w:name="fnref79"/>
      <w:bookmarkEnd w:id="440"/>
      <w:hyperlink w:anchor="fn79">
        <w:r>
          <w:rPr>
            <w:rFonts w:eastAsia="inter" w:cs="inter" w:ascii="inter" w:hAnsi="inter"/>
            <w:color w:val="#000"/>
            <w:u w:val="single"/>
            <w:vertAlign w:val="superscript"/>
          </w:rPr>
          <w:t xml:space="preserve">[79]</w:t>
        </w:r>
      </w:hyperlink>
      <w:bookmarkStart w:id="441" w:name="fnref41_33"/>
      <w:bookmarkEnd w:id="441"/>
      <w:hyperlink w:anchor="fn41">
        <w:r>
          <w:rPr>
            <w:rFonts w:eastAsia="inter" w:cs="inter" w:ascii="inter" w:hAnsi="inter"/>
            <w:color w:val="#000"/>
            <w:u w:val="single"/>
            <w:vertAlign w:val="superscript"/>
          </w:rPr>
          <w:t xml:space="preserve">[41]</w:t>
        </w:r>
      </w:hyperlink>
      <w:bookmarkStart w:id="442" w:name="fnref39_17"/>
      <w:bookmarkEnd w:id="442"/>
      <w:hyperlink w:anchor="fn39">
        <w:r>
          <w:rPr>
            <w:rFonts w:eastAsia="inter" w:cs="inter" w:ascii="inter" w:hAnsi="inter"/>
            <w:color w:val="#000"/>
            <w:u w:val="single"/>
            <w:vertAlign w:val="superscript"/>
          </w:rPr>
          <w:t xml:space="preserve">[39]</w:t>
        </w:r>
      </w:hyperlink>
    </w:p>
    <w:p>
      <w:pPr>
        <w:spacing w:line="360" w:after="210" w:lineRule="auto"/>
      </w:pPr>
      <w:r>
        <w:rPr>
          <w:rFonts w:eastAsia="inter" w:cs="inter" w:ascii="inter" w:hAnsi="inter"/>
          <w:b/>
          <w:color w:val="000000"/>
        </w:rPr>
        <w:t xml:space="preserve">Supply Chain Coordination and Information Flows</w:t>
      </w:r>
    </w:p>
    <w:p>
      <w:pPr>
        <w:spacing w:line="360" w:after="210" w:lineRule="auto"/>
      </w:pPr>
      <w:r>
        <w:rPr>
          <w:rFonts w:eastAsia="inter" w:cs="inter" w:ascii="inter" w:hAnsi="inter"/>
          <w:color w:val="000000"/>
        </w:rPr>
        <w:t xml:space="preserve">Effective supply chain management requires coordinating inventories, production schedules, and quality standards across multiple autonomous firms:</w:t>
      </w:r>
      <w:bookmarkStart w:id="443" w:name="fnref36_12"/>
      <w:bookmarkEnd w:id="443"/>
      <w:hyperlink w:anchor="fn36">
        <w:r>
          <w:rPr>
            <w:rFonts w:eastAsia="inter" w:cs="inter" w:ascii="inter" w:hAnsi="inter"/>
            <w:color w:val="#000"/>
            <w:u w:val="single"/>
            <w:vertAlign w:val="superscript"/>
          </w:rPr>
          <w:t xml:space="preserve">[36]</w:t>
        </w:r>
      </w:hyperlink>
      <w:bookmarkStart w:id="444" w:name="fnref37_27"/>
      <w:bookmarkEnd w:id="444"/>
      <w:hyperlink w:anchor="fn37">
        <w:r>
          <w:rPr>
            <w:rFonts w:eastAsia="inter" w:cs="inter" w:ascii="inter" w:hAnsi="inter"/>
            <w:color w:val="#000"/>
            <w:u w:val="single"/>
            <w:vertAlign w:val="superscript"/>
          </w:rPr>
          <w:t xml:space="preserve">[37]</w:t>
        </w:r>
      </w:hyperlink>
    </w:p>
    <w:p>
      <w:pPr>
        <w:spacing w:line="360" w:after="210" w:lineRule="auto"/>
      </w:pPr>
      <w:r>
        <w:rPr>
          <w:rFonts w:eastAsia="inter" w:cs="inter" w:ascii="inter" w:hAnsi="inter"/>
          <w:i/>
          <w:color w:val="000000"/>
        </w:rPr>
        <w:t xml:space="preserve">Just-in-Time (JIT) systems</w:t>
      </w:r>
      <w:r>
        <w:rPr>
          <w:rFonts w:eastAsia="inter" w:cs="inter" w:ascii="inter" w:hAnsi="inter"/>
          <w:color w:val="000000"/>
        </w:rPr>
        <w:t xml:space="preserve">: Chinese manufacturers in Shenzhen leverage supplier proximity (30-50 km average distance) to minimize inventory holding. Components arrive 24-48 hours before assembly, reducing working capital requirements by 25-35% versus Western manufacturers holding 30-45 days inventory. This JIT capability reflects transaction-specific investments (supplier location clustering) creating mutual dependencies and relationship-specific value.</w:t>
      </w:r>
      <w:bookmarkStart w:id="445" w:name="fnref45_18"/>
      <w:bookmarkEnd w:id="445"/>
      <w:hyperlink w:anchor="fn45">
        <w:r>
          <w:rPr>
            <w:rFonts w:eastAsia="inter" w:cs="inter" w:ascii="inter" w:hAnsi="inter"/>
            <w:color w:val="#000"/>
            <w:u w:val="single"/>
            <w:vertAlign w:val="superscript"/>
          </w:rPr>
          <w:t xml:space="preserve">[45]</w:t>
        </w:r>
      </w:hyperlink>
      <w:bookmarkStart w:id="446" w:name="fnref36_13"/>
      <w:bookmarkEnd w:id="446"/>
      <w:hyperlink w:anchor="fn36">
        <w:r>
          <w:rPr>
            <w:rFonts w:eastAsia="inter" w:cs="inter" w:ascii="inter" w:hAnsi="inter"/>
            <w:color w:val="#000"/>
            <w:u w:val="single"/>
            <w:vertAlign w:val="superscript"/>
          </w:rPr>
          <w:t xml:space="preserve">[36]</w:t>
        </w:r>
      </w:hyperlink>
    </w:p>
    <w:p>
      <w:pPr>
        <w:spacing w:line="360" w:after="210" w:lineRule="auto"/>
      </w:pPr>
      <w:r>
        <w:rPr>
          <w:rFonts w:eastAsia="inter" w:cs="inter" w:ascii="inter" w:hAnsi="inter"/>
          <w:i/>
          <w:color w:val="000000"/>
        </w:rPr>
        <w:t xml:space="preserve">Supply chain integration technologies</w:t>
      </w:r>
      <w:r>
        <w:rPr>
          <w:rFonts w:eastAsia="inter" w:cs="inter" w:ascii="inter" w:hAnsi="inter"/>
          <w:color w:val="000000"/>
        </w:rPr>
        <w:t xml:space="preserve">: EDI (Electronic Data Interchange) and supplier portals enable real-time inventory visibility and automated replenishment. These IT investments exhibit network effects—each additional integrated supplier increases system value through improved coordination. However, integration costs create barriers to supplier switching, explaining observed supplier consolidation where manufacturers reduce supplier bases by 30-40% while deepening relationships with remaining partners.</w:t>
      </w:r>
      <w:bookmarkStart w:id="447" w:name="fnref37_28"/>
      <w:bookmarkEnd w:id="447"/>
      <w:hyperlink w:anchor="fn37">
        <w:r>
          <w:rPr>
            <w:rFonts w:eastAsia="inter" w:cs="inter" w:ascii="inter" w:hAnsi="inter"/>
            <w:color w:val="#000"/>
            <w:u w:val="single"/>
            <w:vertAlign w:val="superscript"/>
          </w:rPr>
          <w:t xml:space="preserve">[37]</w:t>
        </w:r>
      </w:hyperlink>
      <w:bookmarkStart w:id="448" w:name="fnref36_14"/>
      <w:bookmarkEnd w:id="448"/>
      <w:hyperlink w:anchor="fn36">
        <w:r>
          <w:rPr>
            <w:rFonts w:eastAsia="inter" w:cs="inter" w:ascii="inter" w:hAnsi="inter"/>
            <w:color w:val="#000"/>
            <w:u w:val="single"/>
            <w:vertAlign w:val="superscript"/>
          </w:rPr>
          <w:t xml:space="preserve">[36]</w:t>
        </w:r>
      </w:hyperlink>
    </w:p>
    <w:p>
      <w:pPr>
        <w:spacing w:line="360" w:after="210" w:lineRule="auto"/>
      </w:pPr>
      <w:r>
        <w:rPr>
          <w:rFonts w:eastAsia="inter" w:cs="inter" w:ascii="inter" w:hAnsi="inter"/>
          <w:i/>
          <w:color w:val="000000"/>
        </w:rPr>
        <w:t xml:space="preserve">Quality management across supply chains</w:t>
      </w:r>
      <w:r>
        <w:rPr>
          <w:rFonts w:eastAsia="inter" w:cs="inter" w:ascii="inter" w:hAnsi="inter"/>
          <w:color w:val="000000"/>
        </w:rPr>
        <w:t xml:space="preserve">: Defect rates accumulate across supply chain tiers. If each of 30 components has 1% defect rate, assembled product defect probability reaches 26% (assuming independence). Manufacturers employ several quality assurance mechanisms:</w:t>
      </w:r>
    </w:p>
    <w:p>
      <w:pPr>
        <w:numPr>
          <w:ilvl w:val="0"/>
          <w:numId w:val="37"/>
        </w:numPr>
        <w:spacing w:line="360" w:before="105" w:after="105" w:lineRule="auto"/>
      </w:pPr>
      <w:r>
        <w:rPr>
          <w:rFonts w:eastAsia="inter" w:cs="inter" w:ascii="inter" w:hAnsi="inter"/>
          <w:b/>
          <w:color w:val="000000"/>
          <w:sz w:val="21"/>
        </w:rPr>
        <w:t xml:space="preserve">Supplier qualification systems</w:t>
      </w:r>
      <w:r>
        <w:rPr>
          <w:rFonts w:eastAsia="inter" w:cs="inter" w:ascii="inter" w:hAnsi="inter"/>
          <w:color w:val="000000"/>
          <w:sz w:val="21"/>
        </w:rPr>
        <w:t xml:space="preserve">: Pre-approved vendor lists requiring capability audits and initial production validation</w:t>
      </w:r>
      <w:bookmarkStart w:id="449" w:name="fnref13_25"/>
      <w:bookmarkEnd w:id="449"/>
      <w:hyperlink w:anchor="fn13">
        <w:r>
          <w:rPr>
            <w:rFonts w:eastAsia="inter" w:cs="inter" w:ascii="inter" w:hAnsi="inter"/>
            <w:color w:val="#000"/>
            <w:sz w:val="21"/>
            <w:u w:val="single"/>
            <w:vertAlign w:val="superscript"/>
          </w:rPr>
          <w:t xml:space="preserve">[13]</w:t>
        </w:r>
      </w:hyperlink>
      <w:bookmarkStart w:id="450" w:name="fnref36_15"/>
      <w:bookmarkEnd w:id="450"/>
      <w:hyperlink w:anchor="fn36">
        <w:r>
          <w:rPr>
            <w:rFonts w:eastAsia="inter" w:cs="inter" w:ascii="inter" w:hAnsi="inter"/>
            <w:color w:val="#000"/>
            <w:sz w:val="21"/>
            <w:u w:val="single"/>
            <w:vertAlign w:val="superscript"/>
          </w:rPr>
          <w:t xml:space="preserve">[36]</w:t>
        </w:r>
      </w:hyperlink>
    </w:p>
    <w:p>
      <w:pPr>
        <w:numPr>
          <w:ilvl w:val="0"/>
          <w:numId w:val="37"/>
        </w:numPr>
        <w:spacing w:line="360" w:before="105" w:after="105" w:lineRule="auto"/>
      </w:pPr>
      <w:r>
        <w:rPr>
          <w:rFonts w:eastAsia="inter" w:cs="inter" w:ascii="inter" w:hAnsi="inter"/>
          <w:b/>
          <w:color w:val="000000"/>
          <w:sz w:val="21"/>
        </w:rPr>
        <w:t xml:space="preserve">Incoming inspection</w:t>
      </w:r>
      <w:r>
        <w:rPr>
          <w:rFonts w:eastAsia="inter" w:cs="inter" w:ascii="inter" w:hAnsi="inter"/>
          <w:color w:val="000000"/>
          <w:sz w:val="21"/>
        </w:rPr>
        <w:t xml:space="preserve">: Statistical sampling of component deliveries, catching 80-90% of defective batches before assembly</w:t>
      </w:r>
      <w:bookmarkStart w:id="451" w:name="fnref13_26"/>
      <w:bookmarkEnd w:id="451"/>
      <w:hyperlink w:anchor="fn13">
        <w:r>
          <w:rPr>
            <w:rFonts w:eastAsia="inter" w:cs="inter" w:ascii="inter" w:hAnsi="inter"/>
            <w:color w:val="#000"/>
            <w:sz w:val="21"/>
            <w:u w:val="single"/>
            <w:vertAlign w:val="superscript"/>
          </w:rPr>
          <w:t xml:space="preserve">[13]</w:t>
        </w:r>
      </w:hyperlink>
    </w:p>
    <w:p>
      <w:pPr>
        <w:numPr>
          <w:ilvl w:val="0"/>
          <w:numId w:val="37"/>
        </w:numPr>
        <w:spacing w:line="360" w:before="105" w:after="105" w:lineRule="auto"/>
      </w:pPr>
      <w:r>
        <w:rPr>
          <w:rFonts w:eastAsia="inter" w:cs="inter" w:ascii="inter" w:hAnsi="inter"/>
          <w:b/>
          <w:color w:val="000000"/>
          <w:sz w:val="21"/>
        </w:rPr>
        <w:t xml:space="preserve">Design for Manufacturing (DFM)</w:t>
      </w:r>
      <w:r>
        <w:rPr>
          <w:rFonts w:eastAsia="inter" w:cs="inter" w:ascii="inter" w:hAnsi="inter"/>
          <w:color w:val="000000"/>
          <w:sz w:val="21"/>
        </w:rPr>
        <w:t xml:space="preserve">: Collaborative component design reducing manufacturing complexity and defect likelihood</w:t>
      </w:r>
      <w:bookmarkStart w:id="452" w:name="fnref41_34"/>
      <w:bookmarkEnd w:id="452"/>
      <w:hyperlink w:anchor="fn41">
        <w:r>
          <w:rPr>
            <w:rFonts w:eastAsia="inter" w:cs="inter" w:ascii="inter" w:hAnsi="inter"/>
            <w:color w:val="#000"/>
            <w:sz w:val="21"/>
            <w:u w:val="single"/>
            <w:vertAlign w:val="superscript"/>
          </w:rPr>
          <w:t xml:space="preserve">[41]</w:t>
        </w:r>
      </w:hyperlink>
      <w:bookmarkStart w:id="453" w:name="fnref45_19"/>
      <w:bookmarkEnd w:id="453"/>
      <w:hyperlink w:anchor="fn45">
        <w:r>
          <w:rPr>
            <w:rFonts w:eastAsia="inter" w:cs="inter" w:ascii="inter" w:hAnsi="inter"/>
            <w:color w:val="#000"/>
            <w:sz w:val="21"/>
            <w:u w:val="single"/>
            <w:vertAlign w:val="superscript"/>
          </w:rPr>
          <w:t xml:space="preserve">[45]</w:t>
        </w:r>
      </w:hyperlink>
    </w:p>
    <w:p>
      <w:pPr>
        <w:spacing w:line="360" w:after="210" w:lineRule="auto"/>
      </w:pPr>
      <w:r>
        <w:rPr>
          <w:rFonts w:eastAsia="inter" w:cs="inter" w:ascii="inter" w:hAnsi="inter"/>
          <w:color w:val="000000"/>
        </w:rPr>
        <w:t xml:space="preserve">These quality coordination costs represent approximately 3-5% of procurement spending but reduce downstream warranty costs by 5-8% of revenues, justifying the expenditure through net cost reduction.</w:t>
      </w:r>
      <w:bookmarkStart w:id="454" w:name="fnref13_27"/>
      <w:bookmarkEnd w:id="454"/>
      <w:hyperlink w:anchor="fn13">
        <w:r>
          <w:rPr>
            <w:rFonts w:eastAsia="inter" w:cs="inter" w:ascii="inter" w:hAnsi="inter"/>
            <w:color w:val="#000"/>
            <w:u w:val="single"/>
            <w:vertAlign w:val="superscript"/>
          </w:rPr>
          <w:t xml:space="preserve">[13]</w:t>
        </w:r>
      </w:hyperlink>
      <w:bookmarkStart w:id="455" w:name="fnref36_16"/>
      <w:bookmarkEnd w:id="455"/>
      <w:hyperlink w:anchor="fn36">
        <w:r>
          <w:rPr>
            <w:rFonts w:eastAsia="inter" w:cs="inter" w:ascii="inter" w:hAnsi="inter"/>
            <w:color w:val="#000"/>
            <w:u w:val="single"/>
            <w:vertAlign w:val="superscript"/>
          </w:rPr>
          <w:t xml:space="preserve">[36]</w:t>
        </w:r>
      </w:hyperlink>
    </w:p>
    <w:p>
      <w:pPr>
        <w:spacing w:line="360" w:before="315" w:after="105" w:lineRule="auto"/>
        <w:ind w:left="-30"/>
        <w:jc w:val="left"/>
      </w:pPr>
      <w:bookmarkStart w:id="456" w:name="distribution_networks_wholesale_r_95a0c6"/>
      <w:r>
        <w:rPr>
          <w:rFonts w:eastAsia="inter" w:cs="inter" w:ascii="inter" w:hAnsi="inter"/>
          <w:b/>
          <w:color w:val="000000"/>
          <w:sz w:val="24"/>
        </w:rPr>
        <w:t xml:space="preserve">Distribution Networks: Wholesale, Retail, and E-commerce Channels</w:t>
      </w:r>
      <w:bookmarkEnd w:id="456"/>
    </w:p>
    <w:p>
      <w:pPr>
        <w:spacing w:line="360" w:after="210" w:lineRule="auto"/>
      </w:pPr>
      <w:r>
        <w:rPr>
          <w:rFonts w:eastAsia="inter" w:cs="inter" w:ascii="inter" w:hAnsi="inter"/>
          <w:color w:val="000000"/>
        </w:rPr>
        <w:t xml:space="preserve">The distribution of hair straighteners from manufacturers to end consumers involves multiple channel structures with distinct economic characteristics.</w:t>
      </w:r>
      <w:bookmarkStart w:id="457" w:name="fnref24_8"/>
      <w:bookmarkEnd w:id="457"/>
      <w:hyperlink w:anchor="fn24">
        <w:r>
          <w:rPr>
            <w:rFonts w:eastAsia="inter" w:cs="inter" w:ascii="inter" w:hAnsi="inter"/>
            <w:color w:val="#000"/>
            <w:u w:val="single"/>
            <w:vertAlign w:val="superscript"/>
          </w:rPr>
          <w:t xml:space="preserve">[24]</w:t>
        </w:r>
      </w:hyperlink>
      <w:bookmarkStart w:id="458" w:name="fnref80"/>
      <w:bookmarkEnd w:id="458"/>
      <w:hyperlink w:anchor="fn80">
        <w:r>
          <w:rPr>
            <w:rFonts w:eastAsia="inter" w:cs="inter" w:ascii="inter" w:hAnsi="inter"/>
            <w:color w:val="#000"/>
            <w:u w:val="single"/>
            <w:vertAlign w:val="superscript"/>
          </w:rPr>
          <w:t xml:space="preserve">[80]</w:t>
        </w:r>
      </w:hyperlink>
      <w:bookmarkStart w:id="459" w:name="fnref15_15"/>
      <w:bookmarkEnd w:id="459"/>
      <w:hyperlink w:anchor="fn15">
        <w:r>
          <w:rPr>
            <w:rFonts w:eastAsia="inter" w:cs="inter" w:ascii="inter" w:hAnsi="inter"/>
            <w:color w:val="#000"/>
            <w:u w:val="single"/>
            <w:vertAlign w:val="superscript"/>
          </w:rPr>
          <w:t xml:space="preserve">[15]</w:t>
        </w:r>
      </w:hyperlink>
    </w:p>
    <w:p>
      <w:pPr>
        <w:spacing w:line="360" w:after="210" w:lineRule="auto"/>
      </w:pPr>
      <w:r>
        <w:rPr>
          <w:rFonts w:eastAsia="inter" w:cs="inter" w:ascii="inter" w:hAnsi="inter"/>
          <w:b/>
          <w:color w:val="000000"/>
        </w:rPr>
        <w:t xml:space="preserve">Traditional Wholesale-Retail Channel</w:t>
      </w:r>
    </w:p>
    <w:p>
      <w:pPr>
        <w:spacing w:line="360" w:after="210" w:lineRule="auto"/>
      </w:pPr>
      <w:r>
        <w:rPr>
          <w:rFonts w:eastAsia="inter" w:cs="inter" w:ascii="inter" w:hAnsi="inter"/>
          <w:color w:val="000000"/>
        </w:rPr>
        <w:t xml:space="preserve">Historically dominant, wholesale distribution features:</w:t>
      </w:r>
    </w:p>
    <w:p>
      <w:pPr>
        <w:spacing w:line="360" w:after="210" w:lineRule="auto"/>
      </w:pPr>
      <w:r>
        <w:rPr>
          <w:rFonts w:eastAsia="inter" w:cs="inter" w:ascii="inter" w:hAnsi="inter"/>
          <w:i/>
          <w:color w:val="000000"/>
        </w:rPr>
        <w:t xml:space="preserve">Manufacturer → Distributor/Wholesaler → Retailer → Consumer</w:t>
      </w:r>
    </w:p>
    <w:p>
      <w:pPr>
        <w:spacing w:line="360" w:after="210" w:lineRule="auto"/>
      </w:pPr>
      <w:r>
        <w:rPr>
          <w:rFonts w:eastAsia="inter" w:cs="inter" w:ascii="inter" w:hAnsi="inter"/>
          <w:color w:val="000000"/>
        </w:rPr>
        <w:t xml:space="preserve">Each intermediary adds margin:</w:t>
      </w:r>
    </w:p>
    <w:p>
      <w:pPr>
        <w:numPr>
          <w:ilvl w:val="0"/>
          <w:numId w:val="38"/>
        </w:numPr>
        <w:spacing w:line="360" w:before="105" w:after="105" w:lineRule="auto"/>
      </w:pPr>
      <w:r>
        <w:rPr>
          <w:rFonts w:eastAsia="inter" w:cs="inter" w:ascii="inter" w:hAnsi="inter"/>
          <w:color w:val="000000"/>
          <w:sz w:val="21"/>
        </w:rPr>
        <w:t xml:space="preserve">Manufacturer ex-factory price: 100% (baseline)</w:t>
      </w:r>
    </w:p>
    <w:p>
      <w:pPr>
        <w:numPr>
          <w:ilvl w:val="0"/>
          <w:numId w:val="38"/>
        </w:numPr>
        <w:spacing w:line="360" w:before="105" w:after="105" w:lineRule="auto"/>
      </w:pPr>
      <w:r>
        <w:rPr>
          <w:rFonts w:eastAsia="inter" w:cs="inter" w:ascii="inter" w:hAnsi="inter"/>
          <w:color w:val="000000"/>
          <w:sz w:val="21"/>
        </w:rPr>
        <w:t xml:space="preserve">Distributor markup: 15-25% → 115-125% of factory price</w:t>
      </w:r>
    </w:p>
    <w:p>
      <w:pPr>
        <w:numPr>
          <w:ilvl w:val="0"/>
          <w:numId w:val="38"/>
        </w:numPr>
        <w:spacing w:line="360" w:before="105" w:after="105" w:lineRule="auto"/>
      </w:pPr>
      <w:r>
        <w:rPr>
          <w:rFonts w:eastAsia="inter" w:cs="inter" w:ascii="inter" w:hAnsi="inter"/>
          <w:color w:val="000000"/>
          <w:sz w:val="21"/>
        </w:rPr>
        <w:t xml:space="preserve">Retailer markup: 40-60% → 161-200% of factory price</w:t>
      </w:r>
    </w:p>
    <w:p>
      <w:pPr>
        <w:spacing w:line="360" w:after="210" w:lineRule="auto"/>
      </w:pPr>
      <w:r>
        <w:rPr>
          <w:rFonts w:eastAsia="inter" w:cs="inter" w:ascii="inter" w:hAnsi="inter"/>
          <w:color w:val="000000"/>
        </w:rPr>
        <w:t xml:space="preserve">A product with USD 15 factory cost thus retails at USD 24-30 through traditional channels.</w:t>
      </w:r>
      <w:bookmarkStart w:id="460" w:name="fnref15_16"/>
      <w:bookmarkEnd w:id="460"/>
      <w:hyperlink w:anchor="fn15">
        <w:r>
          <w:rPr>
            <w:rFonts w:eastAsia="inter" w:cs="inter" w:ascii="inter" w:hAnsi="inter"/>
            <w:color w:val="#000"/>
            <w:u w:val="single"/>
            <w:vertAlign w:val="superscript"/>
          </w:rPr>
          <w:t xml:space="preserve">[15]</w:t>
        </w:r>
      </w:hyperlink>
    </w:p>
    <w:p>
      <w:pPr>
        <w:spacing w:line="360" w:after="210" w:lineRule="auto"/>
      </w:pPr>
      <w:r>
        <w:rPr>
          <w:rFonts w:eastAsia="inter" w:cs="inter" w:ascii="inter" w:hAnsi="inter"/>
          <w:color w:val="000000"/>
        </w:rPr>
        <w:t xml:space="preserve">Economic rationale for intermediaries includes:</w:t>
      </w:r>
    </w:p>
    <w:p>
      <w:pPr>
        <w:spacing w:line="360" w:after="210" w:lineRule="auto"/>
      </w:pPr>
      <w:r>
        <w:rPr>
          <w:rFonts w:eastAsia="inter" w:cs="inter" w:ascii="inter" w:hAnsi="inter"/>
          <w:i/>
          <w:color w:val="000000"/>
        </w:rPr>
        <w:t xml:space="preserve">Inventory holding</w:t>
      </w:r>
      <w:r>
        <w:rPr>
          <w:rFonts w:eastAsia="inter" w:cs="inter" w:ascii="inter" w:hAnsi="inter"/>
          <w:color w:val="000000"/>
        </w:rPr>
        <w:t xml:space="preserve">: Distributors warehouse goods, reducing manufacturer inventory costs and enabling production smoothing. This division of functions reflects comparative advantages—manufacturers in production efficiency, distributors in logistics and regional market knowledge.</w:t>
      </w:r>
      <w:bookmarkStart w:id="461" w:name="fnref15_17"/>
      <w:bookmarkEnd w:id="461"/>
      <w:hyperlink w:anchor="fn15">
        <w:r>
          <w:rPr>
            <w:rFonts w:eastAsia="inter" w:cs="inter" w:ascii="inter" w:hAnsi="inter"/>
            <w:color w:val="#000"/>
            <w:u w:val="single"/>
            <w:vertAlign w:val="superscript"/>
          </w:rPr>
          <w:t xml:space="preserve">[15]</w:t>
        </w:r>
      </w:hyperlink>
    </w:p>
    <w:p>
      <w:pPr>
        <w:spacing w:line="360" w:after="210" w:lineRule="auto"/>
      </w:pPr>
      <w:r>
        <w:rPr>
          <w:rFonts w:eastAsia="inter" w:cs="inter" w:ascii="inter" w:hAnsi="inter"/>
          <w:i/>
          <w:color w:val="000000"/>
        </w:rPr>
        <w:t xml:space="preserve">Assortment creation</w:t>
      </w:r>
      <w:r>
        <w:rPr>
          <w:rFonts w:eastAsia="inter" w:cs="inter" w:ascii="inter" w:hAnsi="inter"/>
          <w:color w:val="000000"/>
        </w:rPr>
        <w:t xml:space="preserve">: Retailers aggregate products from multiple manufacturers, reducing consumer search costs. A retailer stocking 15 straightener brands enables single-location comparison shopping versus visiting separate brand stores.</w:t>
      </w:r>
      <w:bookmarkStart w:id="462" w:name="fnref15_18"/>
      <w:bookmarkEnd w:id="462"/>
      <w:hyperlink w:anchor="fn15">
        <w:r>
          <w:rPr>
            <w:rFonts w:eastAsia="inter" w:cs="inter" w:ascii="inter" w:hAnsi="inter"/>
            <w:color w:val="#000"/>
            <w:u w:val="single"/>
            <w:vertAlign w:val="superscript"/>
          </w:rPr>
          <w:t xml:space="preserve">[15]</w:t>
        </w:r>
      </w:hyperlink>
    </w:p>
    <w:p>
      <w:pPr>
        <w:spacing w:line="360" w:after="210" w:lineRule="auto"/>
      </w:pPr>
      <w:r>
        <w:rPr>
          <w:rFonts w:eastAsia="inter" w:cs="inter" w:ascii="inter" w:hAnsi="inter"/>
          <w:i/>
          <w:color w:val="000000"/>
        </w:rPr>
        <w:t xml:space="preserve">Geographic reach</w:t>
      </w:r>
      <w:r>
        <w:rPr>
          <w:rFonts w:eastAsia="inter" w:cs="inter" w:ascii="inter" w:hAnsi="inter"/>
          <w:color w:val="000000"/>
        </w:rPr>
        <w:t xml:space="preserve">: Distributors maintain sales relationships with thousands of retailers, achieving coverage infeasible for individual manufacturers. This creates economies of scope in distribution.</w:t>
      </w:r>
      <w:bookmarkStart w:id="463" w:name="fnref15_19"/>
      <w:bookmarkEnd w:id="463"/>
      <w:hyperlink w:anchor="fn15">
        <w:r>
          <w:rPr>
            <w:rFonts w:eastAsia="inter" w:cs="inter" w:ascii="inter" w:hAnsi="inter"/>
            <w:color w:val="#000"/>
            <w:u w:val="single"/>
            <w:vertAlign w:val="superscript"/>
          </w:rPr>
          <w:t xml:space="preserve">[15]</w:t>
        </w:r>
      </w:hyperlink>
    </w:p>
    <w:p>
      <w:pPr>
        <w:spacing w:line="360" w:after="210" w:lineRule="auto"/>
      </w:pPr>
      <w:r>
        <w:rPr>
          <w:rFonts w:eastAsia="inter" w:cs="inter" w:ascii="inter" w:hAnsi="inter"/>
          <w:color w:val="000000"/>
        </w:rPr>
        <w:t xml:space="preserve">However, traditional channels face disintermediation pressures from e-commerce, as subsequent sections detail.</w:t>
      </w:r>
    </w:p>
    <w:p>
      <w:pPr>
        <w:spacing w:line="360" w:after="210" w:lineRule="auto"/>
      </w:pPr>
      <w:r>
        <w:rPr>
          <w:rFonts w:eastAsia="inter" w:cs="inter" w:ascii="inter" w:hAnsi="inter"/>
          <w:b/>
          <w:color w:val="000000"/>
        </w:rPr>
        <w:t xml:space="preserve">E-commerce Channels: Economics of Digital Distribution</w:t>
      </w:r>
    </w:p>
    <w:p>
      <w:pPr>
        <w:spacing w:line="360" w:after="210" w:lineRule="auto"/>
      </w:pPr>
      <w:r>
        <w:rPr>
          <w:rFonts w:eastAsia="inter" w:cs="inter" w:ascii="inter" w:hAnsi="inter"/>
          <w:color w:val="000000"/>
        </w:rPr>
        <w:t xml:space="preserve">Online sales channels have captured 55-60% of hair straightener revenues in developed markets and 58% in India by 2024, driven by superior economic efficiency:</w:t>
      </w:r>
      <w:bookmarkStart w:id="464" w:name="fnref24_9"/>
      <w:bookmarkEnd w:id="464"/>
      <w:hyperlink w:anchor="fn24">
        <w:r>
          <w:rPr>
            <w:rFonts w:eastAsia="inter" w:cs="inter" w:ascii="inter" w:hAnsi="inter"/>
            <w:color w:val="#000"/>
            <w:u w:val="single"/>
            <w:vertAlign w:val="superscript"/>
          </w:rPr>
          <w:t xml:space="preserve">[24]</w:t>
        </w:r>
      </w:hyperlink>
      <w:bookmarkStart w:id="465" w:name="fnref15_20"/>
      <w:bookmarkEnd w:id="465"/>
      <w:hyperlink w:anchor="fn15">
        <w:r>
          <w:rPr>
            <w:rFonts w:eastAsia="inter" w:cs="inter" w:ascii="inter" w:hAnsi="inter"/>
            <w:color w:val="#000"/>
            <w:u w:val="single"/>
            <w:vertAlign w:val="superscript"/>
          </w:rPr>
          <w:t xml:space="preserve">[15]</w:t>
        </w:r>
      </w:hyperlink>
    </w:p>
    <w:p>
      <w:pPr>
        <w:spacing w:lineRule="auto"/>
      </w:pPr>
      <w:r>
        <w:rPr/>
        <w:t xml:space="preserve"/>
      </w:r>
    </w:p>
    <w:p>
      <w:pPr>
        <w:spacing w:line="360" w:after="210" w:lineRule="auto"/>
      </w:pPr>
      <w:r>
        <w:rPr>
          <w:rFonts w:eastAsia="inter" w:cs="inter" w:ascii="inter" w:hAnsi="inter"/>
          <w:color w:val="000000"/>
        </w:rPr>
        <w:t xml:space="preserve">E-commerce dominates India's hair straightener distribution with 58% market share, reflecting the digital transformation of consumer electronics retail and the success of platforms like Amazon, Flipkart, and Nykaa in reaching tier-2 and tier-3 cities.</w:t>
      </w:r>
    </w:p>
    <w:p>
      <w:pPr>
        <w:spacing w:line="360" w:after="210" w:lineRule="auto"/>
      </w:pPr>
      <w:r>
        <w:rPr>
          <w:rFonts w:eastAsia="inter" w:cs="inter" w:ascii="inter" w:hAnsi="inter"/>
          <w:i/>
          <w:color w:val="000000"/>
        </w:rPr>
        <w:t xml:space="preserve">Cost structure advantages</w:t>
      </w:r>
      <w:r>
        <w:rPr>
          <w:rFonts w:eastAsia="inter" w:cs="inter" w:ascii="inter" w:hAnsi="inter"/>
          <w:color w:val="000000"/>
        </w:rPr>
        <w:t xml:space="preserve">:</w:t>
      </w:r>
    </w:p>
    <w:p>
      <w:pPr>
        <w:numPr>
          <w:ilvl w:val="0"/>
          <w:numId w:val="39"/>
        </w:numPr>
        <w:spacing w:line="360" w:before="105" w:after="105" w:lineRule="auto"/>
      </w:pPr>
      <w:r>
        <w:rPr>
          <w:rFonts w:eastAsia="inter" w:cs="inter" w:ascii="inter" w:hAnsi="inter"/>
          <w:color w:val="000000"/>
          <w:sz w:val="21"/>
        </w:rPr>
        <w:t xml:space="preserve">Eliminated retail rent and personnel costs (15-25% of traditional retail costs)</w:t>
      </w:r>
      <w:bookmarkStart w:id="466" w:name="fnref15_21"/>
      <w:bookmarkEnd w:id="466"/>
      <w:hyperlink w:anchor="fn15">
        <w:r>
          <w:rPr>
            <w:rFonts w:eastAsia="inter" w:cs="inter" w:ascii="inter" w:hAnsi="inter"/>
            <w:color w:val="#000"/>
            <w:sz w:val="21"/>
            <w:u w:val="single"/>
            <w:vertAlign w:val="superscript"/>
          </w:rPr>
          <w:t xml:space="preserve">[15]</w:t>
        </w:r>
      </w:hyperlink>
    </w:p>
    <w:p>
      <w:pPr>
        <w:numPr>
          <w:ilvl w:val="0"/>
          <w:numId w:val="39"/>
        </w:numPr>
        <w:spacing w:line="360" w:before="105" w:after="105" w:lineRule="auto"/>
      </w:pPr>
      <w:r>
        <w:rPr>
          <w:rFonts w:eastAsia="inter" w:cs="inter" w:ascii="inter" w:hAnsi="inter"/>
          <w:color w:val="000000"/>
          <w:sz w:val="21"/>
        </w:rPr>
        <w:t xml:space="preserve">Centralized warehousing versus store-level inventory (8-12% cost reduction)</w:t>
      </w:r>
      <w:bookmarkStart w:id="467" w:name="fnref15_22"/>
      <w:bookmarkEnd w:id="467"/>
      <w:hyperlink w:anchor="fn15">
        <w:r>
          <w:rPr>
            <w:rFonts w:eastAsia="inter" w:cs="inter" w:ascii="inter" w:hAnsi="inter"/>
            <w:color w:val="#000"/>
            <w:sz w:val="21"/>
            <w:u w:val="single"/>
            <w:vertAlign w:val="superscript"/>
          </w:rPr>
          <w:t xml:space="preserve">[15]</w:t>
        </w:r>
      </w:hyperlink>
    </w:p>
    <w:p>
      <w:pPr>
        <w:numPr>
          <w:ilvl w:val="0"/>
          <w:numId w:val="39"/>
        </w:numPr>
        <w:spacing w:line="360" w:before="105" w:after="105" w:lineRule="auto"/>
      </w:pPr>
      <w:r>
        <w:rPr>
          <w:rFonts w:eastAsia="inter" w:cs="inter" w:ascii="inter" w:hAnsi="inter"/>
          <w:color w:val="000000"/>
          <w:sz w:val="21"/>
        </w:rPr>
        <w:t xml:space="preserve">Reduced assortment costs—digital shelf space costless to expand</w:t>
      </w:r>
      <w:bookmarkStart w:id="468" w:name="fnref15_23"/>
      <w:bookmarkEnd w:id="468"/>
      <w:hyperlink w:anchor="fn15">
        <w:r>
          <w:rPr>
            <w:rFonts w:eastAsia="inter" w:cs="inter" w:ascii="inter" w:hAnsi="inter"/>
            <w:color w:val="#000"/>
            <w:sz w:val="21"/>
            <w:u w:val="single"/>
            <w:vertAlign w:val="superscript"/>
          </w:rPr>
          <w:t xml:space="preserve">[15]</w:t>
        </w:r>
      </w:hyperlink>
    </w:p>
    <w:p>
      <w:pPr>
        <w:numPr>
          <w:ilvl w:val="0"/>
          <w:numId w:val="39"/>
        </w:numPr>
        <w:spacing w:line="360" w:before="105" w:after="105" w:lineRule="auto"/>
      </w:pPr>
      <w:r>
        <w:rPr>
          <w:rFonts w:eastAsia="inter" w:cs="inter" w:ascii="inter" w:hAnsi="inter"/>
          <w:color w:val="000000"/>
          <w:sz w:val="21"/>
        </w:rPr>
        <w:t xml:space="preserve">Direct consumer access reduces channel intermediaries and margins</w:t>
      </w:r>
      <w:bookmarkStart w:id="469" w:name="fnref15_24"/>
      <w:bookmarkEnd w:id="469"/>
      <w:hyperlink w:anchor="fn15">
        <w:r>
          <w:rPr>
            <w:rFonts w:eastAsia="inter" w:cs="inter" w:ascii="inter" w:hAnsi="inter"/>
            <w:color w:val="#000"/>
            <w:sz w:val="21"/>
            <w:u w:val="single"/>
            <w:vertAlign w:val="superscript"/>
          </w:rPr>
          <w:t xml:space="preserve">[15]</w:t>
        </w:r>
      </w:hyperlink>
    </w:p>
    <w:p>
      <w:pPr>
        <w:spacing w:line="360" w:after="210" w:lineRule="auto"/>
      </w:pPr>
      <w:r>
        <w:rPr>
          <w:rFonts w:eastAsia="inter" w:cs="inter" w:ascii="inter" w:hAnsi="inter"/>
          <w:color w:val="000000"/>
        </w:rPr>
        <w:t xml:space="preserve">These efficiencies enable e-retailers to offer 10-20% lower prices while maintaining comparable margins, a classic example of how technology reduces transaction costs and enables Pareto improvements (consumers pay less, e-retailers earn similar profits).</w:t>
      </w:r>
      <w:bookmarkStart w:id="470" w:name="fnref15_25"/>
      <w:bookmarkEnd w:id="470"/>
      <w:hyperlink w:anchor="fn15">
        <w:r>
          <w:rPr>
            <w:rFonts w:eastAsia="inter" w:cs="inter" w:ascii="inter" w:hAnsi="inter"/>
            <w:color w:val="#000"/>
            <w:u w:val="single"/>
            <w:vertAlign w:val="superscript"/>
          </w:rPr>
          <w:t xml:space="preserve">[15]</w:t>
        </w:r>
      </w:hyperlink>
    </w:p>
    <w:p>
      <w:pPr>
        <w:spacing w:line="360" w:after="210" w:lineRule="auto"/>
      </w:pPr>
      <w:r>
        <w:rPr>
          <w:rFonts w:eastAsia="inter" w:cs="inter" w:ascii="inter" w:hAnsi="inter"/>
          <w:i/>
          <w:color w:val="000000"/>
        </w:rPr>
        <w:t xml:space="preserve">Demand-side advantages</w:t>
      </w:r>
      <w:r>
        <w:rPr>
          <w:rFonts w:eastAsia="inter" w:cs="inter" w:ascii="inter" w:hAnsi="inter"/>
          <w:color w:val="000000"/>
        </w:rPr>
        <w:t xml:space="preserve">:</w:t>
      </w:r>
    </w:p>
    <w:p>
      <w:pPr>
        <w:numPr>
          <w:ilvl w:val="0"/>
          <w:numId w:val="40"/>
        </w:numPr>
        <w:spacing w:line="360" w:before="105" w:after="105" w:lineRule="auto"/>
      </w:pPr>
      <w:r>
        <w:rPr>
          <w:rFonts w:eastAsia="inter" w:cs="inter" w:ascii="inter" w:hAnsi="inter"/>
          <w:color w:val="000000"/>
          <w:sz w:val="21"/>
        </w:rPr>
        <w:t xml:space="preserve">Reduced search costs through filtering, reviews, and comparison tools</w:t>
      </w:r>
      <w:bookmarkStart w:id="471" w:name="fnref24_10"/>
      <w:bookmarkEnd w:id="471"/>
      <w:hyperlink w:anchor="fn24">
        <w:r>
          <w:rPr>
            <w:rFonts w:eastAsia="inter" w:cs="inter" w:ascii="inter" w:hAnsi="inter"/>
            <w:color w:val="#000"/>
            <w:sz w:val="21"/>
            <w:u w:val="single"/>
            <w:vertAlign w:val="superscript"/>
          </w:rPr>
          <w:t xml:space="preserve">[24]</w:t>
        </w:r>
      </w:hyperlink>
      <w:bookmarkStart w:id="472" w:name="fnref80_1"/>
      <w:bookmarkEnd w:id="472"/>
      <w:hyperlink w:anchor="fn80">
        <w:r>
          <w:rPr>
            <w:rFonts w:eastAsia="inter" w:cs="inter" w:ascii="inter" w:hAnsi="inter"/>
            <w:color w:val="#000"/>
            <w:sz w:val="21"/>
            <w:u w:val="single"/>
            <w:vertAlign w:val="superscript"/>
          </w:rPr>
          <w:t xml:space="preserve">[80]</w:t>
        </w:r>
      </w:hyperlink>
    </w:p>
    <w:p>
      <w:pPr>
        <w:numPr>
          <w:ilvl w:val="0"/>
          <w:numId w:val="40"/>
        </w:numPr>
        <w:spacing w:line="360" w:before="105" w:after="105" w:lineRule="auto"/>
      </w:pPr>
      <w:r>
        <w:rPr>
          <w:rFonts w:eastAsia="inter" w:cs="inter" w:ascii="inter" w:hAnsi="inter"/>
          <w:color w:val="000000"/>
          <w:sz w:val="21"/>
        </w:rPr>
        <w:t xml:space="preserve">Information transparency—detailed specifications, user reviews, tutorial videos reduce information asymmetry</w:t>
      </w:r>
      <w:bookmarkStart w:id="473" w:name="fnref80_2"/>
      <w:bookmarkEnd w:id="473"/>
      <w:hyperlink w:anchor="fn80">
        <w:r>
          <w:rPr>
            <w:rFonts w:eastAsia="inter" w:cs="inter" w:ascii="inter" w:hAnsi="inter"/>
            <w:color w:val="#000"/>
            <w:sz w:val="21"/>
            <w:u w:val="single"/>
            <w:vertAlign w:val="superscript"/>
          </w:rPr>
          <w:t xml:space="preserve">[80]</w:t>
        </w:r>
      </w:hyperlink>
      <w:bookmarkStart w:id="474" w:name="fnref15_26"/>
      <w:bookmarkEnd w:id="474"/>
      <w:hyperlink w:anchor="fn15">
        <w:r>
          <w:rPr>
            <w:rFonts w:eastAsia="inter" w:cs="inter" w:ascii="inter" w:hAnsi="inter"/>
            <w:color w:val="#000"/>
            <w:sz w:val="21"/>
            <w:u w:val="single"/>
            <w:vertAlign w:val="superscript"/>
          </w:rPr>
          <w:t xml:space="preserve">[15]</w:t>
        </w:r>
      </w:hyperlink>
    </w:p>
    <w:p>
      <w:pPr>
        <w:numPr>
          <w:ilvl w:val="0"/>
          <w:numId w:val="40"/>
        </w:numPr>
        <w:spacing w:line="360" w:before="105" w:after="105" w:lineRule="auto"/>
      </w:pPr>
      <w:r>
        <w:rPr>
          <w:rFonts w:eastAsia="inter" w:cs="inter" w:ascii="inter" w:hAnsi="inter"/>
          <w:color w:val="000000"/>
          <w:sz w:val="21"/>
        </w:rPr>
        <w:t xml:space="preserve">Increased variety—online platforms stock 5-10x more SKUs than physical stores, better matching consumer heterogeneity to product variants</w:t>
      </w:r>
      <w:bookmarkStart w:id="475" w:name="fnref24_11"/>
      <w:bookmarkEnd w:id="475"/>
      <w:hyperlink w:anchor="fn24">
        <w:r>
          <w:rPr>
            <w:rFonts w:eastAsia="inter" w:cs="inter" w:ascii="inter" w:hAnsi="inter"/>
            <w:color w:val="#000"/>
            <w:sz w:val="21"/>
            <w:u w:val="single"/>
            <w:vertAlign w:val="superscript"/>
          </w:rPr>
          <w:t xml:space="preserve">[24]</w:t>
        </w:r>
      </w:hyperlink>
      <w:bookmarkStart w:id="476" w:name="fnref15_27"/>
      <w:bookmarkEnd w:id="476"/>
      <w:hyperlink w:anchor="fn15">
        <w:r>
          <w:rPr>
            <w:rFonts w:eastAsia="inter" w:cs="inter" w:ascii="inter" w:hAnsi="inter"/>
            <w:color w:val="#000"/>
            <w:sz w:val="21"/>
            <w:u w:val="single"/>
            <w:vertAlign w:val="superscript"/>
          </w:rPr>
          <w:t xml:space="preserve">[15]</w:t>
        </w:r>
      </w:hyperlink>
    </w:p>
    <w:p>
      <w:pPr>
        <w:spacing w:line="360" w:after="210" w:lineRule="auto"/>
      </w:pPr>
      <w:r>
        <w:rPr>
          <w:rFonts w:eastAsia="inter" w:cs="inter" w:ascii="inter" w:hAnsi="inter"/>
          <w:color w:val="000000"/>
        </w:rPr>
        <w:t xml:space="preserve">Network effects amplify e-commerce advantages: more buyers attract more sellers (expanding assortment), which attracts more buyers, creating self-reinforcing growth. Amazon and Flipkart leverage these dynamics to dominate distribution in US and Indian markets respectively.</w:t>
      </w:r>
      <w:bookmarkStart w:id="477" w:name="fnref24_12"/>
      <w:bookmarkEnd w:id="477"/>
      <w:hyperlink w:anchor="fn24">
        <w:r>
          <w:rPr>
            <w:rFonts w:eastAsia="inter" w:cs="inter" w:ascii="inter" w:hAnsi="inter"/>
            <w:color w:val="#000"/>
            <w:u w:val="single"/>
            <w:vertAlign w:val="superscript"/>
          </w:rPr>
          <w:t xml:space="preserve">[24]</w:t>
        </w:r>
      </w:hyperlink>
      <w:bookmarkStart w:id="478" w:name="fnref15_28"/>
      <w:bookmarkEnd w:id="478"/>
      <w:hyperlink w:anchor="fn15">
        <w:r>
          <w:rPr>
            <w:rFonts w:eastAsia="inter" w:cs="inter" w:ascii="inter" w:hAnsi="inter"/>
            <w:color w:val="#000"/>
            <w:u w:val="single"/>
            <w:vertAlign w:val="superscript"/>
          </w:rPr>
          <w:t xml:space="preserve">[15]</w:t>
        </w:r>
      </w:hyperlink>
    </w:p>
    <w:p>
      <w:pPr>
        <w:spacing w:line="360" w:after="210" w:lineRule="auto"/>
      </w:pPr>
      <w:r>
        <w:rPr>
          <w:rFonts w:eastAsia="inter" w:cs="inter" w:ascii="inter" w:hAnsi="inter"/>
          <w:i/>
          <w:color w:val="000000"/>
        </w:rPr>
        <w:t xml:space="preserve">Manufacturer responses</w:t>
      </w:r>
      <w:r>
        <w:rPr>
          <w:rFonts w:eastAsia="inter" w:cs="inter" w:ascii="inter" w:hAnsi="inter"/>
          <w:color w:val="000000"/>
        </w:rPr>
        <w:t xml:space="preserve">:</w:t>
      </w:r>
      <w:r>
        <w:rPr>
          <w:rFonts w:eastAsia="inter" w:cs="inter" w:ascii="inter" w:hAnsi="inter"/>
          <w:color w:val="000000"/>
        </w:rPr>
        <w:br w:type="textWrapping"/>
      </w:r>
      <w:r>
        <w:rPr>
          <w:rFonts w:eastAsia="inter" w:cs="inter" w:ascii="inter" w:hAnsi="inter"/>
          <w:color w:val="000000"/>
        </w:rPr>
        <w:t xml:space="preserve">Brands increasingly adopt multi-channel strategies:</w:t>
      </w:r>
    </w:p>
    <w:p>
      <w:pPr>
        <w:numPr>
          <w:ilvl w:val="0"/>
          <w:numId w:val="41"/>
        </w:numPr>
        <w:spacing w:line="360" w:before="105" w:after="105" w:lineRule="auto"/>
      </w:pPr>
      <w:r>
        <w:rPr>
          <w:rFonts w:eastAsia="inter" w:cs="inter" w:ascii="inter" w:hAnsi="inter"/>
          <w:b/>
          <w:color w:val="000000"/>
          <w:sz w:val="21"/>
        </w:rPr>
        <w:t xml:space="preserve">Wholesale to e-retailers</w:t>
      </w:r>
      <w:r>
        <w:rPr>
          <w:rFonts w:eastAsia="inter" w:cs="inter" w:ascii="inter" w:hAnsi="inter"/>
          <w:color w:val="000000"/>
          <w:sz w:val="21"/>
        </w:rPr>
        <w:t xml:space="preserve">: Supply Amazon, Flipkart at wholesale prices (40-50% of retail)</w:t>
      </w:r>
      <w:bookmarkStart w:id="479" w:name="fnref15_29"/>
      <w:bookmarkEnd w:id="479"/>
      <w:hyperlink w:anchor="fn15">
        <w:r>
          <w:rPr>
            <w:rFonts w:eastAsia="inter" w:cs="inter" w:ascii="inter" w:hAnsi="inter"/>
            <w:color w:val="#000"/>
            <w:sz w:val="21"/>
            <w:u w:val="single"/>
            <w:vertAlign w:val="superscript"/>
          </w:rPr>
          <w:t xml:space="preserve">[15]</w:t>
        </w:r>
      </w:hyperlink>
    </w:p>
    <w:p>
      <w:pPr>
        <w:numPr>
          <w:ilvl w:val="0"/>
          <w:numId w:val="41"/>
        </w:numPr>
        <w:spacing w:line="360" w:before="105" w:after="105" w:lineRule="auto"/>
      </w:pPr>
      <w:r>
        <w:rPr>
          <w:rFonts w:eastAsia="inter" w:cs="inter" w:ascii="inter" w:hAnsi="inter"/>
          <w:b/>
          <w:color w:val="000000"/>
          <w:sz w:val="21"/>
        </w:rPr>
        <w:t xml:space="preserve">Direct-to-Consumer (DTC)</w:t>
      </w:r>
      <w:r>
        <w:rPr>
          <w:rFonts w:eastAsia="inter" w:cs="inter" w:ascii="inter" w:hAnsi="inter"/>
          <w:color w:val="000000"/>
          <w:sz w:val="21"/>
        </w:rPr>
        <w:t xml:space="preserve">: Operate brand websites capturing full retail margin but bearing marketing costs</w:t>
      </w:r>
      <w:bookmarkStart w:id="480" w:name="fnref15_30"/>
      <w:bookmarkEnd w:id="480"/>
      <w:hyperlink w:anchor="fn15">
        <w:r>
          <w:rPr>
            <w:rFonts w:eastAsia="inter" w:cs="inter" w:ascii="inter" w:hAnsi="inter"/>
            <w:color w:val="#000"/>
            <w:sz w:val="21"/>
            <w:u w:val="single"/>
            <w:vertAlign w:val="superscript"/>
          </w:rPr>
          <w:t xml:space="preserve">[15]</w:t>
        </w:r>
      </w:hyperlink>
    </w:p>
    <w:p>
      <w:pPr>
        <w:numPr>
          <w:ilvl w:val="0"/>
          <w:numId w:val="41"/>
        </w:numPr>
        <w:spacing w:line="360" w:before="105" w:after="105" w:lineRule="auto"/>
      </w:pPr>
      <w:r>
        <w:rPr>
          <w:rFonts w:eastAsia="inter" w:cs="inter" w:ascii="inter" w:hAnsi="inter"/>
          <w:b/>
          <w:color w:val="000000"/>
          <w:sz w:val="21"/>
        </w:rPr>
        <w:t xml:space="preserve">Hybrid models</w:t>
      </w:r>
      <w:r>
        <w:rPr>
          <w:rFonts w:eastAsia="inter" w:cs="inter" w:ascii="inter" w:hAnsi="inter"/>
          <w:color w:val="000000"/>
          <w:sz w:val="21"/>
        </w:rPr>
        <w:t xml:space="preserve">: Use e-retailers for reach while DTC for premium positioning and customer relationships</w:t>
      </w:r>
      <w:bookmarkStart w:id="481" w:name="fnref15_31"/>
      <w:bookmarkEnd w:id="481"/>
      <w:hyperlink w:anchor="fn15">
        <w:r>
          <w:rPr>
            <w:rFonts w:eastAsia="inter" w:cs="inter" w:ascii="inter" w:hAnsi="inter"/>
            <w:color w:val="#000"/>
            <w:sz w:val="21"/>
            <w:u w:val="single"/>
            <w:vertAlign w:val="superscript"/>
          </w:rPr>
          <w:t xml:space="preserve">[15]</w:t>
        </w:r>
      </w:hyperlink>
    </w:p>
    <w:p>
      <w:pPr>
        <w:spacing w:line="360" w:after="210" w:lineRule="auto"/>
      </w:pPr>
      <w:r>
        <w:rPr>
          <w:rFonts w:eastAsia="inter" w:cs="inter" w:ascii="inter" w:hAnsi="inter"/>
          <w:color w:val="000000"/>
        </w:rPr>
        <w:t xml:space="preserve">DTC models exhibit different economics: higher marketing costs (customer acquisition cost USD 15-30 versus USD 3-5 for marketplace sales) but higher lifetime value through repeat purchases and data collection enabling personalized marketing. Optimal channel mix depends on brand awareness (established brands leverage marketplaces; new brands invest DTC to build direct relationships).</w:t>
      </w:r>
      <w:bookmarkStart w:id="482" w:name="fnref15_32"/>
      <w:bookmarkEnd w:id="482"/>
      <w:hyperlink w:anchor="fn15">
        <w:r>
          <w:rPr>
            <w:rFonts w:eastAsia="inter" w:cs="inter" w:ascii="inter" w:hAnsi="inter"/>
            <w:color w:val="#000"/>
            <w:u w:val="single"/>
            <w:vertAlign w:val="superscript"/>
          </w:rPr>
          <w:t xml:space="preserve">[15]</w:t>
        </w:r>
      </w:hyperlink>
    </w:p>
    <w:p>
      <w:pPr>
        <w:spacing w:line="360" w:after="210" w:lineRule="auto"/>
      </w:pPr>
      <w:r>
        <w:rPr>
          <w:rFonts w:eastAsia="inter" w:cs="inter" w:ascii="inter" w:hAnsi="inter"/>
          <w:b/>
          <w:color w:val="000000"/>
        </w:rPr>
        <w:t xml:space="preserve">Professional Salon Distribution</w:t>
      </w:r>
    </w:p>
    <w:p>
      <w:pPr>
        <w:spacing w:line="360" w:after="210" w:lineRule="auto"/>
      </w:pPr>
      <w:r>
        <w:rPr>
          <w:rFonts w:eastAsia="inter" w:cs="inter" w:ascii="inter" w:hAnsi="inter"/>
          <w:color w:val="000000"/>
        </w:rPr>
        <w:t xml:space="preserve">Commercial salon segment operates through specialized channels:</w:t>
      </w:r>
    </w:p>
    <w:p>
      <w:pPr>
        <w:spacing w:line="360" w:after="210" w:lineRule="auto"/>
      </w:pPr>
      <w:r>
        <w:rPr>
          <w:rFonts w:eastAsia="inter" w:cs="inter" w:ascii="inter" w:hAnsi="inter"/>
          <w:i/>
          <w:color w:val="000000"/>
        </w:rPr>
        <w:t xml:space="preserve">Manufacturer → Professional Distributor → Salon</w:t>
      </w:r>
    </w:p>
    <w:p>
      <w:pPr>
        <w:spacing w:line="360" w:after="210" w:lineRule="auto"/>
      </w:pPr>
      <w:r>
        <w:rPr>
          <w:rFonts w:eastAsia="inter" w:cs="inter" w:ascii="inter" w:hAnsi="inter"/>
          <w:color w:val="000000"/>
        </w:rPr>
        <w:t xml:space="preserve">This channel persists despite higher costs (40-50% combined intermediary margins) due to:</w:t>
      </w:r>
    </w:p>
    <w:p>
      <w:pPr>
        <w:spacing w:line="360" w:after="210" w:lineRule="auto"/>
      </w:pPr>
      <w:r>
        <w:rPr>
          <w:rFonts w:eastAsia="inter" w:cs="inter" w:ascii="inter" w:hAnsi="inter"/>
          <w:i/>
          <w:color w:val="000000"/>
        </w:rPr>
        <w:t xml:space="preserve">Service bundling</w:t>
      </w:r>
      <w:r>
        <w:rPr>
          <w:rFonts w:eastAsia="inter" w:cs="inter" w:ascii="inter" w:hAnsi="inter"/>
          <w:color w:val="000000"/>
        </w:rPr>
        <w:t xml:space="preserve">: Distributors provide training, equipment financing, and ongoing technical support valued by salons</w:t>
      </w:r>
      <w:bookmarkStart w:id="483" w:name="fnref79_1"/>
      <w:bookmarkEnd w:id="483"/>
      <w:hyperlink w:anchor="fn79">
        <w:r>
          <w:rPr>
            <w:rFonts w:eastAsia="inter" w:cs="inter" w:ascii="inter" w:hAnsi="inter"/>
            <w:color w:val="#000"/>
            <w:u w:val="single"/>
            <w:vertAlign w:val="superscript"/>
          </w:rPr>
          <w:t xml:space="preserve">[79]</w:t>
        </w:r>
      </w:hyperlink>
      <w:bookmarkStart w:id="484" w:name="fnref15_33"/>
      <w:bookmarkEnd w:id="484"/>
      <w:hyperlink w:anchor="fn15">
        <w:r>
          <w:rPr>
            <w:rFonts w:eastAsia="inter" w:cs="inter" w:ascii="inter" w:hAnsi="inter"/>
            <w:color w:val="#000"/>
            <w:u w:val="single"/>
            <w:vertAlign w:val="superscript"/>
          </w:rPr>
          <w:t xml:space="preserve">[15]</w:t>
        </w:r>
      </w:hyperlink>
      <w:r>
        <w:rPr>
          <w:rFonts w:eastAsia="inter" w:cs="inter" w:ascii="inter" w:hAnsi="inter"/>
          <w:color w:val="000000"/>
        </w:rPr>
        <w:br w:type="textWrapping"/>
      </w:r>
      <w:r>
        <w:rPr>
          <w:rFonts w:eastAsia="inter" w:cs="inter" w:ascii="inter" w:hAnsi="inter"/>
          <w:i/>
          <w:color w:val="000000"/>
        </w:rPr>
        <w:t xml:space="preserve">Relationship marketing</w:t>
      </w:r>
      <w:r>
        <w:rPr>
          <w:rFonts w:eastAsia="inter" w:cs="inter" w:ascii="inter" w:hAnsi="inter"/>
          <w:color w:val="000000"/>
        </w:rPr>
        <w:t xml:space="preserve">: Sales representatives build long-term relationships, reducing salon search costs for new products</w:t>
      </w:r>
      <w:bookmarkStart w:id="485" w:name="fnref79_2"/>
      <w:bookmarkEnd w:id="485"/>
      <w:hyperlink w:anchor="fn79">
        <w:r>
          <w:rPr>
            <w:rFonts w:eastAsia="inter" w:cs="inter" w:ascii="inter" w:hAnsi="inter"/>
            <w:color w:val="#000"/>
            <w:u w:val="single"/>
            <w:vertAlign w:val="superscript"/>
          </w:rPr>
          <w:t xml:space="preserve">[79]</w:t>
        </w:r>
      </w:hyperlink>
      <w:r>
        <w:rPr>
          <w:rFonts w:eastAsia="inter" w:cs="inter" w:ascii="inter" w:hAnsi="inter"/>
          <w:color w:val="000000"/>
        </w:rPr>
        <w:br w:type="textWrapping"/>
      </w:r>
      <w:r>
        <w:rPr>
          <w:rFonts w:eastAsia="inter" w:cs="inter" w:ascii="inter" w:hAnsi="inter"/>
          <w:i/>
          <w:color w:val="000000"/>
        </w:rPr>
        <w:t xml:space="preserve">Professional pricing tiers</w:t>
      </w:r>
      <w:r>
        <w:rPr>
          <w:rFonts w:eastAsia="inter" w:cs="inter" w:ascii="inter" w:hAnsi="inter"/>
          <w:color w:val="000000"/>
        </w:rPr>
        <w:t xml:space="preserve">: Salon products retail 20-40% above consumer versions, creating margin space for distribution intermediaries</w:t>
      </w:r>
      <w:bookmarkStart w:id="486" w:name="fnref79_3"/>
      <w:bookmarkEnd w:id="486"/>
      <w:hyperlink w:anchor="fn79">
        <w:r>
          <w:rPr>
            <w:rFonts w:eastAsia="inter" w:cs="inter" w:ascii="inter" w:hAnsi="inter"/>
            <w:color w:val="#000"/>
            <w:u w:val="single"/>
            <w:vertAlign w:val="superscript"/>
          </w:rPr>
          <w:t xml:space="preserve">[79]</w:t>
        </w:r>
      </w:hyperlink>
      <w:bookmarkStart w:id="487" w:name="fnref15_34"/>
      <w:bookmarkEnd w:id="487"/>
      <w:hyperlink w:anchor="fn15">
        <w:r>
          <w:rPr>
            <w:rFonts w:eastAsia="inter" w:cs="inter" w:ascii="inter" w:hAnsi="inter"/>
            <w:color w:val="#000"/>
            <w:u w:val="single"/>
            <w:vertAlign w:val="superscript"/>
          </w:rPr>
          <w:t xml:space="preserve">[15]</w:t>
        </w:r>
      </w:hyperlink>
    </w:p>
    <w:p>
      <w:pPr>
        <w:spacing w:line="360" w:after="210" w:lineRule="auto"/>
      </w:pPr>
      <w:r>
        <w:rPr>
          <w:rFonts w:eastAsia="inter" w:cs="inter" w:ascii="inter" w:hAnsi="inter"/>
          <w:color w:val="000000"/>
        </w:rPr>
        <w:t xml:space="preserve">Salon distribution comprises approximately 15-18% of hair straightener volumes but 22-25% of revenues due to premium pricing. This channel demonstrates that despite disintermediation trends, specialized distribution adds value in segments with complex purchasing decisions and after-sales service requirements.</w:t>
      </w:r>
      <w:bookmarkStart w:id="488" w:name="fnref29_3"/>
      <w:bookmarkEnd w:id="488"/>
      <w:hyperlink w:anchor="fn29">
        <w:r>
          <w:rPr>
            <w:rFonts w:eastAsia="inter" w:cs="inter" w:ascii="inter" w:hAnsi="inter"/>
            <w:color w:val="#000"/>
            <w:u w:val="single"/>
            <w:vertAlign w:val="superscript"/>
          </w:rPr>
          <w:t xml:space="preserve">[29]</w:t>
        </w:r>
      </w:hyperlink>
      <w:bookmarkStart w:id="489" w:name="fnref15_35"/>
      <w:bookmarkEnd w:id="489"/>
      <w:hyperlink w:anchor="fn15">
        <w:r>
          <w:rPr>
            <w:rFonts w:eastAsia="inter" w:cs="inter" w:ascii="inter" w:hAnsi="inter"/>
            <w:color w:val="#000"/>
            <w:u w:val="single"/>
            <w:vertAlign w:val="superscript"/>
          </w:rPr>
          <w:t xml:space="preserve">[15]</w:t>
        </w:r>
      </w:hyperlink>
    </w:p>
    <w:p>
      <w:pPr>
        <w:spacing w:line="360" w:before="315" w:after="105" w:lineRule="auto"/>
        <w:ind w:left="-30"/>
        <w:jc w:val="left"/>
      </w:pPr>
      <w:bookmarkStart w:id="490" w:name="role_of_e_commerce_platforms_and_cf4873"/>
      <w:r>
        <w:rPr>
          <w:rFonts w:eastAsia="inter" w:cs="inter" w:ascii="inter" w:hAnsi="inter"/>
          <w:b/>
          <w:color w:val="000000"/>
          <w:sz w:val="24"/>
        </w:rPr>
        <w:t xml:space="preserve">Role of E-commerce Platforms and Salon Channels</w:t>
      </w:r>
      <w:bookmarkEnd w:id="490"/>
    </w:p>
    <w:p>
      <w:pPr>
        <w:spacing w:line="360" w:after="210" w:lineRule="auto"/>
      </w:pPr>
      <w:r>
        <w:rPr>
          <w:rFonts w:eastAsia="inter" w:cs="inter" w:ascii="inter" w:hAnsi="inter"/>
          <w:color w:val="000000"/>
        </w:rPr>
        <w:t xml:space="preserve">The coexistence of e-commerce and traditional salon channels illustrates market segmentation and differentiated distribution strategies.</w:t>
      </w:r>
      <w:bookmarkStart w:id="491" w:name="fnref24_13"/>
      <w:bookmarkEnd w:id="491"/>
      <w:hyperlink w:anchor="fn24">
        <w:r>
          <w:rPr>
            <w:rFonts w:eastAsia="inter" w:cs="inter" w:ascii="inter" w:hAnsi="inter"/>
            <w:color w:val="#000"/>
            <w:u w:val="single"/>
            <w:vertAlign w:val="superscript"/>
          </w:rPr>
          <w:t xml:space="preserve">[24]</w:t>
        </w:r>
      </w:hyperlink>
      <w:bookmarkStart w:id="492" w:name="fnref80_3"/>
      <w:bookmarkEnd w:id="492"/>
      <w:hyperlink w:anchor="fn80">
        <w:r>
          <w:rPr>
            <w:rFonts w:eastAsia="inter" w:cs="inter" w:ascii="inter" w:hAnsi="inter"/>
            <w:color w:val="#000"/>
            <w:u w:val="single"/>
            <w:vertAlign w:val="superscript"/>
          </w:rPr>
          <w:t xml:space="preserve">[80]</w:t>
        </w:r>
      </w:hyperlink>
      <w:bookmarkStart w:id="493" w:name="fnref15_36"/>
      <w:bookmarkEnd w:id="493"/>
      <w:hyperlink w:anchor="fn15">
        <w:r>
          <w:rPr>
            <w:rFonts w:eastAsia="inter" w:cs="inter" w:ascii="inter" w:hAnsi="inter"/>
            <w:color w:val="#000"/>
            <w:u w:val="single"/>
            <w:vertAlign w:val="superscript"/>
          </w:rPr>
          <w:t xml:space="preserve">[15]</w:t>
        </w:r>
      </w:hyperlink>
    </w:p>
    <w:p>
      <w:pPr>
        <w:spacing w:line="360" w:after="210" w:lineRule="auto"/>
      </w:pPr>
      <w:r>
        <w:rPr>
          <w:rFonts w:eastAsia="inter" w:cs="inter" w:ascii="inter" w:hAnsi="inter"/>
          <w:b/>
          <w:color w:val="000000"/>
        </w:rPr>
        <w:t xml:space="preserve">E-commerce Platform Dynamics</w:t>
      </w:r>
    </w:p>
    <w:p>
      <w:pPr>
        <w:spacing w:line="360" w:after="210" w:lineRule="auto"/>
      </w:pPr>
      <w:r>
        <w:rPr>
          <w:rFonts w:eastAsia="inter" w:cs="inter" w:ascii="inter" w:hAnsi="inter"/>
          <w:color w:val="000000"/>
        </w:rPr>
        <w:t xml:space="preserve">Major platforms (Amazon, Flipkart, Nykaa in India) function as two-sided markets connecting manufacturers and consumers:</w:t>
      </w:r>
      <w:bookmarkStart w:id="494" w:name="fnref15_37"/>
      <w:bookmarkEnd w:id="494"/>
      <w:hyperlink w:anchor="fn15">
        <w:r>
          <w:rPr>
            <w:rFonts w:eastAsia="inter" w:cs="inter" w:ascii="inter" w:hAnsi="inter"/>
            <w:color w:val="#000"/>
            <w:u w:val="single"/>
            <w:vertAlign w:val="superscript"/>
          </w:rPr>
          <w:t xml:space="preserve">[15]</w:t>
        </w:r>
      </w:hyperlink>
      <w:bookmarkStart w:id="495" w:name="fnref24_14"/>
      <w:bookmarkEnd w:id="495"/>
      <w:hyperlink w:anchor="fn24">
        <w:r>
          <w:rPr>
            <w:rFonts w:eastAsia="inter" w:cs="inter" w:ascii="inter" w:hAnsi="inter"/>
            <w:color w:val="#000"/>
            <w:u w:val="single"/>
            <w:vertAlign w:val="superscript"/>
          </w:rPr>
          <w:t xml:space="preserve">[24]</w:t>
        </w:r>
      </w:hyperlink>
    </w:p>
    <w:p>
      <w:pPr>
        <w:spacing w:line="360" w:after="210" w:lineRule="auto"/>
      </w:pPr>
      <w:r>
        <w:rPr>
          <w:rFonts w:eastAsia="inter" w:cs="inter" w:ascii="inter" w:hAnsi="inter"/>
          <w:i/>
          <w:color w:val="000000"/>
        </w:rPr>
        <w:t xml:space="preserve">Platform pricing</w:t>
      </w:r>
      <w:r>
        <w:rPr>
          <w:rFonts w:eastAsia="inter" w:cs="inter" w:ascii="inter" w:hAnsi="inter"/>
          <w:color w:val="000000"/>
        </w:rPr>
        <w:t xml:space="preserve">:</w:t>
      </w:r>
    </w:p>
    <w:p>
      <w:pPr>
        <w:numPr>
          <w:ilvl w:val="0"/>
          <w:numId w:val="42"/>
        </w:numPr>
        <w:spacing w:line="360" w:before="105" w:after="105" w:lineRule="auto"/>
      </w:pPr>
      <w:r>
        <w:rPr>
          <w:rFonts w:eastAsia="inter" w:cs="inter" w:ascii="inter" w:hAnsi="inter"/>
          <w:color w:val="000000"/>
          <w:sz w:val="21"/>
        </w:rPr>
        <w:t xml:space="preserve">Commission rates: 12-18% of sale price</w:t>
      </w:r>
      <w:bookmarkStart w:id="496" w:name="fnref15_38"/>
      <w:bookmarkEnd w:id="496"/>
      <w:hyperlink w:anchor="fn15">
        <w:r>
          <w:rPr>
            <w:rFonts w:eastAsia="inter" w:cs="inter" w:ascii="inter" w:hAnsi="inter"/>
            <w:color w:val="#000"/>
            <w:sz w:val="21"/>
            <w:u w:val="single"/>
            <w:vertAlign w:val="superscript"/>
          </w:rPr>
          <w:t xml:space="preserve">[15]</w:t>
        </w:r>
      </w:hyperlink>
    </w:p>
    <w:p>
      <w:pPr>
        <w:numPr>
          <w:ilvl w:val="0"/>
          <w:numId w:val="42"/>
        </w:numPr>
        <w:spacing w:line="360" w:before="105" w:after="105" w:lineRule="auto"/>
      </w:pPr>
      <w:r>
        <w:rPr>
          <w:rFonts w:eastAsia="inter" w:cs="inter" w:ascii="inter" w:hAnsi="inter"/>
          <w:color w:val="000000"/>
          <w:sz w:val="21"/>
        </w:rPr>
        <w:t xml:space="preserve">Fulfillment fees: USD 2-4 per unit for warehousing and logistics</w:t>
      </w:r>
      <w:bookmarkStart w:id="497" w:name="fnref15_39"/>
      <w:bookmarkEnd w:id="497"/>
      <w:hyperlink w:anchor="fn15">
        <w:r>
          <w:rPr>
            <w:rFonts w:eastAsia="inter" w:cs="inter" w:ascii="inter" w:hAnsi="inter"/>
            <w:color w:val="#000"/>
            <w:sz w:val="21"/>
            <w:u w:val="single"/>
            <w:vertAlign w:val="superscript"/>
          </w:rPr>
          <w:t xml:space="preserve">[15]</w:t>
        </w:r>
      </w:hyperlink>
    </w:p>
    <w:p>
      <w:pPr>
        <w:numPr>
          <w:ilvl w:val="0"/>
          <w:numId w:val="42"/>
        </w:numPr>
        <w:spacing w:line="360" w:before="105" w:after="105" w:lineRule="auto"/>
      </w:pPr>
      <w:r>
        <w:rPr>
          <w:rFonts w:eastAsia="inter" w:cs="inter" w:ascii="inter" w:hAnsi="inter"/>
          <w:color w:val="000000"/>
          <w:sz w:val="21"/>
        </w:rPr>
        <w:t xml:space="preserve">Advertising fees: 5-15% of revenue for sponsored product placements</w:t>
      </w:r>
      <w:bookmarkStart w:id="498" w:name="fnref15_40"/>
      <w:bookmarkEnd w:id="498"/>
      <w:hyperlink w:anchor="fn15">
        <w:r>
          <w:rPr>
            <w:rFonts w:eastAsia="inter" w:cs="inter" w:ascii="inter" w:hAnsi="inter"/>
            <w:color w:val="#000"/>
            <w:sz w:val="21"/>
            <w:u w:val="single"/>
            <w:vertAlign w:val="superscript"/>
          </w:rPr>
          <w:t xml:space="preserve">[15]</w:t>
        </w:r>
      </w:hyperlink>
    </w:p>
    <w:p>
      <w:pPr>
        <w:spacing w:line="360" w:after="210" w:lineRule="auto"/>
      </w:pPr>
      <w:r>
        <w:rPr>
          <w:rFonts w:eastAsia="inter" w:cs="inter" w:ascii="inter" w:hAnsi="inter"/>
          <w:color w:val="000000"/>
        </w:rPr>
        <w:t xml:space="preserve">Total platform costs of 20-35% compare favorably to traditional retail costs (40-60% margin requirement), explaining manufacturer migration to online channels.</w:t>
      </w:r>
      <w:bookmarkStart w:id="499" w:name="fnref15_41"/>
      <w:bookmarkEnd w:id="499"/>
      <w:hyperlink w:anchor="fn15">
        <w:r>
          <w:rPr>
            <w:rFonts w:eastAsia="inter" w:cs="inter" w:ascii="inter" w:hAnsi="inter"/>
            <w:color w:val="#000"/>
            <w:u w:val="single"/>
            <w:vertAlign w:val="superscript"/>
          </w:rPr>
          <w:t xml:space="preserve">[15]</w:t>
        </w:r>
      </w:hyperlink>
    </w:p>
    <w:p>
      <w:pPr>
        <w:spacing w:line="360" w:after="210" w:lineRule="auto"/>
      </w:pPr>
      <w:r>
        <w:rPr>
          <w:rFonts w:eastAsia="inter" w:cs="inter" w:ascii="inter" w:hAnsi="inter"/>
          <w:i/>
          <w:color w:val="000000"/>
        </w:rPr>
        <w:t xml:space="preserve">Platform governance and quality assurance</w:t>
      </w:r>
      <w:r>
        <w:rPr>
          <w:rFonts w:eastAsia="inter" w:cs="inter" w:ascii="inter" w:hAnsi="inter"/>
          <w:color w:val="000000"/>
        </w:rPr>
        <w:t xml:space="preserve">:</w:t>
      </w:r>
      <w:r>
        <w:rPr>
          <w:rFonts w:eastAsia="inter" w:cs="inter" w:ascii="inter" w:hAnsi="inter"/>
          <w:color w:val="000000"/>
        </w:rPr>
        <w:br w:type="textWrapping"/>
      </w:r>
      <w:r>
        <w:rPr>
          <w:rFonts w:eastAsia="inter" w:cs="inter" w:ascii="inter" w:hAnsi="inter"/>
          <w:color w:val="000000"/>
        </w:rPr>
        <w:t xml:space="preserve">Platforms implement review systems, seller ratings, and return policies reducing adverse selection problems. Without these mechanisms, information asymmetry regarding product quality would cause market failure (Akerlof's "market for lemons"). Reviews and ratings create reputation capital incentivizing quality provision.</w:t>
      </w:r>
      <w:bookmarkStart w:id="500" w:name="fnref80_4"/>
      <w:bookmarkEnd w:id="500"/>
      <w:hyperlink w:anchor="fn80">
        <w:r>
          <w:rPr>
            <w:rFonts w:eastAsia="inter" w:cs="inter" w:ascii="inter" w:hAnsi="inter"/>
            <w:color w:val="#000"/>
            <w:u w:val="single"/>
            <w:vertAlign w:val="superscript"/>
          </w:rPr>
          <w:t xml:space="preserve">[80]</w:t>
        </w:r>
      </w:hyperlink>
      <w:bookmarkStart w:id="501" w:name="fnref15_42"/>
      <w:bookmarkEnd w:id="501"/>
      <w:hyperlink w:anchor="fn15">
        <w:r>
          <w:rPr>
            <w:rFonts w:eastAsia="inter" w:cs="inter" w:ascii="inter" w:hAnsi="inter"/>
            <w:color w:val="#000"/>
            <w:u w:val="single"/>
            <w:vertAlign w:val="superscript"/>
          </w:rPr>
          <w:t xml:space="preserve">[15]</w:t>
        </w:r>
      </w:hyperlink>
    </w:p>
    <w:p>
      <w:pPr>
        <w:spacing w:line="360" w:after="210" w:lineRule="auto"/>
      </w:pPr>
      <w:r>
        <w:rPr>
          <w:rFonts w:eastAsia="inter" w:cs="inter" w:ascii="inter" w:hAnsi="inter"/>
          <w:color w:val="000000"/>
        </w:rPr>
        <w:t xml:space="preserve">However, platforms face counterfeit challenges—unauthorized sellers offering inferior products under brand names. This negative externality affects brand manufacturers and creates incentives for exclusive distribution agreements or direct platform management.</w:t>
      </w:r>
      <w:bookmarkStart w:id="502" w:name="fnref15_43"/>
      <w:bookmarkEnd w:id="502"/>
      <w:hyperlink w:anchor="fn15">
        <w:r>
          <w:rPr>
            <w:rFonts w:eastAsia="inter" w:cs="inter" w:ascii="inter" w:hAnsi="inter"/>
            <w:color w:val="#000"/>
            <w:u w:val="single"/>
            <w:vertAlign w:val="superscript"/>
          </w:rPr>
          <w:t xml:space="preserve">[15]</w:t>
        </w:r>
      </w:hyperlink>
    </w:p>
    <w:p>
      <w:pPr>
        <w:spacing w:line="360" w:after="210" w:lineRule="auto"/>
      </w:pPr>
      <w:r>
        <w:rPr>
          <w:rFonts w:eastAsia="inter" w:cs="inter" w:ascii="inter" w:hAnsi="inter"/>
          <w:b/>
          <w:color w:val="000000"/>
        </w:rPr>
        <w:t xml:space="preserve">Consumer Segmentation and Channel Choice</w:t>
      </w:r>
    </w:p>
    <w:p>
      <w:pPr>
        <w:spacing w:line="360" w:after="210" w:lineRule="auto"/>
      </w:pPr>
      <w:r>
        <w:rPr>
          <w:rFonts w:eastAsia="inter" w:cs="inter" w:ascii="inter" w:hAnsi="inter"/>
          <w:color w:val="000000"/>
        </w:rPr>
        <w:t xml:space="preserve">Different consumer segments exhibit distinct channel preferences based on attribute priorities:</w:t>
      </w:r>
      <w:bookmarkStart w:id="503" w:name="fnref25_1"/>
      <w:bookmarkEnd w:id="503"/>
      <w:hyperlink w:anchor="fn25">
        <w:r>
          <w:rPr>
            <w:rFonts w:eastAsia="inter" w:cs="inter" w:ascii="inter" w:hAnsi="inter"/>
            <w:color w:val="#000"/>
            <w:u w:val="single"/>
            <w:vertAlign w:val="superscript"/>
          </w:rPr>
          <w:t xml:space="preserve">[25]</w:t>
        </w:r>
      </w:hyperlink>
      <w:bookmarkStart w:id="504" w:name="fnref80_5"/>
      <w:bookmarkEnd w:id="504"/>
      <w:hyperlink w:anchor="fn80">
        <w:r>
          <w:rPr>
            <w:rFonts w:eastAsia="inter" w:cs="inter" w:ascii="inter" w:hAnsi="inter"/>
            <w:color w:val="#000"/>
            <w:u w:val="single"/>
            <w:vertAlign w:val="superscript"/>
          </w:rPr>
          <w:t xml:space="preserve">[80]</w:t>
        </w:r>
      </w:hyperlink>
    </w:p>
    <w:p>
      <w:pPr>
        <w:spacing w:line="360" w:after="210" w:lineRule="auto"/>
      </w:pPr>
      <w:r>
        <w:rPr>
          <w:rFonts w:eastAsia="inter" w:cs="inter" w:ascii="inter" w:hAnsi="inter"/>
          <w:i/>
          <w:color w:val="000000"/>
        </w:rPr>
        <w:t xml:space="preserve">Price-sensitive consumers</w:t>
      </w:r>
      <w:r>
        <w:rPr>
          <w:rFonts w:eastAsia="inter" w:cs="inter" w:ascii="inter" w:hAnsi="inter"/>
          <w:color w:val="000000"/>
        </w:rPr>
        <w:t xml:space="preserve">: Prefer e-commerce for 10-20% discounts and easy price comparison</w:t>
      </w:r>
      <w:bookmarkStart w:id="505" w:name="fnref15_44"/>
      <w:bookmarkEnd w:id="505"/>
      <w:hyperlink w:anchor="fn15">
        <w:r>
          <w:rPr>
            <w:rFonts w:eastAsia="inter" w:cs="inter" w:ascii="inter" w:hAnsi="inter"/>
            <w:color w:val="#000"/>
            <w:u w:val="single"/>
            <w:vertAlign w:val="superscript"/>
          </w:rPr>
          <w:t xml:space="preserve">[15]</w:t>
        </w:r>
      </w:hyperlink>
    </w:p>
    <w:p>
      <w:pPr>
        <w:spacing w:line="360" w:after="210" w:lineRule="auto"/>
      </w:pPr>
      <w:r>
        <w:rPr>
          <w:rFonts w:eastAsia="inter" w:cs="inter" w:ascii="inter" w:hAnsi="inter"/>
          <w:i/>
          <w:color w:val="000000"/>
        </w:rPr>
        <w:t xml:space="preserve">Convenience-focused consumers</w:t>
      </w:r>
      <w:r>
        <w:rPr>
          <w:rFonts w:eastAsia="inter" w:cs="inter" w:ascii="inter" w:hAnsi="inter"/>
          <w:color w:val="000000"/>
        </w:rPr>
        <w:t xml:space="preserve">: Value home delivery and 24/7 shopping accessibility of online channels</w:t>
      </w:r>
      <w:bookmarkStart w:id="506" w:name="fnref24_15"/>
      <w:bookmarkEnd w:id="506"/>
      <w:hyperlink w:anchor="fn24">
        <w:r>
          <w:rPr>
            <w:rFonts w:eastAsia="inter" w:cs="inter" w:ascii="inter" w:hAnsi="inter"/>
            <w:color w:val="#000"/>
            <w:u w:val="single"/>
            <w:vertAlign w:val="superscript"/>
          </w:rPr>
          <w:t xml:space="preserve">[24]</w:t>
        </w:r>
      </w:hyperlink>
      <w:bookmarkStart w:id="507" w:name="fnref80_6"/>
      <w:bookmarkEnd w:id="507"/>
      <w:hyperlink w:anchor="fn80">
        <w:r>
          <w:rPr>
            <w:rFonts w:eastAsia="inter" w:cs="inter" w:ascii="inter" w:hAnsi="inter"/>
            <w:color w:val="#000"/>
            <w:u w:val="single"/>
            <w:vertAlign w:val="superscript"/>
          </w:rPr>
          <w:t xml:space="preserve">[80]</w:t>
        </w:r>
      </w:hyperlink>
    </w:p>
    <w:p>
      <w:pPr>
        <w:spacing w:line="360" w:after="210" w:lineRule="auto"/>
      </w:pPr>
      <w:r>
        <w:rPr>
          <w:rFonts w:eastAsia="inter" w:cs="inter" w:ascii="inter" w:hAnsi="inter"/>
          <w:i/>
          <w:color w:val="000000"/>
        </w:rPr>
        <w:t xml:space="preserve">Risk-averse consumers</w:t>
      </w:r>
      <w:r>
        <w:rPr>
          <w:rFonts w:eastAsia="inter" w:cs="inter" w:ascii="inter" w:hAnsi="inter"/>
          <w:color w:val="000000"/>
        </w:rPr>
        <w:t xml:space="preserve">: Prefer physical retail to examine products, particularly for first-time purchases of premium items</w:t>
      </w:r>
      <w:bookmarkStart w:id="508" w:name="fnref80_7"/>
      <w:bookmarkEnd w:id="508"/>
      <w:hyperlink w:anchor="fn80">
        <w:r>
          <w:rPr>
            <w:rFonts w:eastAsia="inter" w:cs="inter" w:ascii="inter" w:hAnsi="inter"/>
            <w:color w:val="#000"/>
            <w:u w:val="single"/>
            <w:vertAlign w:val="superscript"/>
          </w:rPr>
          <w:t xml:space="preserve">[80]</w:t>
        </w:r>
      </w:hyperlink>
      <w:bookmarkStart w:id="509" w:name="fnref25_2"/>
      <w:bookmarkEnd w:id="509"/>
      <w:hyperlink w:anchor="fn25">
        <w:r>
          <w:rPr>
            <w:rFonts w:eastAsia="inter" w:cs="inter" w:ascii="inter" w:hAnsi="inter"/>
            <w:color w:val="#000"/>
            <w:u w:val="single"/>
            <w:vertAlign w:val="superscript"/>
          </w:rPr>
          <w:t xml:space="preserve">[25]</w:t>
        </w:r>
      </w:hyperlink>
    </w:p>
    <w:p>
      <w:pPr>
        <w:spacing w:line="360" w:after="210" w:lineRule="auto"/>
      </w:pPr>
      <w:r>
        <w:rPr>
          <w:rFonts w:eastAsia="inter" w:cs="inter" w:ascii="inter" w:hAnsi="inter"/>
          <w:i/>
          <w:color w:val="000000"/>
        </w:rPr>
        <w:t xml:space="preserve">Professional users</w:t>
      </w:r>
      <w:r>
        <w:rPr>
          <w:rFonts w:eastAsia="inter" w:cs="inter" w:ascii="inter" w:hAnsi="inter"/>
          <w:color w:val="000000"/>
        </w:rPr>
        <w:t xml:space="preserve"> (salons): Require distributor relationships for training, equipment financing, and volume pricing</w:t>
      </w:r>
      <w:bookmarkStart w:id="510" w:name="fnref79_4"/>
      <w:bookmarkEnd w:id="510"/>
      <w:hyperlink w:anchor="fn79">
        <w:r>
          <w:rPr>
            <w:rFonts w:eastAsia="inter" w:cs="inter" w:ascii="inter" w:hAnsi="inter"/>
            <w:color w:val="#000"/>
            <w:u w:val="single"/>
            <w:vertAlign w:val="superscript"/>
          </w:rPr>
          <w:t xml:space="preserve">[79]</w:t>
        </w:r>
      </w:hyperlink>
      <w:bookmarkStart w:id="511" w:name="fnref15_45"/>
      <w:bookmarkEnd w:id="511"/>
      <w:hyperlink w:anchor="fn15">
        <w:r>
          <w:rPr>
            <w:rFonts w:eastAsia="inter" w:cs="inter" w:ascii="inter" w:hAnsi="inter"/>
            <w:color w:val="#000"/>
            <w:u w:val="single"/>
            <w:vertAlign w:val="superscript"/>
          </w:rPr>
          <w:t xml:space="preserve">[15]</w:t>
        </w:r>
      </w:hyperlink>
    </w:p>
    <w:p>
      <w:pPr>
        <w:spacing w:line="360" w:after="210" w:lineRule="auto"/>
      </w:pPr>
      <w:r>
        <w:rPr>
          <w:rFonts w:eastAsia="inter" w:cs="inter" w:ascii="inter" w:hAnsi="inter"/>
          <w:color w:val="000000"/>
        </w:rPr>
        <w:t xml:space="preserve">This segmentation enables coexistence of channels—each serves distinct consumer needs with different value propositions and cost structures.</w:t>
      </w:r>
      <w:bookmarkStart w:id="512" w:name="fnref80_8"/>
      <w:bookmarkEnd w:id="512"/>
      <w:hyperlink w:anchor="fn80">
        <w:r>
          <w:rPr>
            <w:rFonts w:eastAsia="inter" w:cs="inter" w:ascii="inter" w:hAnsi="inter"/>
            <w:color w:val="#000"/>
            <w:u w:val="single"/>
            <w:vertAlign w:val="superscript"/>
          </w:rPr>
          <w:t xml:space="preserve">[80]</w:t>
        </w:r>
      </w:hyperlink>
      <w:bookmarkStart w:id="513" w:name="fnref15_46"/>
      <w:bookmarkEnd w:id="513"/>
      <w:hyperlink w:anchor="fn15">
        <w:r>
          <w:rPr>
            <w:rFonts w:eastAsia="inter" w:cs="inter" w:ascii="inter" w:hAnsi="inter"/>
            <w:color w:val="#000"/>
            <w:u w:val="single"/>
            <w:vertAlign w:val="superscript"/>
          </w:rPr>
          <w:t xml:space="preserve">[15]</w:t>
        </w:r>
      </w:hyperlink>
    </w:p>
    <w:p>
      <w:pPr>
        <w:spacing w:line="360" w:after="210" w:lineRule="auto"/>
      </w:pPr>
      <w:r>
        <w:rPr>
          <w:rFonts w:eastAsia="inter" w:cs="inter" w:ascii="inter" w:hAnsi="inter"/>
          <w:b/>
          <w:color w:val="000000"/>
        </w:rPr>
        <w:t xml:space="preserve">Geographic Variations in Distribution</w:t>
      </w:r>
    </w:p>
    <w:p>
      <w:pPr>
        <w:spacing w:line="360" w:after="210" w:lineRule="auto"/>
      </w:pPr>
      <w:r>
        <w:rPr>
          <w:rFonts w:eastAsia="inter" w:cs="inter" w:ascii="inter" w:hAnsi="inter"/>
          <w:color w:val="000000"/>
        </w:rPr>
        <w:t xml:space="preserve">Channel structure varies significantly across markets reflecting infrastructure and consumer behavior differences:</w:t>
      </w:r>
      <w:bookmarkStart w:id="514" w:name="fnref6_20"/>
      <w:bookmarkEnd w:id="514"/>
      <w:hyperlink w:anchor="fn6">
        <w:r>
          <w:rPr>
            <w:rFonts w:eastAsia="inter" w:cs="inter" w:ascii="inter" w:hAnsi="inter"/>
            <w:color w:val="#000"/>
            <w:u w:val="single"/>
            <w:vertAlign w:val="superscript"/>
          </w:rPr>
          <w:t xml:space="preserve">[6]</w:t>
        </w:r>
      </w:hyperlink>
      <w:bookmarkStart w:id="515" w:name="fnref24_16"/>
      <w:bookmarkEnd w:id="515"/>
      <w:hyperlink w:anchor="fn24">
        <w:r>
          <w:rPr>
            <w:rFonts w:eastAsia="inter" w:cs="inter" w:ascii="inter" w:hAnsi="inter"/>
            <w:color w:val="#000"/>
            <w:u w:val="single"/>
            <w:vertAlign w:val="superscript"/>
          </w:rPr>
          <w:t xml:space="preserve">[24]</w:t>
        </w:r>
      </w:hyperlink>
      <w:bookmarkStart w:id="516" w:name="fnref15_47"/>
      <w:bookmarkEnd w:id="516"/>
      <w:hyperlink w:anchor="fn15">
        <w:r>
          <w:rPr>
            <w:rFonts w:eastAsia="inter" w:cs="inter" w:ascii="inter" w:hAnsi="inter"/>
            <w:color w:val="#000"/>
            <w:u w:val="single"/>
            <w:vertAlign w:val="superscript"/>
          </w:rPr>
          <w:t xml:space="preserve">[15]</w:t>
        </w:r>
      </w:hyperlink>
    </w:p>
    <w:tbl>
      <w:tblPr>
        <w:tblStyle w:val="TableGrid"/>
        <w:jc w:val="center"/>
        <w:tblCellSpacing w:w="0" w:type="dxa"/>
        <w:tblBorders>
          <w:top w:val="single" w:sz="2" w:space="0" w:color="000000"/>
          <w:left w:val="single" w:sz="2" w:space="0" w:color="000000"/>
          <w:bottom w:val="single" w:sz="2" w:space="0" w:color="000000"/>
          <w:right w:val="single" w:sz="2" w:space="0" w:color="000000"/>
        </w:tblBorders>
        <w:tblCellMar>
          <w:top w:type="dxa" w:w="80"/>
          <w:left w:type="dxa" w:w="160"/>
          <w:bottom w:type="dxa" w:w="80"/>
          <w:right w:type="dxa" w:w="160"/>
        </w:tblCellMar>
      </w:tblPr>
      <w:tblGrid>
        <w:gridCol w:w="2378"/>
        <w:gridCol w:w="2378"/>
        <w:gridCol w:w="2378"/>
        <w:gridCol w:w="2378"/>
      </w:tblGrid>
      <w:tr>
        <w:trPr>
          <w:cantSplit/>
        </w:trPr>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Market</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E-commerce Share</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Traditional Retail</w:t>
            </w:r>
          </w:p>
        </w:tc>
        <w:tc>
          <w:tcPr>
            <w:tcBorders>
              <w:top w:val="single" w:sz="1" w:space="0" w:color="000000"/>
              <w:bottom w:val="single" w:sz="1" w:space="0" w:color="000000"/>
            </w:tcBorders>
          </w:tcPr>
          <w:p>
            <w:pPr>
              <w:spacing w:line="360" w:lineRule="auto"/>
            </w:pPr>
            <w:r>
              <w:rPr>
                <w:rFonts w:eastAsia="inter" w:cs="inter" w:ascii="inter" w:hAnsi="inter"/>
                <w:color w:val="000000"/>
                <w:sz w:val="17"/>
              </w:rPr>
              <w:t xml:space="preserve">Professional/Salon</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United States</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62%</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25%</w:t>
            </w:r>
          </w:p>
        </w:tc>
        <w:tc>
          <w:tcPr>
            <w:tcBorders>
              <w:top w:val="single" w:sz="1" w:space="0" w:color="000000"/>
              <w:bottom w:val="single" w:sz="1" w:space="0" w:color="000000"/>
            </w:tcBorders>
          </w:tcPr>
          <w:p>
            <w:pPr>
              <w:spacing w:line="360" w:lineRule="auto"/>
            </w:pPr>
            <w:r>
              <w:rPr>
                <w:rFonts w:eastAsia="inter" w:cs="inter" w:ascii="inter" w:hAnsi="inter"/>
                <w:color w:val="000000"/>
                <w:sz w:val="17"/>
              </w:rPr>
              <w:t xml:space="preserve">13%</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India</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58%</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30%</w:t>
            </w:r>
          </w:p>
        </w:tc>
        <w:tc>
          <w:tcPr>
            <w:tcBorders>
              <w:top w:val="single" w:sz="1" w:space="0" w:color="000000"/>
              <w:bottom w:val="single" w:sz="1" w:space="0" w:color="000000"/>
            </w:tcBorders>
          </w:tcPr>
          <w:p>
            <w:pPr>
              <w:spacing w:line="360" w:lineRule="auto"/>
            </w:pPr>
            <w:r>
              <w:rPr>
                <w:rFonts w:eastAsia="inter" w:cs="inter" w:ascii="inter" w:hAnsi="inter"/>
                <w:color w:val="000000"/>
                <w:sz w:val="17"/>
              </w:rPr>
              <w:t xml:space="preserve">12%</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China</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71%</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18%</w:t>
            </w:r>
          </w:p>
        </w:tc>
        <w:tc>
          <w:tcPr>
            <w:tcBorders>
              <w:top w:val="single" w:sz="1" w:space="0" w:color="000000"/>
              <w:bottom w:val="single" w:sz="1" w:space="0" w:color="000000"/>
            </w:tcBorders>
          </w:tcPr>
          <w:p>
            <w:pPr>
              <w:spacing w:line="360" w:lineRule="auto"/>
            </w:pPr>
            <w:r>
              <w:rPr>
                <w:rFonts w:eastAsia="inter" w:cs="inter" w:ascii="inter" w:hAnsi="inter"/>
                <w:color w:val="000000"/>
                <w:sz w:val="17"/>
              </w:rPr>
              <w:t xml:space="preserve">11%</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Europe</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48%</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38%</w:t>
            </w:r>
          </w:p>
        </w:tc>
        <w:tc>
          <w:tcPr>
            <w:tcBorders>
              <w:top w:val="single" w:sz="1" w:space="0" w:color="000000"/>
              <w:bottom w:val="single" w:sz="1" w:space="0" w:color="000000"/>
            </w:tcBorders>
          </w:tcPr>
          <w:p>
            <w:pPr>
              <w:spacing w:line="360" w:lineRule="auto"/>
            </w:pPr>
            <w:r>
              <w:rPr>
                <w:rFonts w:eastAsia="inter" w:cs="inter" w:ascii="inter" w:hAnsi="inter"/>
                <w:color w:val="000000"/>
                <w:sz w:val="17"/>
              </w:rPr>
              <w:t xml:space="preserve">14%</w:t>
            </w:r>
          </w:p>
        </w:tc>
      </w:tr>
    </w:tbl>
    <w:p>
      <w:pPr>
        <w:spacing w:lineRule="auto"/>
      </w:pPr>
    </w:p>
    <w:p>
      <w:pPr>
        <w:spacing w:line="360" w:after="210" w:lineRule="auto"/>
      </w:pPr>
      <w:r>
        <w:rPr>
          <w:rFonts w:eastAsia="inter" w:cs="inter" w:ascii="inter" w:hAnsi="inter"/>
          <w:color w:val="000000"/>
        </w:rPr>
        <w:t xml:space="preserve">China's exceptionally high e-commerce penetration reflects early digital ecosystem development (Alibaba/Taobao) and limited traditional retail infrastructure in tier-2/3 cities. India's growing e-commerce share (from 35% in 2019 to 58% in 2024) demonstrates rapid adoption as digital payment infrastructure and logistics networks expand.</w:t>
      </w:r>
      <w:bookmarkStart w:id="517" w:name="fnref24_17"/>
      <w:bookmarkEnd w:id="517"/>
      <w:hyperlink w:anchor="fn24">
        <w:r>
          <w:rPr>
            <w:rFonts w:eastAsia="inter" w:cs="inter" w:ascii="inter" w:hAnsi="inter"/>
            <w:color w:val="#000"/>
            <w:u w:val="single"/>
            <w:vertAlign w:val="superscript"/>
          </w:rPr>
          <w:t xml:space="preserve">[24]</w:t>
        </w:r>
      </w:hyperlink>
      <w:bookmarkStart w:id="518" w:name="fnref15_48"/>
      <w:bookmarkEnd w:id="518"/>
      <w:hyperlink w:anchor="fn15">
        <w:r>
          <w:rPr>
            <w:rFonts w:eastAsia="inter" w:cs="inter" w:ascii="inter" w:hAnsi="inter"/>
            <w:color w:val="#000"/>
            <w:u w:val="single"/>
            <w:vertAlign w:val="superscript"/>
          </w:rPr>
          <w:t xml:space="preserve">[15]</w:t>
        </w:r>
      </w:hyperlink>
    </w:p>
    <w:p>
      <w:pPr>
        <w:spacing w:line="360" w:after="210" w:lineRule="auto"/>
      </w:pPr>
      <w:r>
        <w:rPr>
          <w:rFonts w:eastAsia="inter" w:cs="inter" w:ascii="inter" w:hAnsi="inter"/>
          <w:color w:val="000000"/>
        </w:rPr>
        <w:t xml:space="preserve">Europe's lower online penetration reflects stronger traditional retail presence and consumer preferences for in-person shopping, particularly for personal care products. These geographic variations illustrate how institutional factors (retail infrastructure, payment systems, consumer trust) mediate technology adoption patterns.</w:t>
      </w:r>
      <w:bookmarkStart w:id="519" w:name="fnref15_49"/>
      <w:bookmarkEnd w:id="519"/>
      <w:hyperlink w:anchor="fn15">
        <w:r>
          <w:rPr>
            <w:rFonts w:eastAsia="inter" w:cs="inter" w:ascii="inter" w:hAnsi="inter"/>
            <w:color w:val="#000"/>
            <w:u w:val="single"/>
            <w:vertAlign w:val="superscript"/>
          </w:rPr>
          <w:t xml:space="preserve">[15]</w:t>
        </w:r>
      </w:hyperlink>
    </w:p>
    <w:p>
      <w:pPr>
        <w:spacing w:line="360" w:after="210" w:lineRule="auto"/>
      </w:pPr>
      <w:r>
        <w:rPr>
          <w:rFonts w:eastAsia="inter" w:cs="inter" w:ascii="inter" w:hAnsi="inter"/>
          <w:color w:val="000000"/>
        </w:rPr>
        <w:t xml:space="preserve">The supply chain analysis demonstrates how vertical specialization, transaction cost economization, and channel innovation shape the production and distribution of hair straightening brushes. Manufacturers coordinate complex networks of suppliers while adapting to disintermediation trends and channel proliferation, illustrating fundamental microeconomic principles of specialization, comparative advantage, and transaction cost minimization in modern global supply chains.</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520" w:name="demand_analysis_determinants_and_6bbd01"/>
      <w:r>
        <w:rPr>
          <w:rFonts w:eastAsia="inter" w:cs="inter" w:ascii="inter" w:hAnsi="inter"/>
          <w:b/>
          <w:color w:val="000000"/>
          <w:sz w:val="24"/>
        </w:rPr>
        <w:t xml:space="preserve">DEMAND ANALYSIS: DETERMINANTS AND CONSUMER BEHAVIOR</w:t>
      </w:r>
      <w:bookmarkEnd w:id="520"/>
    </w:p>
    <w:p>
      <w:pPr>
        <w:spacing w:line="360" w:before="315" w:after="105" w:lineRule="auto"/>
        <w:ind w:left="-30"/>
        <w:jc w:val="left"/>
      </w:pPr>
      <w:bookmarkStart w:id="521" w:name="nature_and_determinants_of_demand"/>
      <w:r>
        <w:rPr>
          <w:rFonts w:eastAsia="inter" w:cs="inter" w:ascii="inter" w:hAnsi="inter"/>
          <w:b/>
          <w:color w:val="000000"/>
          <w:sz w:val="24"/>
        </w:rPr>
        <w:t xml:space="preserve">Nature and Determinants of Demand</w:t>
      </w:r>
      <w:bookmarkEnd w:id="521"/>
    </w:p>
    <w:p>
      <w:pPr>
        <w:spacing w:line="360" w:after="210" w:lineRule="auto"/>
      </w:pPr>
      <w:r>
        <w:rPr>
          <w:rFonts w:eastAsia="inter" w:cs="inter" w:ascii="inter" w:hAnsi="inter"/>
          <w:color w:val="000000"/>
        </w:rPr>
        <w:t xml:space="preserve">Demand for hair straightening brushes reflects derived demand from consumers' desires for specific hairstyles and appearance attributes rather than intrinsic product demand. This section applies consumer choice theory to analyze demand determinants and behavioral drivers.</w:t>
      </w:r>
      <w:bookmarkStart w:id="522" w:name="fnref81"/>
      <w:bookmarkEnd w:id="522"/>
      <w:hyperlink w:anchor="fn81">
        <w:r>
          <w:rPr>
            <w:rFonts w:eastAsia="inter" w:cs="inter" w:ascii="inter" w:hAnsi="inter"/>
            <w:color w:val="#000"/>
            <w:u w:val="single"/>
            <w:vertAlign w:val="superscript"/>
          </w:rPr>
          <w:t xml:space="preserve">[81]</w:t>
        </w:r>
      </w:hyperlink>
      <w:bookmarkStart w:id="523" w:name="fnref6_21"/>
      <w:bookmarkEnd w:id="523"/>
      <w:hyperlink w:anchor="fn6">
        <w:r>
          <w:rPr>
            <w:rFonts w:eastAsia="inter" w:cs="inter" w:ascii="inter" w:hAnsi="inter"/>
            <w:color w:val="#000"/>
            <w:u w:val="single"/>
            <w:vertAlign w:val="superscript"/>
          </w:rPr>
          <w:t xml:space="preserve">[6]</w:t>
        </w:r>
      </w:hyperlink>
      <w:bookmarkStart w:id="524" w:name="fnref24_18"/>
      <w:bookmarkEnd w:id="524"/>
      <w:hyperlink w:anchor="fn24">
        <w:r>
          <w:rPr>
            <w:rFonts w:eastAsia="inter" w:cs="inter" w:ascii="inter" w:hAnsi="inter"/>
            <w:color w:val="#000"/>
            <w:u w:val="single"/>
            <w:vertAlign w:val="superscript"/>
          </w:rPr>
          <w:t xml:space="preserve">[24]</w:t>
        </w:r>
      </w:hyperlink>
    </w:p>
    <w:p>
      <w:pPr>
        <w:spacing w:line="360" w:after="210" w:lineRule="auto"/>
      </w:pPr>
      <w:r>
        <w:rPr>
          <w:rFonts w:eastAsia="inter" w:cs="inter" w:ascii="inter" w:hAnsi="inter"/>
          <w:b/>
          <w:color w:val="000000"/>
        </w:rPr>
        <w:t xml:space="preserve">Utility Function Specification</w:t>
      </w:r>
    </w:p>
    <w:p>
      <w:pPr>
        <w:spacing w:line="360" w:after="210" w:lineRule="auto"/>
      </w:pPr>
      <w:r>
        <w:rPr>
          <w:rFonts w:eastAsia="inter" w:cs="inter" w:ascii="inter" w:hAnsi="inter"/>
          <w:color w:val="000000"/>
        </w:rPr>
        <w:t xml:space="preserve">Consumers derive utility from hair straightening brushes through multiple attributes:</w:t>
      </w:r>
    </w:p>
    <w:p>
      <w:pPr>
        <w:spacing w:line="360" w:after="210" w:lineRule="auto"/>
      </w:pPr>
      <w:r>
        <w:rPr>
          <w:rFonts w:eastAsia="inter" w:cs="inter" w:ascii="inter" w:hAnsi="inter"/>
          <w:b/>
          <w:color w:val="000000"/>
        </w:rPr>
        <w:t xml:space="preserve">U = f(Styling Outcome, Time Savings, Ease of Use, Safety, Price)</w:t>
      </w:r>
    </w:p>
    <w:p>
      <w:pPr>
        <w:spacing w:line="360" w:after="210" w:lineRule="auto"/>
      </w:pPr>
      <w:r>
        <w:rPr>
          <w:rFonts w:eastAsia="inter" w:cs="inter" w:ascii="inter" w:hAnsi="inter"/>
          <w:color w:val="000000"/>
        </w:rPr>
        <w:t xml:space="preserve">Each attribute contributes to overall utility with diminishing marginal utility—the first minute of time saved provides greater utility increment than the tenth minute. This multi-attribute utility framework explains product differentiation success: manufacturers segment markets by emphasizing different attributes (premium brands focus on styling quality; budget brands on affordability).</w:t>
      </w:r>
      <w:bookmarkStart w:id="525" w:name="fnref15_50"/>
      <w:bookmarkEnd w:id="525"/>
      <w:hyperlink w:anchor="fn15">
        <w:r>
          <w:rPr>
            <w:rFonts w:eastAsia="inter" w:cs="inter" w:ascii="inter" w:hAnsi="inter"/>
            <w:color w:val="#000"/>
            <w:u w:val="single"/>
            <w:vertAlign w:val="superscript"/>
          </w:rPr>
          <w:t xml:space="preserve">[15]</w:t>
        </w:r>
      </w:hyperlink>
      <w:bookmarkStart w:id="526" w:name="fnref52_4"/>
      <w:bookmarkEnd w:id="526"/>
      <w:hyperlink w:anchor="fn52">
        <w:r>
          <w:rPr>
            <w:rFonts w:eastAsia="inter" w:cs="inter" w:ascii="inter" w:hAnsi="inter"/>
            <w:color w:val="#000"/>
            <w:u w:val="single"/>
            <w:vertAlign w:val="superscript"/>
          </w:rPr>
          <w:t xml:space="preserve">[52]</w:t>
        </w:r>
      </w:hyperlink>
      <w:bookmarkStart w:id="527" w:name="fnref25_3"/>
      <w:bookmarkEnd w:id="527"/>
      <w:hyperlink w:anchor="fn25">
        <w:r>
          <w:rPr>
            <w:rFonts w:eastAsia="inter" w:cs="inter" w:ascii="inter" w:hAnsi="inter"/>
            <w:color w:val="#000"/>
            <w:u w:val="single"/>
            <w:vertAlign w:val="superscript"/>
          </w:rPr>
          <w:t xml:space="preserve">[25]</w:t>
        </w:r>
      </w:hyperlink>
    </w:p>
    <w:p>
      <w:pPr>
        <w:spacing w:line="360" w:after="210" w:lineRule="auto"/>
      </w:pPr>
      <w:r>
        <w:rPr>
          <w:rFonts w:eastAsia="inter" w:cs="inter" w:ascii="inter" w:hAnsi="inter"/>
          <w:b/>
          <w:color w:val="000000"/>
        </w:rPr>
        <w:t xml:space="preserve">Primary Demand Determinants</w:t>
      </w:r>
    </w:p>
    <w:p>
      <w:pPr>
        <w:spacing w:line="360" w:after="210" w:lineRule="auto"/>
      </w:pPr>
      <w:r>
        <w:rPr>
          <w:rFonts w:eastAsia="inter" w:cs="inter" w:ascii="inter" w:hAnsi="inter"/>
          <w:i/>
          <w:color w:val="000000"/>
        </w:rPr>
        <w:t xml:space="preserve">Income Effects</w:t>
      </w:r>
      <w:r>
        <w:rPr>
          <w:rFonts w:eastAsia="inter" w:cs="inter" w:ascii="inter" w:hAnsi="inter"/>
          <w:color w:val="000000"/>
        </w:rPr>
        <w:t xml:space="preserve">: Hair straighteners exhibit characteristics of normal goods with positive income elasticity. As consumer incomes rise, demand increases more than proportionally in emerging markets where ownership rates remain low:</w:t>
      </w:r>
      <w:bookmarkStart w:id="528" w:name="fnref6_22"/>
      <w:bookmarkEnd w:id="528"/>
      <w:hyperlink w:anchor="fn6">
        <w:r>
          <w:rPr>
            <w:rFonts w:eastAsia="inter" w:cs="inter" w:ascii="inter" w:hAnsi="inter"/>
            <w:color w:val="#000"/>
            <w:u w:val="single"/>
            <w:vertAlign w:val="superscript"/>
          </w:rPr>
          <w:t xml:space="preserve">[6]</w:t>
        </w:r>
      </w:hyperlink>
      <w:bookmarkStart w:id="529" w:name="fnref82"/>
      <w:bookmarkEnd w:id="529"/>
      <w:hyperlink w:anchor="fn82">
        <w:r>
          <w:rPr>
            <w:rFonts w:eastAsia="inter" w:cs="inter" w:ascii="inter" w:hAnsi="inter"/>
            <w:color w:val="#000"/>
            <w:u w:val="single"/>
            <w:vertAlign w:val="superscript"/>
          </w:rPr>
          <w:t xml:space="preserve">[82]</w:t>
        </w:r>
      </w:hyperlink>
      <w:bookmarkStart w:id="530" w:name="fnref24_19"/>
      <w:bookmarkEnd w:id="530"/>
      <w:hyperlink w:anchor="fn24">
        <w:r>
          <w:rPr>
            <w:rFonts w:eastAsia="inter" w:cs="inter" w:ascii="inter" w:hAnsi="inter"/>
            <w:color w:val="#000"/>
            <w:u w:val="single"/>
            <w:vertAlign w:val="superscript"/>
          </w:rPr>
          <w:t xml:space="preserve">[24]</w:t>
        </w:r>
      </w:hyperlink>
    </w:p>
    <w:p>
      <w:pPr>
        <w:numPr>
          <w:ilvl w:val="0"/>
          <w:numId w:val="43"/>
        </w:numPr>
        <w:spacing w:line="360" w:before="105" w:after="105" w:lineRule="auto"/>
      </w:pPr>
      <w:r>
        <w:rPr>
          <w:rFonts w:eastAsia="inter" w:cs="inter" w:ascii="inter" w:hAnsi="inter"/>
          <w:color w:val="000000"/>
          <w:sz w:val="21"/>
        </w:rPr>
        <w:t xml:space="preserve">India: Middle-class expansion (8-10% annual income growth 2020-2024) correlates with 7.1% annual demand growth</w:t>
      </w:r>
      <w:bookmarkStart w:id="531" w:name="fnref82_1"/>
      <w:bookmarkEnd w:id="531"/>
      <w:hyperlink w:anchor="fn82">
        <w:r>
          <w:rPr>
            <w:rFonts w:eastAsia="inter" w:cs="inter" w:ascii="inter" w:hAnsi="inter"/>
            <w:color w:val="#000"/>
            <w:sz w:val="21"/>
            <w:u w:val="single"/>
            <w:vertAlign w:val="superscript"/>
          </w:rPr>
          <w:t xml:space="preserve">[82]</w:t>
        </w:r>
      </w:hyperlink>
      <w:bookmarkStart w:id="532" w:name="fnref6_23"/>
      <w:bookmarkEnd w:id="532"/>
      <w:hyperlink w:anchor="fn6">
        <w:r>
          <w:rPr>
            <w:rFonts w:eastAsia="inter" w:cs="inter" w:ascii="inter" w:hAnsi="inter"/>
            <w:color w:val="#000"/>
            <w:sz w:val="21"/>
            <w:u w:val="single"/>
            <w:vertAlign w:val="superscript"/>
          </w:rPr>
          <w:t xml:space="preserve">[6]</w:t>
        </w:r>
      </w:hyperlink>
    </w:p>
    <w:p>
      <w:pPr>
        <w:numPr>
          <w:ilvl w:val="0"/>
          <w:numId w:val="43"/>
        </w:numPr>
        <w:spacing w:line="360" w:before="105" w:after="105" w:lineRule="auto"/>
      </w:pPr>
      <w:r>
        <w:rPr>
          <w:rFonts w:eastAsia="inter" w:cs="inter" w:ascii="inter" w:hAnsi="inter"/>
          <w:color w:val="000000"/>
          <w:sz w:val="21"/>
        </w:rPr>
        <w:t xml:space="preserve">Advanced economies: Slower income growth (2-3% annually) associates with 3-4% demand growth</w:t>
      </w:r>
      <w:bookmarkStart w:id="533" w:name="fnref26_1"/>
      <w:bookmarkEnd w:id="533"/>
      <w:hyperlink w:anchor="fn26">
        <w:r>
          <w:rPr>
            <w:rFonts w:eastAsia="inter" w:cs="inter" w:ascii="inter" w:hAnsi="inter"/>
            <w:color w:val="#000"/>
            <w:sz w:val="21"/>
            <w:u w:val="single"/>
            <w:vertAlign w:val="superscript"/>
          </w:rPr>
          <w:t xml:space="preserve">[26]</w:t>
        </w:r>
      </w:hyperlink>
    </w:p>
    <w:p>
      <w:pPr>
        <w:spacing w:line="360" w:after="210" w:lineRule="auto"/>
      </w:pPr>
      <w:r>
        <w:rPr>
          <w:rFonts w:eastAsia="inter" w:cs="inter" w:ascii="inter" w:hAnsi="inter"/>
          <w:color w:val="000000"/>
        </w:rPr>
        <w:t xml:space="preserve">This pattern suggests luxury good characteristics in low-income contexts (high income elasticity) transitioning toward necessity-good status at higher income levels (lower elasticity).</w:t>
      </w:r>
      <w:bookmarkStart w:id="534" w:name="fnref83"/>
      <w:bookmarkEnd w:id="534"/>
      <w:hyperlink w:anchor="fn83">
        <w:r>
          <w:rPr>
            <w:rFonts w:eastAsia="inter" w:cs="inter" w:ascii="inter" w:hAnsi="inter"/>
            <w:color w:val="#000"/>
            <w:u w:val="single"/>
            <w:vertAlign w:val="superscript"/>
          </w:rPr>
          <w:t xml:space="preserve">[83]</w:t>
        </w:r>
      </w:hyperlink>
      <w:bookmarkStart w:id="535" w:name="fnref84"/>
      <w:bookmarkEnd w:id="535"/>
      <w:hyperlink w:anchor="fn84">
        <w:r>
          <w:rPr>
            <w:rFonts w:eastAsia="inter" w:cs="inter" w:ascii="inter" w:hAnsi="inter"/>
            <w:color w:val="#000"/>
            <w:u w:val="single"/>
            <w:vertAlign w:val="superscript"/>
          </w:rPr>
          <w:t xml:space="preserve">[84]</w:t>
        </w:r>
      </w:hyperlink>
    </w:p>
    <w:p>
      <w:pPr>
        <w:spacing w:line="360" w:after="210" w:lineRule="auto"/>
      </w:pPr>
      <w:r>
        <w:rPr>
          <w:rFonts w:eastAsia="inter" w:cs="inter" w:ascii="inter" w:hAnsi="inter"/>
          <w:i/>
          <w:color w:val="000000"/>
        </w:rPr>
        <w:t xml:space="preserve">Price of Substitutes</w:t>
      </w:r>
      <w:r>
        <w:rPr>
          <w:rFonts w:eastAsia="inter" w:cs="inter" w:ascii="inter" w:hAnsi="inter"/>
          <w:color w:val="000000"/>
        </w:rPr>
        <w:t xml:space="preserve">: Multiple hair styling technologies compete:</w:t>
      </w:r>
    </w:p>
    <w:p>
      <w:pPr>
        <w:numPr>
          <w:ilvl w:val="0"/>
          <w:numId w:val="44"/>
        </w:numPr>
        <w:spacing w:line="360" w:before="105" w:after="105" w:lineRule="auto"/>
      </w:pPr>
      <w:r>
        <w:rPr>
          <w:rFonts w:eastAsia="inter" w:cs="inter" w:ascii="inter" w:hAnsi="inter"/>
          <w:color w:val="000000"/>
          <w:sz w:val="21"/>
        </w:rPr>
        <w:t xml:space="preserve">Traditional flat irons (closest substitute)</w:t>
      </w:r>
    </w:p>
    <w:p>
      <w:pPr>
        <w:numPr>
          <w:ilvl w:val="0"/>
          <w:numId w:val="44"/>
        </w:numPr>
        <w:spacing w:line="360" w:before="105" w:after="105" w:lineRule="auto"/>
      </w:pPr>
      <w:r>
        <w:rPr>
          <w:rFonts w:eastAsia="inter" w:cs="inter" w:ascii="inter" w:hAnsi="inter"/>
          <w:color w:val="000000"/>
          <w:sz w:val="21"/>
        </w:rPr>
        <w:t xml:space="preserve">Blow dryers with round brushes</w:t>
      </w:r>
    </w:p>
    <w:p>
      <w:pPr>
        <w:numPr>
          <w:ilvl w:val="0"/>
          <w:numId w:val="44"/>
        </w:numPr>
        <w:spacing w:line="360" w:before="105" w:after="105" w:lineRule="auto"/>
      </w:pPr>
      <w:r>
        <w:rPr>
          <w:rFonts w:eastAsia="inter" w:cs="inter" w:ascii="inter" w:hAnsi="inter"/>
          <w:color w:val="000000"/>
          <w:sz w:val="21"/>
        </w:rPr>
        <w:t xml:space="preserve">Chemical straightening treatments</w:t>
      </w:r>
    </w:p>
    <w:p>
      <w:pPr>
        <w:numPr>
          <w:ilvl w:val="0"/>
          <w:numId w:val="44"/>
        </w:numPr>
        <w:spacing w:line="360" w:before="105" w:after="105" w:lineRule="auto"/>
      </w:pPr>
      <w:r>
        <w:rPr>
          <w:rFonts w:eastAsia="inter" w:cs="inter" w:ascii="inter" w:hAnsi="inter"/>
          <w:color w:val="000000"/>
          <w:sz w:val="21"/>
        </w:rPr>
        <w:t xml:space="preserve">Hair curling tools for alternative styles</w:t>
      </w:r>
    </w:p>
    <w:p>
      <w:pPr>
        <w:spacing w:line="360" w:after="210" w:lineRule="auto"/>
      </w:pPr>
      <w:r>
        <w:rPr>
          <w:rFonts w:eastAsia="inter" w:cs="inter" w:ascii="inter" w:hAnsi="inter"/>
          <w:color w:val="000000"/>
        </w:rPr>
        <w:t xml:space="preserve">Cross-price elasticity between straightening brushes and flat irons is estimated at +0.4 to +0.6, indicating substitute relationships. A 10% flat iron price increase would boost straightening brush demand by 4-6%. However, imperfect substitutability (different usage experiences, skill requirements) limits substitution effects.</w:t>
      </w:r>
      <w:bookmarkStart w:id="536" w:name="fnref1_3"/>
      <w:bookmarkEnd w:id="536"/>
      <w:hyperlink w:anchor="fn1">
        <w:r>
          <w:rPr>
            <w:rFonts w:eastAsia="inter" w:cs="inter" w:ascii="inter" w:hAnsi="inter"/>
            <w:color w:val="#000"/>
            <w:u w:val="single"/>
            <w:vertAlign w:val="superscript"/>
          </w:rPr>
          <w:t xml:space="preserve">[1]</w:t>
        </w:r>
      </w:hyperlink>
      <w:bookmarkStart w:id="537" w:name="fnref85"/>
      <w:bookmarkEnd w:id="537"/>
      <w:hyperlink w:anchor="fn85">
        <w:r>
          <w:rPr>
            <w:rFonts w:eastAsia="inter" w:cs="inter" w:ascii="inter" w:hAnsi="inter"/>
            <w:color w:val="#000"/>
            <w:u w:val="single"/>
            <w:vertAlign w:val="superscript"/>
          </w:rPr>
          <w:t xml:space="preserve">[85]</w:t>
        </w:r>
      </w:hyperlink>
      <w:bookmarkStart w:id="538" w:name="fnref86"/>
      <w:bookmarkEnd w:id="538"/>
      <w:hyperlink w:anchor="fn86">
        <w:r>
          <w:rPr>
            <w:rFonts w:eastAsia="inter" w:cs="inter" w:ascii="inter" w:hAnsi="inter"/>
            <w:color w:val="#000"/>
            <w:u w:val="single"/>
            <w:vertAlign w:val="superscript"/>
          </w:rPr>
          <w:t xml:space="preserve">[86]</w:t>
        </w:r>
      </w:hyperlink>
      <w:bookmarkStart w:id="539" w:name="fnref25_4"/>
      <w:bookmarkEnd w:id="539"/>
      <w:hyperlink w:anchor="fn25">
        <w:r>
          <w:rPr>
            <w:rFonts w:eastAsia="inter" w:cs="inter" w:ascii="inter" w:hAnsi="inter"/>
            <w:color w:val="#000"/>
            <w:u w:val="single"/>
            <w:vertAlign w:val="superscript"/>
          </w:rPr>
          <w:t xml:space="preserve">[25]</w:t>
        </w:r>
      </w:hyperlink>
    </w:p>
    <w:p>
      <w:pPr>
        <w:spacing w:line="360" w:after="210" w:lineRule="auto"/>
      </w:pPr>
      <w:r>
        <w:rPr>
          <w:rFonts w:eastAsia="inter" w:cs="inter" w:ascii="inter" w:hAnsi="inter"/>
          <w:i/>
          <w:color w:val="000000"/>
        </w:rPr>
        <w:t xml:space="preserve">Demographic Factors</w:t>
      </w:r>
      <w:r>
        <w:rPr>
          <w:rFonts w:eastAsia="inter" w:cs="inter" w:ascii="inter" w:hAnsi="inter"/>
          <w:color w:val="000000"/>
        </w:rPr>
        <w:t xml:space="preserve">:</w:t>
      </w:r>
    </w:p>
    <w:p>
      <w:pPr>
        <w:spacing w:line="360" w:after="210" w:lineRule="auto"/>
      </w:pPr>
      <w:r>
        <w:rPr>
          <w:rFonts w:eastAsia="inter" w:cs="inter" w:ascii="inter" w:hAnsi="inter"/>
          <w:b/>
          <w:color w:val="000000"/>
        </w:rPr>
        <w:t xml:space="preserve">Age distribution</w:t>
      </w:r>
      <w:r>
        <w:rPr>
          <w:rFonts w:eastAsia="inter" w:cs="inter" w:ascii="inter" w:hAnsi="inter"/>
          <w:color w:val="000000"/>
        </w:rPr>
        <w:t xml:space="preserve">: Peak demand concentration among 18-35 age cohort (accounting for 68% of purchases). This demographic prioritizes personal appearance, social media presence, and has higher experimentation rates with styling products. The under-25 segment demonstrates higher frequency usage (4-5 times weekly versus 2-3 times for 35+ consumers).</w:t>
      </w:r>
      <w:bookmarkStart w:id="540" w:name="fnref87"/>
      <w:bookmarkEnd w:id="540"/>
      <w:hyperlink w:anchor="fn87">
        <w:r>
          <w:rPr>
            <w:rFonts w:eastAsia="inter" w:cs="inter" w:ascii="inter" w:hAnsi="inter"/>
            <w:color w:val="#000"/>
            <w:u w:val="single"/>
            <w:vertAlign w:val="superscript"/>
          </w:rPr>
          <w:t xml:space="preserve">[87]</w:t>
        </w:r>
      </w:hyperlink>
      <w:bookmarkStart w:id="541" w:name="fnref25_5"/>
      <w:bookmarkEnd w:id="541"/>
      <w:hyperlink w:anchor="fn25">
        <w:r>
          <w:rPr>
            <w:rFonts w:eastAsia="inter" w:cs="inter" w:ascii="inter" w:hAnsi="inter"/>
            <w:color w:val="#000"/>
            <w:u w:val="single"/>
            <w:vertAlign w:val="superscript"/>
          </w:rPr>
          <w:t xml:space="preserve">[25]</w:t>
        </w:r>
      </w:hyperlink>
      <w:bookmarkStart w:id="542" w:name="fnref81_1"/>
      <w:bookmarkEnd w:id="542"/>
      <w:hyperlink w:anchor="fn81">
        <w:r>
          <w:rPr>
            <w:rFonts w:eastAsia="inter" w:cs="inter" w:ascii="inter" w:hAnsi="inter"/>
            <w:color w:val="#000"/>
            <w:u w:val="single"/>
            <w:vertAlign w:val="superscript"/>
          </w:rPr>
          <w:t xml:space="preserve">[81]</w:t>
        </w:r>
      </w:hyperlink>
    </w:p>
    <w:p>
      <w:pPr>
        <w:spacing w:line="360" w:after="210" w:lineRule="auto"/>
      </w:pPr>
      <w:r>
        <w:rPr>
          <w:rFonts w:eastAsia="inter" w:cs="inter" w:ascii="inter" w:hAnsi="inter"/>
          <w:b/>
          <w:color w:val="000000"/>
        </w:rPr>
        <w:t xml:space="preserve">Gender patterns</w:t>
      </w:r>
      <w:r>
        <w:rPr>
          <w:rFonts w:eastAsia="inter" w:cs="inter" w:ascii="inter" w:hAnsi="inter"/>
          <w:color w:val="000000"/>
        </w:rPr>
        <w:t xml:space="preserve">: While historically female-dominated (92% of users in 2010), male adoption increased to approximately 20% of ownership by 2024. This expansion reflects evolving grooming norms and male-oriented marketing, enlarging total addressable markets.</w:t>
      </w:r>
      <w:bookmarkStart w:id="543" w:name="fnref25_6"/>
      <w:bookmarkEnd w:id="543"/>
      <w:hyperlink w:anchor="fn25">
        <w:r>
          <w:rPr>
            <w:rFonts w:eastAsia="inter" w:cs="inter" w:ascii="inter" w:hAnsi="inter"/>
            <w:color w:val="#000"/>
            <w:u w:val="single"/>
            <w:vertAlign w:val="superscript"/>
          </w:rPr>
          <w:t xml:space="preserve">[25]</w:t>
        </w:r>
      </w:hyperlink>
      <w:bookmarkStart w:id="544" w:name="fnref81_2"/>
      <w:bookmarkEnd w:id="544"/>
      <w:hyperlink w:anchor="fn81">
        <w:r>
          <w:rPr>
            <w:rFonts w:eastAsia="inter" w:cs="inter" w:ascii="inter" w:hAnsi="inter"/>
            <w:color w:val="#000"/>
            <w:u w:val="single"/>
            <w:vertAlign w:val="superscript"/>
          </w:rPr>
          <w:t xml:space="preserve">[81]</w:t>
        </w:r>
      </w:hyperlink>
    </w:p>
    <w:p>
      <w:pPr>
        <w:spacing w:line="360" w:after="210" w:lineRule="auto"/>
      </w:pPr>
      <w:r>
        <w:rPr>
          <w:rFonts w:eastAsia="inter" w:cs="inter" w:ascii="inter" w:hAnsi="inter"/>
          <w:b/>
          <w:color w:val="000000"/>
        </w:rPr>
        <w:t xml:space="preserve">Urban-rural divide</w:t>
      </w:r>
      <w:r>
        <w:rPr>
          <w:rFonts w:eastAsia="inter" w:cs="inter" w:ascii="inter" w:hAnsi="inter"/>
          <w:color w:val="000000"/>
        </w:rPr>
        <w:t xml:space="preserve">: Urban residents demonstrate 3-4x higher ownership rates than rural populations. This reflects income differentials, exposure to beauty trends through social media, and electricity access (essential for product usage).</w:t>
      </w:r>
      <w:bookmarkStart w:id="545" w:name="fnref24_20"/>
      <w:bookmarkEnd w:id="545"/>
      <w:hyperlink w:anchor="fn24">
        <w:r>
          <w:rPr>
            <w:rFonts w:eastAsia="inter" w:cs="inter" w:ascii="inter" w:hAnsi="inter"/>
            <w:color w:val="#000"/>
            <w:u w:val="single"/>
            <w:vertAlign w:val="superscript"/>
          </w:rPr>
          <w:t xml:space="preserve">[24]</w:t>
        </w:r>
      </w:hyperlink>
      <w:bookmarkStart w:id="546" w:name="fnref88"/>
      <w:bookmarkEnd w:id="546"/>
      <w:hyperlink w:anchor="fn88">
        <w:r>
          <w:rPr>
            <w:rFonts w:eastAsia="inter" w:cs="inter" w:ascii="inter" w:hAnsi="inter"/>
            <w:color w:val="#000"/>
            <w:u w:val="single"/>
            <w:vertAlign w:val="superscript"/>
          </w:rPr>
          <w:t xml:space="preserve">[88]</w:t>
        </w:r>
      </w:hyperlink>
      <w:bookmarkStart w:id="547" w:name="fnref6_24"/>
      <w:bookmarkEnd w:id="547"/>
      <w:hyperlink w:anchor="fn6">
        <w:r>
          <w:rPr>
            <w:rFonts w:eastAsia="inter" w:cs="inter" w:ascii="inter" w:hAnsi="inter"/>
            <w:color w:val="#000"/>
            <w:u w:val="single"/>
            <w:vertAlign w:val="superscript"/>
          </w:rPr>
          <w:t xml:space="preserve">[6]</w:t>
        </w:r>
      </w:hyperlink>
    </w:p>
    <w:p>
      <w:pPr>
        <w:spacing w:line="360" w:after="210" w:lineRule="auto"/>
      </w:pPr>
      <w:r>
        <w:rPr>
          <w:rFonts w:eastAsia="inter" w:cs="inter" w:ascii="inter" w:hAnsi="inter"/>
          <w:i/>
          <w:color w:val="000000"/>
        </w:rPr>
        <w:t xml:space="preserve">Psychographic and Social Factors</w:t>
      </w:r>
      <w:r>
        <w:rPr>
          <w:rFonts w:eastAsia="inter" w:cs="inter" w:ascii="inter" w:hAnsi="inter"/>
          <w:color w:val="000000"/>
        </w:rPr>
        <w:t xml:space="preserve">:</w:t>
      </w:r>
    </w:p>
    <w:p>
      <w:pPr>
        <w:spacing w:line="360" w:after="210" w:lineRule="auto"/>
      </w:pPr>
      <w:r>
        <w:rPr>
          <w:rFonts w:eastAsia="inter" w:cs="inter" w:ascii="inter" w:hAnsi="inter"/>
          <w:b/>
          <w:color w:val="000000"/>
        </w:rPr>
        <w:t xml:space="preserve">Social media influence</w:t>
      </w:r>
      <w:r>
        <w:rPr>
          <w:rFonts w:eastAsia="inter" w:cs="inter" w:ascii="inter" w:hAnsi="inter"/>
          <w:color w:val="000000"/>
        </w:rPr>
        <w:t xml:space="preserve">: Beauty influencer content exposing consumers to styling techniques increases purchase propensity by 35-45%. This represents a form of information provision reducing search costs and uncertainty about product performance.</w:t>
      </w:r>
      <w:bookmarkStart w:id="548" w:name="fnref80_9"/>
      <w:bookmarkEnd w:id="548"/>
      <w:hyperlink w:anchor="fn80">
        <w:r>
          <w:rPr>
            <w:rFonts w:eastAsia="inter" w:cs="inter" w:ascii="inter" w:hAnsi="inter"/>
            <w:color w:val="#000"/>
            <w:u w:val="single"/>
            <w:vertAlign w:val="superscript"/>
          </w:rPr>
          <w:t xml:space="preserve">[80]</w:t>
        </w:r>
      </w:hyperlink>
      <w:bookmarkStart w:id="549" w:name="fnref81_3"/>
      <w:bookmarkEnd w:id="549"/>
      <w:hyperlink w:anchor="fn81">
        <w:r>
          <w:rPr>
            <w:rFonts w:eastAsia="inter" w:cs="inter" w:ascii="inter" w:hAnsi="inter"/>
            <w:color w:val="#000"/>
            <w:u w:val="single"/>
            <w:vertAlign w:val="superscript"/>
          </w:rPr>
          <w:t xml:space="preserve">[81]</w:t>
        </w:r>
      </w:hyperlink>
      <w:bookmarkStart w:id="550" w:name="fnref87_1"/>
      <w:bookmarkEnd w:id="550"/>
      <w:hyperlink w:anchor="fn87">
        <w:r>
          <w:rPr>
            <w:rFonts w:eastAsia="inter" w:cs="inter" w:ascii="inter" w:hAnsi="inter"/>
            <w:color w:val="#000"/>
            <w:u w:val="single"/>
            <w:vertAlign w:val="superscript"/>
          </w:rPr>
          <w:t xml:space="preserve">[87]</w:t>
        </w:r>
      </w:hyperlink>
    </w:p>
    <w:p>
      <w:pPr>
        <w:spacing w:line="360" w:after="210" w:lineRule="auto"/>
      </w:pPr>
      <w:r>
        <w:rPr>
          <w:rFonts w:eastAsia="inter" w:cs="inter" w:ascii="inter" w:hAnsi="inter"/>
          <w:b/>
          <w:color w:val="000000"/>
        </w:rPr>
        <w:t xml:space="preserve">Beauty consciousness and self-presentation</w:t>
      </w:r>
      <w:r>
        <w:rPr>
          <w:rFonts w:eastAsia="inter" w:cs="inter" w:ascii="inter" w:hAnsi="inter"/>
          <w:color w:val="000000"/>
        </w:rPr>
        <w:t xml:space="preserve">: Rising emphasis on personal appearance drives demand beyond functional needs. Economic prosperity enables higher discretionary spending on appearance-enhancing products, shifting consumption bundles toward positional goods signaling status.</w:t>
      </w:r>
      <w:bookmarkStart w:id="551" w:name="fnref81_4"/>
      <w:bookmarkEnd w:id="551"/>
      <w:hyperlink w:anchor="fn81">
        <w:r>
          <w:rPr>
            <w:rFonts w:eastAsia="inter" w:cs="inter" w:ascii="inter" w:hAnsi="inter"/>
            <w:color w:val="#000"/>
            <w:u w:val="single"/>
            <w:vertAlign w:val="superscript"/>
          </w:rPr>
          <w:t xml:space="preserve">[81]</w:t>
        </w:r>
      </w:hyperlink>
      <w:bookmarkStart w:id="552" w:name="fnref6_25"/>
      <w:bookmarkEnd w:id="552"/>
      <w:hyperlink w:anchor="fn6">
        <w:r>
          <w:rPr>
            <w:rFonts w:eastAsia="inter" w:cs="inter" w:ascii="inter" w:hAnsi="inter"/>
            <w:color w:val="#000"/>
            <w:u w:val="single"/>
            <w:vertAlign w:val="superscript"/>
          </w:rPr>
          <w:t xml:space="preserve">[6]</w:t>
        </w:r>
      </w:hyperlink>
      <w:bookmarkStart w:id="553" w:name="fnref82_2"/>
      <w:bookmarkEnd w:id="553"/>
      <w:hyperlink w:anchor="fn82">
        <w:r>
          <w:rPr>
            <w:rFonts w:eastAsia="inter" w:cs="inter" w:ascii="inter" w:hAnsi="inter"/>
            <w:color w:val="#000"/>
            <w:u w:val="single"/>
            <w:vertAlign w:val="superscript"/>
          </w:rPr>
          <w:t xml:space="preserve">[82]</w:t>
        </w:r>
      </w:hyperlink>
      <w:bookmarkStart w:id="554" w:name="fnref24_21"/>
      <w:bookmarkEnd w:id="554"/>
      <w:hyperlink w:anchor="fn24">
        <w:r>
          <w:rPr>
            <w:rFonts w:eastAsia="inter" w:cs="inter" w:ascii="inter" w:hAnsi="inter"/>
            <w:color w:val="#000"/>
            <w:u w:val="single"/>
            <w:vertAlign w:val="superscript"/>
          </w:rPr>
          <w:t xml:space="preserve">[24]</w:t>
        </w:r>
      </w:hyperlink>
    </w:p>
    <w:p>
      <w:pPr>
        <w:spacing w:line="360" w:after="210" w:lineRule="auto"/>
      </w:pPr>
      <w:r>
        <w:rPr>
          <w:rFonts w:eastAsia="inter" w:cs="inter" w:ascii="inter" w:hAnsi="inter"/>
          <w:b/>
          <w:color w:val="000000"/>
        </w:rPr>
        <w:t xml:space="preserve">Time opportunity costs</w:t>
      </w:r>
      <w:r>
        <w:rPr>
          <w:rFonts w:eastAsia="inter" w:cs="inter" w:ascii="inter" w:hAnsi="inter"/>
          <w:color w:val="000000"/>
        </w:rPr>
        <w:t xml:space="preserve">: Working professionals valuing time-efficiency favor straightening brushes over traditional methods requiring 30-40% longer styling periods. This illustrates how rising wage rates increase opportunity costs of time-intensive grooming, shifting demand toward time-saving technologies.</w:t>
      </w:r>
      <w:bookmarkStart w:id="555" w:name="fnref1_4"/>
      <w:bookmarkEnd w:id="555"/>
      <w:hyperlink w:anchor="fn1">
        <w:r>
          <w:rPr>
            <w:rFonts w:eastAsia="inter" w:cs="inter" w:ascii="inter" w:hAnsi="inter"/>
            <w:color w:val="#000"/>
            <w:u w:val="single"/>
            <w:vertAlign w:val="superscript"/>
          </w:rPr>
          <w:t xml:space="preserve">[1]</w:t>
        </w:r>
      </w:hyperlink>
      <w:bookmarkStart w:id="556" w:name="fnref25_7"/>
      <w:bookmarkEnd w:id="556"/>
      <w:hyperlink w:anchor="fn25">
        <w:r>
          <w:rPr>
            <w:rFonts w:eastAsia="inter" w:cs="inter" w:ascii="inter" w:hAnsi="inter"/>
            <w:color w:val="#000"/>
            <w:u w:val="single"/>
            <w:vertAlign w:val="superscript"/>
          </w:rPr>
          <w:t xml:space="preserve">[25]</w:t>
        </w:r>
      </w:hyperlink>
    </w:p>
    <w:p>
      <w:pPr>
        <w:spacing w:line="360" w:after="210" w:lineRule="auto"/>
      </w:pPr>
      <w:r>
        <w:rPr>
          <w:rFonts w:eastAsia="inter" w:cs="inter" w:ascii="inter" w:hAnsi="inter"/>
          <w:i/>
          <w:color w:val="000000"/>
        </w:rPr>
        <w:t xml:space="preserve">Product-Specific Attributes</w:t>
      </w:r>
      <w:r>
        <w:rPr>
          <w:rFonts w:eastAsia="inter" w:cs="inter" w:ascii="inter" w:hAnsi="inter"/>
          <w:color w:val="000000"/>
        </w:rPr>
        <w:t xml:space="preserve">:</w:t>
      </w:r>
    </w:p>
    <w:p>
      <w:pPr>
        <w:spacing w:line="360" w:after="210" w:lineRule="auto"/>
      </w:pPr>
      <w:r>
        <w:rPr>
          <w:rFonts w:eastAsia="inter" w:cs="inter" w:ascii="inter" w:hAnsi="inter"/>
          <w:b/>
          <w:color w:val="000000"/>
        </w:rPr>
        <w:t xml:space="preserve">Technology features</w:t>
      </w:r>
      <w:r>
        <w:rPr>
          <w:rFonts w:eastAsia="inter" w:cs="inter" w:ascii="inter" w:hAnsi="inter"/>
          <w:color w:val="000000"/>
        </w:rPr>
        <w:t xml:space="preserve">: Ionic technology, ceramic plates, and rapid heating increase willingness-to-pay by 15-35% versus basic models. This technology premium reflects consumer valuation of reduced damage and improved results.</w:t>
      </w:r>
      <w:bookmarkStart w:id="557" w:name="fnref2_2"/>
      <w:bookmarkEnd w:id="557"/>
      <w:hyperlink w:anchor="fn2">
        <w:r>
          <w:rPr>
            <w:rFonts w:eastAsia="inter" w:cs="inter" w:ascii="inter" w:hAnsi="inter"/>
            <w:color w:val="#000"/>
            <w:u w:val="single"/>
            <w:vertAlign w:val="superscript"/>
          </w:rPr>
          <w:t xml:space="preserve">[2]</w:t>
        </w:r>
      </w:hyperlink>
      <w:bookmarkStart w:id="558" w:name="fnref52_5"/>
      <w:bookmarkEnd w:id="558"/>
      <w:hyperlink w:anchor="fn52">
        <w:r>
          <w:rPr>
            <w:rFonts w:eastAsia="inter" w:cs="inter" w:ascii="inter" w:hAnsi="inter"/>
            <w:color w:val="#000"/>
            <w:u w:val="single"/>
            <w:vertAlign w:val="superscript"/>
          </w:rPr>
          <w:t xml:space="preserve">[52]</w:t>
        </w:r>
      </w:hyperlink>
      <w:bookmarkStart w:id="559" w:name="fnref15_51"/>
      <w:bookmarkEnd w:id="559"/>
      <w:hyperlink w:anchor="fn15">
        <w:r>
          <w:rPr>
            <w:rFonts w:eastAsia="inter" w:cs="inter" w:ascii="inter" w:hAnsi="inter"/>
            <w:color w:val="#000"/>
            <w:u w:val="single"/>
            <w:vertAlign w:val="superscript"/>
          </w:rPr>
          <w:t xml:space="preserve">[15]</w:t>
        </w:r>
      </w:hyperlink>
      <w:bookmarkStart w:id="560" w:name="fnref1_5"/>
      <w:bookmarkEnd w:id="560"/>
      <w:hyperlink w:anchor="fn1">
        <w:r>
          <w:rPr>
            <w:rFonts w:eastAsia="inter" w:cs="inter" w:ascii="inter" w:hAnsi="inter"/>
            <w:color w:val="#000"/>
            <w:u w:val="single"/>
            <w:vertAlign w:val="superscript"/>
          </w:rPr>
          <w:t xml:space="preserve">[1]</w:t>
        </w:r>
      </w:hyperlink>
    </w:p>
    <w:p>
      <w:pPr>
        <w:spacing w:line="360" w:after="210" w:lineRule="auto"/>
      </w:pPr>
      <w:r>
        <w:rPr>
          <w:rFonts w:eastAsia="inter" w:cs="inter" w:ascii="inter" w:hAnsi="inter"/>
          <w:b/>
          <w:color w:val="000000"/>
        </w:rPr>
        <w:t xml:space="preserve">Brand reputation</w:t>
      </w:r>
      <w:r>
        <w:rPr>
          <w:rFonts w:eastAsia="inter" w:cs="inter" w:ascii="inter" w:hAnsi="inter"/>
          <w:color w:val="000000"/>
        </w:rPr>
        <w:t xml:space="preserve">: Established brands (GHD, Dyson, Philips) command premiums of 40-100% over functionally similar unbranded products. Brand serves as quality signal reducing consumer search costs and perceived risk.</w:t>
      </w:r>
      <w:bookmarkStart w:id="561" w:name="fnref52_6"/>
      <w:bookmarkEnd w:id="561"/>
      <w:hyperlink w:anchor="fn52">
        <w:r>
          <w:rPr>
            <w:rFonts w:eastAsia="inter" w:cs="inter" w:ascii="inter" w:hAnsi="inter"/>
            <w:color w:val="#000"/>
            <w:u w:val="single"/>
            <w:vertAlign w:val="superscript"/>
          </w:rPr>
          <w:t xml:space="preserve">[52]</w:t>
        </w:r>
      </w:hyperlink>
      <w:bookmarkStart w:id="562" w:name="fnref29_4"/>
      <w:bookmarkEnd w:id="562"/>
      <w:hyperlink w:anchor="fn29">
        <w:r>
          <w:rPr>
            <w:rFonts w:eastAsia="inter" w:cs="inter" w:ascii="inter" w:hAnsi="inter"/>
            <w:color w:val="#000"/>
            <w:u w:val="single"/>
            <w:vertAlign w:val="superscript"/>
          </w:rPr>
          <w:t xml:space="preserve">[29]</w:t>
        </w:r>
      </w:hyperlink>
      <w:bookmarkStart w:id="563" w:name="fnref15_52"/>
      <w:bookmarkEnd w:id="563"/>
      <w:hyperlink w:anchor="fn15">
        <w:r>
          <w:rPr>
            <w:rFonts w:eastAsia="inter" w:cs="inter" w:ascii="inter" w:hAnsi="inter"/>
            <w:color w:val="#000"/>
            <w:u w:val="single"/>
            <w:vertAlign w:val="superscript"/>
          </w:rPr>
          <w:t xml:space="preserve">[15]</w:t>
        </w:r>
      </w:hyperlink>
    </w:p>
    <w:p>
      <w:pPr>
        <w:spacing w:line="360" w:after="210" w:lineRule="auto"/>
      </w:pPr>
      <w:r>
        <w:rPr>
          <w:rFonts w:eastAsia="inter" w:cs="inter" w:ascii="inter" w:hAnsi="inter"/>
          <w:b/>
          <w:color w:val="000000"/>
        </w:rPr>
        <w:t xml:space="preserve">Safety certifications</w:t>
      </w:r>
      <w:r>
        <w:rPr>
          <w:rFonts w:eastAsia="inter" w:cs="inter" w:ascii="inter" w:hAnsi="inter"/>
          <w:color w:val="000000"/>
        </w:rPr>
        <w:t xml:space="preserve">: BIS certification in India and UL/CE marks in other markets increase demand by reducing perceived safety risks. Mandatory certification transforms these marks into non-differentiating baseline requirements rather than premium attributes.</w:t>
      </w:r>
      <w:bookmarkStart w:id="564" w:name="fnref55_3"/>
      <w:bookmarkEnd w:id="564"/>
      <w:hyperlink w:anchor="fn55">
        <w:r>
          <w:rPr>
            <w:rFonts w:eastAsia="inter" w:cs="inter" w:ascii="inter" w:hAnsi="inter"/>
            <w:color w:val="#000"/>
            <w:u w:val="single"/>
            <w:vertAlign w:val="superscript"/>
          </w:rPr>
          <w:t xml:space="preserve">[55]</w:t>
        </w:r>
      </w:hyperlink>
      <w:bookmarkStart w:id="565" w:name="fnref89"/>
      <w:bookmarkEnd w:id="565"/>
      <w:hyperlink w:anchor="fn89">
        <w:r>
          <w:rPr>
            <w:rFonts w:eastAsia="inter" w:cs="inter" w:ascii="inter" w:hAnsi="inter"/>
            <w:color w:val="#000"/>
            <w:u w:val="single"/>
            <w:vertAlign w:val="superscript"/>
          </w:rPr>
          <w:t xml:space="preserve">[89]</w:t>
        </w:r>
      </w:hyperlink>
      <w:bookmarkStart w:id="566" w:name="fnref56_2"/>
      <w:bookmarkEnd w:id="566"/>
      <w:hyperlink w:anchor="fn56">
        <w:r>
          <w:rPr>
            <w:rFonts w:eastAsia="inter" w:cs="inter" w:ascii="inter" w:hAnsi="inter"/>
            <w:color w:val="#000"/>
            <w:u w:val="single"/>
            <w:vertAlign w:val="superscript"/>
          </w:rPr>
          <w:t xml:space="preserve">[56]</w:t>
        </w:r>
      </w:hyperlink>
    </w:p>
    <w:p>
      <w:pPr>
        <w:spacing w:line="360" w:before="315" w:after="105" w:lineRule="auto"/>
        <w:ind w:left="-30"/>
        <w:jc w:val="left"/>
      </w:pPr>
      <w:bookmarkStart w:id="567" w:name="consumer_behavior_purchase_decisi_de860d"/>
      <w:r>
        <w:rPr>
          <w:rFonts w:eastAsia="inter" w:cs="inter" w:ascii="inter" w:hAnsi="inter"/>
          <w:b/>
          <w:color w:val="000000"/>
          <w:sz w:val="24"/>
        </w:rPr>
        <w:t xml:space="preserve">Consumer Behavior: Purchase Decision Process</w:t>
      </w:r>
      <w:bookmarkEnd w:id="567"/>
    </w:p>
    <w:p>
      <w:pPr>
        <w:spacing w:line="360" w:after="210" w:lineRule="auto"/>
      </w:pPr>
      <w:r>
        <w:rPr>
          <w:rFonts w:eastAsia="inter" w:cs="inter" w:ascii="inter" w:hAnsi="inter"/>
          <w:color w:val="000000"/>
        </w:rPr>
        <w:t xml:space="preserve">The hair straightener purchase decision follows a multi-stage process with distinct economic considerations at each phase:</w:t>
      </w:r>
      <w:bookmarkStart w:id="568" w:name="fnref80_10"/>
      <w:bookmarkEnd w:id="568"/>
      <w:hyperlink w:anchor="fn80">
        <w:r>
          <w:rPr>
            <w:rFonts w:eastAsia="inter" w:cs="inter" w:ascii="inter" w:hAnsi="inter"/>
            <w:color w:val="#000"/>
            <w:u w:val="single"/>
            <w:vertAlign w:val="superscript"/>
          </w:rPr>
          <w:t xml:space="preserve">[80]</w:t>
        </w:r>
      </w:hyperlink>
      <w:bookmarkStart w:id="569" w:name="fnref25_8"/>
      <w:bookmarkEnd w:id="569"/>
      <w:hyperlink w:anchor="fn25">
        <w:r>
          <w:rPr>
            <w:rFonts w:eastAsia="inter" w:cs="inter" w:ascii="inter" w:hAnsi="inter"/>
            <w:color w:val="#000"/>
            <w:u w:val="single"/>
            <w:vertAlign w:val="superscript"/>
          </w:rPr>
          <w:t xml:space="preserve">[25]</w:t>
        </w:r>
      </w:hyperlink>
    </w:p>
    <w:p>
      <w:pPr>
        <w:spacing w:line="360" w:after="210" w:lineRule="auto"/>
      </w:pPr>
      <w:r>
        <w:rPr>
          <w:rFonts w:eastAsia="inter" w:cs="inter" w:ascii="inter" w:hAnsi="inter"/>
          <w:b/>
          <w:color w:val="000000"/>
        </w:rPr>
        <w:t xml:space="preserve">Stage 1: Problem Recognition</w:t>
      </w:r>
    </w:p>
    <w:p>
      <w:pPr>
        <w:spacing w:line="360" w:after="210" w:lineRule="auto"/>
      </w:pPr>
      <w:r>
        <w:rPr>
          <w:rFonts w:eastAsia="inter" w:cs="inter" w:ascii="inter" w:hAnsi="inter"/>
          <w:color w:val="000000"/>
        </w:rPr>
        <w:t xml:space="preserve">Consumers recognize need for straightening capability through:</w:t>
      </w:r>
    </w:p>
    <w:p>
      <w:pPr>
        <w:numPr>
          <w:ilvl w:val="0"/>
          <w:numId w:val="45"/>
        </w:numPr>
        <w:spacing w:line="360" w:before="105" w:after="105" w:lineRule="auto"/>
      </w:pPr>
      <w:r>
        <w:rPr>
          <w:rFonts w:eastAsia="inter" w:cs="inter" w:ascii="inter" w:hAnsi="inter"/>
          <w:color w:val="000000"/>
          <w:sz w:val="21"/>
        </w:rPr>
        <w:t xml:space="preserve">Dissatisfaction with current styling methods (50% of triggers)</w:t>
      </w:r>
      <w:bookmarkStart w:id="570" w:name="fnref25_9"/>
      <w:bookmarkEnd w:id="570"/>
      <w:hyperlink w:anchor="fn25">
        <w:r>
          <w:rPr>
            <w:rFonts w:eastAsia="inter" w:cs="inter" w:ascii="inter" w:hAnsi="inter"/>
            <w:color w:val="#000"/>
            <w:sz w:val="21"/>
            <w:u w:val="single"/>
            <w:vertAlign w:val="superscript"/>
          </w:rPr>
          <w:t xml:space="preserve">[25]</w:t>
        </w:r>
      </w:hyperlink>
    </w:p>
    <w:p>
      <w:pPr>
        <w:numPr>
          <w:ilvl w:val="0"/>
          <w:numId w:val="45"/>
        </w:numPr>
        <w:spacing w:line="360" w:before="105" w:after="105" w:lineRule="auto"/>
      </w:pPr>
      <w:r>
        <w:rPr>
          <w:rFonts w:eastAsia="inter" w:cs="inter" w:ascii="inter" w:hAnsi="inter"/>
          <w:color w:val="000000"/>
          <w:sz w:val="21"/>
        </w:rPr>
        <w:t xml:space="preserve">Social influence from peers or media (30%)</w:t>
      </w:r>
      <w:bookmarkStart w:id="571" w:name="fnref81_5"/>
      <w:bookmarkEnd w:id="571"/>
      <w:hyperlink w:anchor="fn81">
        <w:r>
          <w:rPr>
            <w:rFonts w:eastAsia="inter" w:cs="inter" w:ascii="inter" w:hAnsi="inter"/>
            <w:color w:val="#000"/>
            <w:sz w:val="21"/>
            <w:u w:val="single"/>
            <w:vertAlign w:val="superscript"/>
          </w:rPr>
          <w:t xml:space="preserve">[81]</w:t>
        </w:r>
      </w:hyperlink>
      <w:bookmarkStart w:id="572" w:name="fnref80_11"/>
      <w:bookmarkEnd w:id="572"/>
      <w:hyperlink w:anchor="fn80">
        <w:r>
          <w:rPr>
            <w:rFonts w:eastAsia="inter" w:cs="inter" w:ascii="inter" w:hAnsi="inter"/>
            <w:color w:val="#000"/>
            <w:sz w:val="21"/>
            <w:u w:val="single"/>
            <w:vertAlign w:val="superscript"/>
          </w:rPr>
          <w:t xml:space="preserve">[80]</w:t>
        </w:r>
      </w:hyperlink>
    </w:p>
    <w:p>
      <w:pPr>
        <w:numPr>
          <w:ilvl w:val="0"/>
          <w:numId w:val="45"/>
        </w:numPr>
        <w:spacing w:line="360" w:before="105" w:after="105" w:lineRule="auto"/>
      </w:pPr>
      <w:r>
        <w:rPr>
          <w:rFonts w:eastAsia="inter" w:cs="inter" w:ascii="inter" w:hAnsi="inter"/>
          <w:color w:val="000000"/>
          <w:sz w:val="21"/>
        </w:rPr>
        <w:t xml:space="preserve">Product failure requiring replacement (20%)</w:t>
      </w:r>
      <w:bookmarkStart w:id="573" w:name="fnref25_10"/>
      <w:bookmarkEnd w:id="573"/>
      <w:hyperlink w:anchor="fn25">
        <w:r>
          <w:rPr>
            <w:rFonts w:eastAsia="inter" w:cs="inter" w:ascii="inter" w:hAnsi="inter"/>
            <w:color w:val="#000"/>
            <w:sz w:val="21"/>
            <w:u w:val="single"/>
            <w:vertAlign w:val="superscript"/>
          </w:rPr>
          <w:t xml:space="preserve">[25]</w:t>
        </w:r>
      </w:hyperlink>
    </w:p>
    <w:p>
      <w:pPr>
        <w:spacing w:line="360" w:after="210" w:lineRule="auto"/>
      </w:pPr>
      <w:r>
        <w:rPr>
          <w:rFonts w:eastAsia="inter" w:cs="inter" w:ascii="inter" w:hAnsi="inter"/>
          <w:color w:val="000000"/>
        </w:rPr>
        <w:t xml:space="preserve">This stage involves minimal economic deliberation—need recognition is largely exogenous from price/income variables, driven by preference formation and social factors.</w:t>
      </w:r>
      <w:bookmarkStart w:id="574" w:name="fnref80_12"/>
      <w:bookmarkEnd w:id="574"/>
      <w:hyperlink w:anchor="fn80">
        <w:r>
          <w:rPr>
            <w:rFonts w:eastAsia="inter" w:cs="inter" w:ascii="inter" w:hAnsi="inter"/>
            <w:color w:val="#000"/>
            <w:u w:val="single"/>
            <w:vertAlign w:val="superscript"/>
          </w:rPr>
          <w:t xml:space="preserve">[80]</w:t>
        </w:r>
      </w:hyperlink>
    </w:p>
    <w:p>
      <w:pPr>
        <w:spacing w:line="360" w:after="210" w:lineRule="auto"/>
      </w:pPr>
      <w:r>
        <w:rPr>
          <w:rFonts w:eastAsia="inter" w:cs="inter" w:ascii="inter" w:hAnsi="inter"/>
          <w:b/>
          <w:color w:val="000000"/>
        </w:rPr>
        <w:t xml:space="preserve">Stage 2: Information Search</w:t>
      </w:r>
    </w:p>
    <w:p>
      <w:pPr>
        <w:spacing w:line="360" w:after="210" w:lineRule="auto"/>
      </w:pPr>
      <w:r>
        <w:rPr>
          <w:rFonts w:eastAsia="inter" w:cs="inter" w:ascii="inter" w:hAnsi="inter"/>
          <w:color w:val="000000"/>
        </w:rPr>
        <w:t xml:space="preserve">Consumers gather information to reduce uncertainty:</w:t>
      </w:r>
    </w:p>
    <w:p>
      <w:pPr>
        <w:spacing w:line="360" w:after="210" w:lineRule="auto"/>
      </w:pPr>
      <w:r>
        <w:rPr>
          <w:rFonts w:eastAsia="inter" w:cs="inter" w:ascii="inter" w:hAnsi="inter"/>
          <w:i/>
          <w:color w:val="000000"/>
        </w:rPr>
        <w:t xml:space="preserve">Internal search</w:t>
      </w:r>
      <w:r>
        <w:rPr>
          <w:rFonts w:eastAsia="inter" w:cs="inter" w:ascii="inter" w:hAnsi="inter"/>
          <w:color w:val="000000"/>
        </w:rPr>
        <w:t xml:space="preserve">: Recall previous experiences, friend recommendations (zero marginal cost)</w:t>
      </w:r>
      <w:bookmarkStart w:id="575" w:name="fnref80_13"/>
      <w:bookmarkEnd w:id="575"/>
      <w:hyperlink w:anchor="fn80">
        <w:r>
          <w:rPr>
            <w:rFonts w:eastAsia="inter" w:cs="inter" w:ascii="inter" w:hAnsi="inter"/>
            <w:color w:val="#000"/>
            <w:u w:val="single"/>
            <w:vertAlign w:val="superscript"/>
          </w:rPr>
          <w:t xml:space="preserve">[80]</w:t>
        </w:r>
      </w:hyperlink>
    </w:p>
    <w:p>
      <w:pPr>
        <w:spacing w:line="360" w:after="210" w:lineRule="auto"/>
      </w:pPr>
      <w:r>
        <w:rPr>
          <w:rFonts w:eastAsia="inter" w:cs="inter" w:ascii="inter" w:hAnsi="inter"/>
          <w:i/>
          <w:color w:val="000000"/>
        </w:rPr>
        <w:t xml:space="preserve">External search</w:t>
      </w:r>
      <w:r>
        <w:rPr>
          <w:rFonts w:eastAsia="inter" w:cs="inter" w:ascii="inter" w:hAnsi="inter"/>
          <w:color w:val="000000"/>
        </w:rPr>
        <w:t xml:space="preserve">: Online reviews, YouTube tutorials, retailer websites. Search intensity increases with:</w:t>
      </w:r>
    </w:p>
    <w:p>
      <w:pPr>
        <w:numPr>
          <w:ilvl w:val="0"/>
          <w:numId w:val="46"/>
        </w:numPr>
        <w:spacing w:line="360" w:before="105" w:after="105" w:lineRule="auto"/>
      </w:pPr>
      <w:r>
        <w:rPr>
          <w:rFonts w:eastAsia="inter" w:cs="inter" w:ascii="inter" w:hAnsi="inter"/>
          <w:color w:val="000000"/>
          <w:sz w:val="21"/>
        </w:rPr>
        <w:t xml:space="preserve">Purchase price (higher price justifies more search time)</w:t>
      </w:r>
      <w:bookmarkStart w:id="576" w:name="fnref25_11"/>
      <w:bookmarkEnd w:id="576"/>
      <w:hyperlink w:anchor="fn25">
        <w:r>
          <w:rPr>
            <w:rFonts w:eastAsia="inter" w:cs="inter" w:ascii="inter" w:hAnsi="inter"/>
            <w:color w:val="#000"/>
            <w:sz w:val="21"/>
            <w:u w:val="single"/>
            <w:vertAlign w:val="superscript"/>
          </w:rPr>
          <w:t xml:space="preserve">[25]</w:t>
        </w:r>
      </w:hyperlink>
      <w:bookmarkStart w:id="577" w:name="fnref80_14"/>
      <w:bookmarkEnd w:id="577"/>
      <w:hyperlink w:anchor="fn80">
        <w:r>
          <w:rPr>
            <w:rFonts w:eastAsia="inter" w:cs="inter" w:ascii="inter" w:hAnsi="inter"/>
            <w:color w:val="#000"/>
            <w:sz w:val="21"/>
            <w:u w:val="single"/>
            <w:vertAlign w:val="superscript"/>
          </w:rPr>
          <w:t xml:space="preserve">[80]</w:t>
        </w:r>
      </w:hyperlink>
    </w:p>
    <w:p>
      <w:pPr>
        <w:numPr>
          <w:ilvl w:val="0"/>
          <w:numId w:val="46"/>
        </w:numPr>
        <w:spacing w:line="360" w:before="105" w:after="105" w:lineRule="auto"/>
      </w:pPr>
      <w:r>
        <w:rPr>
          <w:rFonts w:eastAsia="inter" w:cs="inter" w:ascii="inter" w:hAnsi="inter"/>
          <w:color w:val="000000"/>
          <w:sz w:val="21"/>
        </w:rPr>
        <w:t xml:space="preserve">Perceived risk (technical complexity, safety concerns increase search)</w:t>
      </w:r>
      <w:bookmarkStart w:id="578" w:name="fnref80_15"/>
      <w:bookmarkEnd w:id="578"/>
      <w:hyperlink w:anchor="fn80">
        <w:r>
          <w:rPr>
            <w:rFonts w:eastAsia="inter" w:cs="inter" w:ascii="inter" w:hAnsi="inter"/>
            <w:color w:val="#000"/>
            <w:sz w:val="21"/>
            <w:u w:val="single"/>
            <w:vertAlign w:val="superscript"/>
          </w:rPr>
          <w:t xml:space="preserve">[80]</w:t>
        </w:r>
      </w:hyperlink>
      <w:bookmarkStart w:id="579" w:name="fnref25_12"/>
      <w:bookmarkEnd w:id="579"/>
      <w:hyperlink w:anchor="fn25">
        <w:r>
          <w:rPr>
            <w:rFonts w:eastAsia="inter" w:cs="inter" w:ascii="inter" w:hAnsi="inter"/>
            <w:color w:val="#000"/>
            <w:sz w:val="21"/>
            <w:u w:val="single"/>
            <w:vertAlign w:val="superscript"/>
          </w:rPr>
          <w:t xml:space="preserve">[25]</w:t>
        </w:r>
      </w:hyperlink>
    </w:p>
    <w:p>
      <w:pPr>
        <w:numPr>
          <w:ilvl w:val="0"/>
          <w:numId w:val="46"/>
        </w:numPr>
        <w:spacing w:line="360" w:before="105" w:after="105" w:lineRule="auto"/>
      </w:pPr>
      <w:r>
        <w:rPr>
          <w:rFonts w:eastAsia="inter" w:cs="inter" w:ascii="inter" w:hAnsi="inter"/>
          <w:color w:val="000000"/>
          <w:sz w:val="21"/>
        </w:rPr>
        <w:t xml:space="preserve">Prior knowledge (first-time buyers search 2-3x more than repeat purchasers)</w:t>
      </w:r>
      <w:bookmarkStart w:id="580" w:name="fnref25_13"/>
      <w:bookmarkEnd w:id="580"/>
      <w:hyperlink w:anchor="fn25">
        <w:r>
          <w:rPr>
            <w:rFonts w:eastAsia="inter" w:cs="inter" w:ascii="inter" w:hAnsi="inter"/>
            <w:color w:val="#000"/>
            <w:sz w:val="21"/>
            <w:u w:val="single"/>
            <w:vertAlign w:val="superscript"/>
          </w:rPr>
          <w:t xml:space="preserve">[25]</w:t>
        </w:r>
      </w:hyperlink>
    </w:p>
    <w:p>
      <w:pPr>
        <w:spacing w:line="360" w:after="210" w:lineRule="auto"/>
      </w:pPr>
      <w:r>
        <w:rPr>
          <w:rFonts w:eastAsia="inter" w:cs="inter" w:ascii="inter" w:hAnsi="inter"/>
          <w:color w:val="000000"/>
        </w:rPr>
        <w:t xml:space="preserve">The optimal search intensity equates marginal benefit of additional information (expected price reduction, quality improvement) to marginal search cost (time, cognitive effort). This explains why premium product buyers (facing larger absolute savings from finding best options) conduct more extensive searches than budget consumers.</w:t>
      </w:r>
      <w:bookmarkStart w:id="581" w:name="fnref80_16"/>
      <w:bookmarkEnd w:id="581"/>
      <w:hyperlink w:anchor="fn80">
        <w:r>
          <w:rPr>
            <w:rFonts w:eastAsia="inter" w:cs="inter" w:ascii="inter" w:hAnsi="inter"/>
            <w:color w:val="#000"/>
            <w:u w:val="single"/>
            <w:vertAlign w:val="superscript"/>
          </w:rPr>
          <w:t xml:space="preserve">[80]</w:t>
        </w:r>
      </w:hyperlink>
      <w:bookmarkStart w:id="582" w:name="fnref25_14"/>
      <w:bookmarkEnd w:id="582"/>
      <w:hyperlink w:anchor="fn25">
        <w:r>
          <w:rPr>
            <w:rFonts w:eastAsia="inter" w:cs="inter" w:ascii="inter" w:hAnsi="inter"/>
            <w:color w:val="#000"/>
            <w:u w:val="single"/>
            <w:vertAlign w:val="superscript"/>
          </w:rPr>
          <w:t xml:space="preserve">[25]</w:t>
        </w:r>
      </w:hyperlink>
    </w:p>
    <w:p>
      <w:pPr>
        <w:spacing w:line="360" w:after="210" w:lineRule="auto"/>
      </w:pPr>
      <w:r>
        <w:rPr>
          <w:rFonts w:eastAsia="inter" w:cs="inter" w:ascii="inter" w:hAnsi="inter"/>
          <w:b/>
          <w:color w:val="000000"/>
        </w:rPr>
        <w:t xml:space="preserve">Stage 3: Evaluation of Alternatives</w:t>
      </w:r>
    </w:p>
    <w:p>
      <w:pPr>
        <w:spacing w:line="360" w:after="210" w:lineRule="auto"/>
      </w:pPr>
      <w:r>
        <w:rPr>
          <w:rFonts w:eastAsia="inter" w:cs="inter" w:ascii="inter" w:hAnsi="inter"/>
          <w:color w:val="000000"/>
        </w:rPr>
        <w:t xml:space="preserve">Consumers compare products using compensatory models (high score on one attribute offsets low score on another) or non-compensatory rules (minimum thresholds on all attributes):</w:t>
      </w:r>
      <w:bookmarkStart w:id="583" w:name="fnref25_15"/>
      <w:bookmarkEnd w:id="583"/>
      <w:hyperlink w:anchor="fn25">
        <w:r>
          <w:rPr>
            <w:rFonts w:eastAsia="inter" w:cs="inter" w:ascii="inter" w:hAnsi="inter"/>
            <w:color w:val="#000"/>
            <w:u w:val="single"/>
            <w:vertAlign w:val="superscript"/>
          </w:rPr>
          <w:t xml:space="preserve">[25]</w:t>
        </w:r>
      </w:hyperlink>
      <w:bookmarkStart w:id="584" w:name="fnref80_17"/>
      <w:bookmarkEnd w:id="584"/>
      <w:hyperlink w:anchor="fn80">
        <w:r>
          <w:rPr>
            <w:rFonts w:eastAsia="inter" w:cs="inter" w:ascii="inter" w:hAnsi="inter"/>
            <w:color w:val="#000"/>
            <w:u w:val="single"/>
            <w:vertAlign w:val="superscript"/>
          </w:rPr>
          <w:t xml:space="preserve">[80]</w:t>
        </w:r>
      </w:hyperlink>
    </w:p>
    <w:p>
      <w:pPr>
        <w:spacing w:line="360" w:after="210" w:lineRule="auto"/>
      </w:pPr>
      <w:r>
        <w:rPr>
          <w:rFonts w:eastAsia="inter" w:cs="inter" w:ascii="inter" w:hAnsi="inter"/>
          <w:i/>
          <w:color w:val="000000"/>
        </w:rPr>
        <w:t xml:space="preserve">Compensatory evaluation</w:t>
      </w:r>
      <w:r>
        <w:rPr>
          <w:rFonts w:eastAsia="inter" w:cs="inter" w:ascii="inter" w:hAnsi="inter"/>
          <w:color w:val="000000"/>
        </w:rPr>
        <w:t xml:space="preserve">: Premium buyers weigh attributes (styling quality 35%, durability 25%, brand 20%, features 15%, price 5%). This allows high-price products to compete if superior on non-price dimensions.</w:t>
      </w:r>
      <w:bookmarkStart w:id="585" w:name="fnref80_18"/>
      <w:bookmarkEnd w:id="585"/>
      <w:hyperlink w:anchor="fn80">
        <w:r>
          <w:rPr>
            <w:rFonts w:eastAsia="inter" w:cs="inter" w:ascii="inter" w:hAnsi="inter"/>
            <w:color w:val="#000"/>
            <w:u w:val="single"/>
            <w:vertAlign w:val="superscript"/>
          </w:rPr>
          <w:t xml:space="preserve">[80]</w:t>
        </w:r>
      </w:hyperlink>
      <w:bookmarkStart w:id="586" w:name="fnref25_16"/>
      <w:bookmarkEnd w:id="586"/>
      <w:hyperlink w:anchor="fn25">
        <w:r>
          <w:rPr>
            <w:rFonts w:eastAsia="inter" w:cs="inter" w:ascii="inter" w:hAnsi="inter"/>
            <w:color w:val="#000"/>
            <w:u w:val="single"/>
            <w:vertAlign w:val="superscript"/>
          </w:rPr>
          <w:t xml:space="preserve">[25]</w:t>
        </w:r>
      </w:hyperlink>
    </w:p>
    <w:p>
      <w:pPr>
        <w:spacing w:line="360" w:after="210" w:lineRule="auto"/>
      </w:pPr>
      <w:r>
        <w:rPr>
          <w:rFonts w:eastAsia="inter" w:cs="inter" w:ascii="inter" w:hAnsi="inter"/>
          <w:i/>
          <w:color w:val="000000"/>
        </w:rPr>
        <w:t xml:space="preserve">Non-compensatory screening</w:t>
      </w:r>
      <w:r>
        <w:rPr>
          <w:rFonts w:eastAsia="inter" w:cs="inter" w:ascii="inter" w:hAnsi="inter"/>
          <w:color w:val="000000"/>
        </w:rPr>
        <w:t xml:space="preserve">: Budget buyers establish price ceilings (e.g., "nothing over ₹2,000") eliminating expensive options regardless of quality. This bifurcates markets, limiting premium brands' access to price-sensitive segments.</w:t>
      </w:r>
      <w:bookmarkStart w:id="587" w:name="fnref25_17"/>
      <w:bookmarkEnd w:id="587"/>
      <w:hyperlink w:anchor="fn25">
        <w:r>
          <w:rPr>
            <w:rFonts w:eastAsia="inter" w:cs="inter" w:ascii="inter" w:hAnsi="inter"/>
            <w:color w:val="#000"/>
            <w:u w:val="single"/>
            <w:vertAlign w:val="superscript"/>
          </w:rPr>
          <w:t xml:space="preserve">[25]</w:t>
        </w:r>
      </w:hyperlink>
      <w:bookmarkStart w:id="588" w:name="fnref80_19"/>
      <w:bookmarkEnd w:id="588"/>
      <w:hyperlink w:anchor="fn80">
        <w:r>
          <w:rPr>
            <w:rFonts w:eastAsia="inter" w:cs="inter" w:ascii="inter" w:hAnsi="inter"/>
            <w:color w:val="#000"/>
            <w:u w:val="single"/>
            <w:vertAlign w:val="superscript"/>
          </w:rPr>
          <w:t xml:space="preserve">[80]</w:t>
        </w:r>
      </w:hyperlink>
    </w:p>
    <w:p>
      <w:pPr>
        <w:spacing w:line="360" w:after="210" w:lineRule="auto"/>
      </w:pPr>
      <w:r>
        <w:rPr>
          <w:rFonts w:eastAsia="inter" w:cs="inter" w:ascii="inter" w:hAnsi="inter"/>
          <w:color w:val="000000"/>
        </w:rPr>
        <w:t xml:space="preserve">Brand equity affects evaluation shortcuts: strong brands benefit from halo effects where positive brand associations transfer to unverified product attributes. This creates entry barriers for new brands lacking reputation capital.</w:t>
      </w:r>
      <w:bookmarkStart w:id="589" w:name="fnref15_53"/>
      <w:bookmarkEnd w:id="589"/>
      <w:hyperlink w:anchor="fn15">
        <w:r>
          <w:rPr>
            <w:rFonts w:eastAsia="inter" w:cs="inter" w:ascii="inter" w:hAnsi="inter"/>
            <w:color w:val="#000"/>
            <w:u w:val="single"/>
            <w:vertAlign w:val="superscript"/>
          </w:rPr>
          <w:t xml:space="preserve">[15]</w:t>
        </w:r>
      </w:hyperlink>
      <w:bookmarkStart w:id="590" w:name="fnref52_7"/>
      <w:bookmarkEnd w:id="590"/>
      <w:hyperlink w:anchor="fn52">
        <w:r>
          <w:rPr>
            <w:rFonts w:eastAsia="inter" w:cs="inter" w:ascii="inter" w:hAnsi="inter"/>
            <w:color w:val="#000"/>
            <w:u w:val="single"/>
            <w:vertAlign w:val="superscript"/>
          </w:rPr>
          <w:t xml:space="preserve">[52]</w:t>
        </w:r>
      </w:hyperlink>
      <w:bookmarkStart w:id="591" w:name="fnref29_5"/>
      <w:bookmarkEnd w:id="591"/>
      <w:hyperlink w:anchor="fn29">
        <w:r>
          <w:rPr>
            <w:rFonts w:eastAsia="inter" w:cs="inter" w:ascii="inter" w:hAnsi="inter"/>
            <w:color w:val="#000"/>
            <w:u w:val="single"/>
            <w:vertAlign w:val="superscript"/>
          </w:rPr>
          <w:t xml:space="preserve">[29]</w:t>
        </w:r>
      </w:hyperlink>
    </w:p>
    <w:p>
      <w:pPr>
        <w:spacing w:line="360" w:after="210" w:lineRule="auto"/>
      </w:pPr>
      <w:r>
        <w:rPr>
          <w:rFonts w:eastAsia="inter" w:cs="inter" w:ascii="inter" w:hAnsi="inter"/>
          <w:b/>
          <w:color w:val="000000"/>
        </w:rPr>
        <w:t xml:space="preserve">Stage 4: Purchase Decision</w:t>
      </w:r>
    </w:p>
    <w:p>
      <w:pPr>
        <w:spacing w:line="360" w:after="210" w:lineRule="auto"/>
      </w:pPr>
      <w:r>
        <w:rPr>
          <w:rFonts w:eastAsia="inter" w:cs="inter" w:ascii="inter" w:hAnsi="inter"/>
          <w:color w:val="000000"/>
        </w:rPr>
        <w:t xml:space="preserve">Transaction execution involves:</w:t>
      </w:r>
    </w:p>
    <w:p>
      <w:pPr>
        <w:spacing w:line="360" w:after="210" w:lineRule="auto"/>
      </w:pPr>
      <w:r>
        <w:rPr>
          <w:rFonts w:eastAsia="inter" w:cs="inter" w:ascii="inter" w:hAnsi="inter"/>
          <w:i/>
          <w:color w:val="000000"/>
        </w:rPr>
        <w:t xml:space="preserve">Channel choice</w:t>
      </w:r>
      <w:r>
        <w:rPr>
          <w:rFonts w:eastAsia="inter" w:cs="inter" w:ascii="inter" w:hAnsi="inter"/>
          <w:color w:val="000000"/>
        </w:rPr>
        <w:t xml:space="preserve">: E-commerce provides lower search costs (easy comparison) but higher perceived risk (cannot physically examine). Risk-averse consumers pay implicit premiums (5-10%) for retail purchase assurance.</w:t>
      </w:r>
      <w:bookmarkStart w:id="592" w:name="fnref15_54"/>
      <w:bookmarkEnd w:id="592"/>
      <w:hyperlink w:anchor="fn15">
        <w:r>
          <w:rPr>
            <w:rFonts w:eastAsia="inter" w:cs="inter" w:ascii="inter" w:hAnsi="inter"/>
            <w:color w:val="#000"/>
            <w:u w:val="single"/>
            <w:vertAlign w:val="superscript"/>
          </w:rPr>
          <w:t xml:space="preserve">[15]</w:t>
        </w:r>
      </w:hyperlink>
      <w:bookmarkStart w:id="593" w:name="fnref80_20"/>
      <w:bookmarkEnd w:id="593"/>
      <w:hyperlink w:anchor="fn80">
        <w:r>
          <w:rPr>
            <w:rFonts w:eastAsia="inter" w:cs="inter" w:ascii="inter" w:hAnsi="inter"/>
            <w:color w:val="#000"/>
            <w:u w:val="single"/>
            <w:vertAlign w:val="superscript"/>
          </w:rPr>
          <w:t xml:space="preserve">[80]</w:t>
        </w:r>
      </w:hyperlink>
    </w:p>
    <w:p>
      <w:pPr>
        <w:spacing w:line="360" w:after="210" w:lineRule="auto"/>
      </w:pPr>
      <w:r>
        <w:rPr>
          <w:rFonts w:eastAsia="inter" w:cs="inter" w:ascii="inter" w:hAnsi="inter"/>
          <w:i/>
          <w:color w:val="000000"/>
        </w:rPr>
        <w:t xml:space="preserve">Payment methods</w:t>
      </w:r>
      <w:r>
        <w:rPr>
          <w:rFonts w:eastAsia="inter" w:cs="inter" w:ascii="inter" w:hAnsi="inter"/>
          <w:color w:val="000000"/>
        </w:rPr>
        <w:t xml:space="preserve">: Buy-now-pay-later (BNPL) schemes reduce liquidity constraints for premium purchases. BNPL availability increases premium segment demand by 12-18% by enabling budget-constrained consumers to access higher-priced options.</w:t>
      </w:r>
      <w:bookmarkStart w:id="594" w:name="fnref15_55"/>
      <w:bookmarkEnd w:id="594"/>
      <w:hyperlink w:anchor="fn15">
        <w:r>
          <w:rPr>
            <w:rFonts w:eastAsia="inter" w:cs="inter" w:ascii="inter" w:hAnsi="inter"/>
            <w:color w:val="#000"/>
            <w:u w:val="single"/>
            <w:vertAlign w:val="superscript"/>
          </w:rPr>
          <w:t xml:space="preserve">[15]</w:t>
        </w:r>
      </w:hyperlink>
    </w:p>
    <w:p>
      <w:pPr>
        <w:spacing w:line="360" w:after="210" w:lineRule="auto"/>
      </w:pPr>
      <w:r>
        <w:rPr>
          <w:rFonts w:eastAsia="inter" w:cs="inter" w:ascii="inter" w:hAnsi="inter"/>
          <w:i/>
          <w:color w:val="000000"/>
        </w:rPr>
        <w:t xml:space="preserve">Promotional responsiveness</w:t>
      </w:r>
      <w:r>
        <w:rPr>
          <w:rFonts w:eastAsia="inter" w:cs="inter" w:ascii="inter" w:hAnsi="inter"/>
          <w:color w:val="000000"/>
        </w:rPr>
        <w:t xml:space="preserve">: Price-sensitive consumers exhibit high promotional elasticity, timing purchases around sales events (Black Friday, Prime Day discounts of 20-40%). Premium buyers show lower promotional sensitivity, purchasing based on need timing rather than sale events.</w:t>
      </w:r>
      <w:bookmarkStart w:id="595" w:name="fnref15_56"/>
      <w:bookmarkEnd w:id="595"/>
      <w:hyperlink w:anchor="fn15">
        <w:r>
          <w:rPr>
            <w:rFonts w:eastAsia="inter" w:cs="inter" w:ascii="inter" w:hAnsi="inter"/>
            <w:color w:val="#000"/>
            <w:u w:val="single"/>
            <w:vertAlign w:val="superscript"/>
          </w:rPr>
          <w:t xml:space="preserve">[15]</w:t>
        </w:r>
      </w:hyperlink>
      <w:bookmarkStart w:id="596" w:name="fnref25_18"/>
      <w:bookmarkEnd w:id="596"/>
      <w:hyperlink w:anchor="fn25">
        <w:r>
          <w:rPr>
            <w:rFonts w:eastAsia="inter" w:cs="inter" w:ascii="inter" w:hAnsi="inter"/>
            <w:color w:val="#000"/>
            <w:u w:val="single"/>
            <w:vertAlign w:val="superscript"/>
          </w:rPr>
          <w:t xml:space="preserve">[25]</w:t>
        </w:r>
      </w:hyperlink>
    </w:p>
    <w:p>
      <w:pPr>
        <w:spacing w:line="360" w:after="210" w:lineRule="auto"/>
      </w:pPr>
      <w:r>
        <w:rPr>
          <w:rFonts w:eastAsia="inter" w:cs="inter" w:ascii="inter" w:hAnsi="inter"/>
          <w:b/>
          <w:color w:val="000000"/>
        </w:rPr>
        <w:t xml:space="preserve">Stage 5: Post-Purchase Evaluation</w:t>
      </w:r>
    </w:p>
    <w:p>
      <w:pPr>
        <w:spacing w:line="360" w:after="210" w:lineRule="auto"/>
      </w:pPr>
      <w:r>
        <w:rPr>
          <w:rFonts w:eastAsia="inter" w:cs="inter" w:ascii="inter" w:hAnsi="inter"/>
          <w:color w:val="000000"/>
        </w:rPr>
        <w:t xml:space="preserve">Actual performance relative to expectations determines satisfaction and influences:</w:t>
      </w:r>
    </w:p>
    <w:p>
      <w:pPr>
        <w:numPr>
          <w:ilvl w:val="0"/>
          <w:numId w:val="47"/>
        </w:numPr>
        <w:spacing w:line="360" w:before="105" w:after="105" w:lineRule="auto"/>
      </w:pPr>
      <w:r>
        <w:rPr>
          <w:rFonts w:eastAsia="inter" w:cs="inter" w:ascii="inter" w:hAnsi="inter"/>
          <w:color w:val="000000"/>
          <w:sz w:val="21"/>
        </w:rPr>
        <w:t xml:space="preserve">Repeat purchase likelihood (important as products last 2-4 years)</w:t>
      </w:r>
      <w:bookmarkStart w:id="597" w:name="fnref25_19"/>
      <w:bookmarkEnd w:id="597"/>
      <w:hyperlink w:anchor="fn25">
        <w:r>
          <w:rPr>
            <w:rFonts w:eastAsia="inter" w:cs="inter" w:ascii="inter" w:hAnsi="inter"/>
            <w:color w:val="#000"/>
            <w:sz w:val="21"/>
            <w:u w:val="single"/>
            <w:vertAlign w:val="superscript"/>
          </w:rPr>
          <w:t xml:space="preserve">[25]</w:t>
        </w:r>
      </w:hyperlink>
    </w:p>
    <w:p>
      <w:pPr>
        <w:numPr>
          <w:ilvl w:val="0"/>
          <w:numId w:val="47"/>
        </w:numPr>
        <w:spacing w:line="360" w:before="105" w:after="105" w:lineRule="auto"/>
      </w:pPr>
      <w:r>
        <w:rPr>
          <w:rFonts w:eastAsia="inter" w:cs="inter" w:ascii="inter" w:hAnsi="inter"/>
          <w:color w:val="000000"/>
          <w:sz w:val="21"/>
        </w:rPr>
        <w:t xml:space="preserve">Word-of-mouth recommendations affecting others' information search</w:t>
      </w:r>
      <w:bookmarkStart w:id="598" w:name="fnref81_6"/>
      <w:bookmarkEnd w:id="598"/>
      <w:hyperlink w:anchor="fn81">
        <w:r>
          <w:rPr>
            <w:rFonts w:eastAsia="inter" w:cs="inter" w:ascii="inter" w:hAnsi="inter"/>
            <w:color w:val="#000"/>
            <w:sz w:val="21"/>
            <w:u w:val="single"/>
            <w:vertAlign w:val="superscript"/>
          </w:rPr>
          <w:t xml:space="preserve">[81]</w:t>
        </w:r>
      </w:hyperlink>
      <w:bookmarkStart w:id="599" w:name="fnref80_21"/>
      <w:bookmarkEnd w:id="599"/>
      <w:hyperlink w:anchor="fn80">
        <w:r>
          <w:rPr>
            <w:rFonts w:eastAsia="inter" w:cs="inter" w:ascii="inter" w:hAnsi="inter"/>
            <w:color w:val="#000"/>
            <w:sz w:val="21"/>
            <w:u w:val="single"/>
            <w:vertAlign w:val="superscript"/>
          </w:rPr>
          <w:t xml:space="preserve">[80]</w:t>
        </w:r>
      </w:hyperlink>
    </w:p>
    <w:p>
      <w:pPr>
        <w:numPr>
          <w:ilvl w:val="0"/>
          <w:numId w:val="47"/>
        </w:numPr>
        <w:spacing w:line="360" w:before="105" w:after="105" w:lineRule="auto"/>
      </w:pPr>
      <w:r>
        <w:rPr>
          <w:rFonts w:eastAsia="inter" w:cs="inter" w:ascii="inter" w:hAnsi="inter"/>
          <w:color w:val="000000"/>
          <w:sz w:val="21"/>
        </w:rPr>
        <w:t xml:space="preserve">Brand loyalty formation reducing future search costs</w:t>
      </w:r>
      <w:bookmarkStart w:id="600" w:name="fnref52_8"/>
      <w:bookmarkEnd w:id="600"/>
      <w:hyperlink w:anchor="fn52">
        <w:r>
          <w:rPr>
            <w:rFonts w:eastAsia="inter" w:cs="inter" w:ascii="inter" w:hAnsi="inter"/>
            <w:color w:val="#000"/>
            <w:sz w:val="21"/>
            <w:u w:val="single"/>
            <w:vertAlign w:val="superscript"/>
          </w:rPr>
          <w:t xml:space="preserve">[52]</w:t>
        </w:r>
      </w:hyperlink>
      <w:bookmarkStart w:id="601" w:name="fnref25_20"/>
      <w:bookmarkEnd w:id="601"/>
      <w:hyperlink w:anchor="fn25">
        <w:r>
          <w:rPr>
            <w:rFonts w:eastAsia="inter" w:cs="inter" w:ascii="inter" w:hAnsi="inter"/>
            <w:color w:val="#000"/>
            <w:sz w:val="21"/>
            <w:u w:val="single"/>
            <w:vertAlign w:val="superscript"/>
          </w:rPr>
          <w:t xml:space="preserve">[25]</w:t>
        </w:r>
      </w:hyperlink>
    </w:p>
    <w:p>
      <w:pPr>
        <w:spacing w:line="360" w:after="210" w:lineRule="auto"/>
      </w:pPr>
      <w:r>
        <w:rPr>
          <w:rFonts w:eastAsia="inter" w:cs="inter" w:ascii="inter" w:hAnsi="inter"/>
          <w:color w:val="000000"/>
        </w:rPr>
        <w:t xml:space="preserve">Product defects or performance disappointments create negative utility not fully compensated by warranties, explaining consumers' willingness to pay premiums for quality-assured brands. This justifies manufacturer quality investments exceeding legal minimums—superior reliability creates competitive advantages through reputation effects.</w:t>
      </w:r>
      <w:bookmarkStart w:id="602" w:name="fnref29_6"/>
      <w:bookmarkEnd w:id="602"/>
      <w:hyperlink w:anchor="fn29">
        <w:r>
          <w:rPr>
            <w:rFonts w:eastAsia="inter" w:cs="inter" w:ascii="inter" w:hAnsi="inter"/>
            <w:color w:val="#000"/>
            <w:u w:val="single"/>
            <w:vertAlign w:val="superscript"/>
          </w:rPr>
          <w:t xml:space="preserve">[29]</w:t>
        </w:r>
      </w:hyperlink>
      <w:bookmarkStart w:id="603" w:name="fnref52_9"/>
      <w:bookmarkEnd w:id="603"/>
      <w:hyperlink w:anchor="fn52">
        <w:r>
          <w:rPr>
            <w:rFonts w:eastAsia="inter" w:cs="inter" w:ascii="inter" w:hAnsi="inter"/>
            <w:color w:val="#000"/>
            <w:u w:val="single"/>
            <w:vertAlign w:val="superscript"/>
          </w:rPr>
          <w:t xml:space="preserve">[52]</w:t>
        </w:r>
      </w:hyperlink>
    </w:p>
    <w:p>
      <w:pPr>
        <w:spacing w:line="360" w:before="315" w:after="105" w:lineRule="auto"/>
        <w:ind w:left="-30"/>
        <w:jc w:val="left"/>
      </w:pPr>
      <w:bookmarkStart w:id="604" w:name="urban_versus_rural_demand_dynamics"/>
      <w:r>
        <w:rPr>
          <w:rFonts w:eastAsia="inter" w:cs="inter" w:ascii="inter" w:hAnsi="inter"/>
          <w:b/>
          <w:color w:val="000000"/>
          <w:sz w:val="24"/>
        </w:rPr>
        <w:t xml:space="preserve">Urban versus Rural Demand Dynamics</w:t>
      </w:r>
      <w:bookmarkEnd w:id="604"/>
    </w:p>
    <w:p>
      <w:pPr>
        <w:spacing w:line="360" w:after="210" w:lineRule="auto"/>
      </w:pPr>
      <w:r>
        <w:rPr>
          <w:rFonts w:eastAsia="inter" w:cs="inter" w:ascii="inter" w:hAnsi="inter"/>
          <w:color w:val="000000"/>
        </w:rPr>
        <w:t xml:space="preserve">Significant demand disparities exist between urban and rural markets, reflecting income, infrastructure, and cultural differences.</w:t>
      </w:r>
      <w:bookmarkStart w:id="605" w:name="fnref6_26"/>
      <w:bookmarkEnd w:id="605"/>
      <w:hyperlink w:anchor="fn6">
        <w:r>
          <w:rPr>
            <w:rFonts w:eastAsia="inter" w:cs="inter" w:ascii="inter" w:hAnsi="inter"/>
            <w:color w:val="#000"/>
            <w:u w:val="single"/>
            <w:vertAlign w:val="superscript"/>
          </w:rPr>
          <w:t xml:space="preserve">[6]</w:t>
        </w:r>
      </w:hyperlink>
      <w:bookmarkStart w:id="606" w:name="fnref24_22"/>
      <w:bookmarkEnd w:id="606"/>
      <w:hyperlink w:anchor="fn24">
        <w:r>
          <w:rPr>
            <w:rFonts w:eastAsia="inter" w:cs="inter" w:ascii="inter" w:hAnsi="inter"/>
            <w:color w:val="#000"/>
            <w:u w:val="single"/>
            <w:vertAlign w:val="superscript"/>
          </w:rPr>
          <w:t xml:space="preserve">[24]</w:t>
        </w:r>
      </w:hyperlink>
      <w:bookmarkStart w:id="607" w:name="fnref88_1"/>
      <w:bookmarkEnd w:id="607"/>
      <w:hyperlink w:anchor="fn88">
        <w:r>
          <w:rPr>
            <w:rFonts w:eastAsia="inter" w:cs="inter" w:ascii="inter" w:hAnsi="inter"/>
            <w:color w:val="#000"/>
            <w:u w:val="single"/>
            <w:vertAlign w:val="superscript"/>
          </w:rPr>
          <w:t xml:space="preserve">[88]</w:t>
        </w:r>
      </w:hyperlink>
    </w:p>
    <w:p>
      <w:pPr>
        <w:spacing w:line="360" w:after="210" w:lineRule="auto"/>
      </w:pPr>
      <w:r>
        <w:rPr>
          <w:rFonts w:eastAsia="inter" w:cs="inter" w:ascii="inter" w:hAnsi="inter"/>
          <w:b/>
          <w:color w:val="000000"/>
        </w:rPr>
        <w:t xml:space="preserve">Urban Markets</w:t>
      </w:r>
    </w:p>
    <w:p>
      <w:pPr>
        <w:spacing w:line="360" w:after="210" w:lineRule="auto"/>
      </w:pPr>
      <w:r>
        <w:rPr>
          <w:rFonts w:eastAsia="inter" w:cs="inter" w:ascii="inter" w:hAnsi="inter"/>
          <w:color w:val="000000"/>
        </w:rPr>
        <w:t xml:space="preserve">Urban areas demonstrate higher demand intensity:</w:t>
      </w:r>
    </w:p>
    <w:p>
      <w:pPr>
        <w:spacing w:line="360" w:after="210" w:lineRule="auto"/>
      </w:pPr>
      <w:r>
        <w:rPr>
          <w:rFonts w:eastAsia="inter" w:cs="inter" w:ascii="inter" w:hAnsi="inter"/>
          <w:i/>
          <w:color w:val="000000"/>
        </w:rPr>
        <w:t xml:space="preserve">Quantitative characteristics</w:t>
      </w:r>
      <w:r>
        <w:rPr>
          <w:rFonts w:eastAsia="inter" w:cs="inter" w:ascii="inter" w:hAnsi="inter"/>
          <w:color w:val="000000"/>
        </w:rPr>
        <w:t xml:space="preserve">:</w:t>
      </w:r>
    </w:p>
    <w:p>
      <w:pPr>
        <w:numPr>
          <w:ilvl w:val="0"/>
          <w:numId w:val="48"/>
        </w:numPr>
        <w:spacing w:line="360" w:before="105" w:after="105" w:lineRule="auto"/>
      </w:pPr>
      <w:r>
        <w:rPr>
          <w:rFonts w:eastAsia="inter" w:cs="inter" w:ascii="inter" w:hAnsi="inter"/>
          <w:color w:val="000000"/>
          <w:sz w:val="21"/>
        </w:rPr>
        <w:t xml:space="preserve">Ownership rates: 35-45% of target demographic in Indian metros versus 8-12% rural</w:t>
      </w:r>
      <w:bookmarkStart w:id="608" w:name="fnref24_23"/>
      <w:bookmarkEnd w:id="608"/>
      <w:hyperlink w:anchor="fn24">
        <w:r>
          <w:rPr>
            <w:rFonts w:eastAsia="inter" w:cs="inter" w:ascii="inter" w:hAnsi="inter"/>
            <w:color w:val="#000"/>
            <w:sz w:val="21"/>
            <w:u w:val="single"/>
            <w:vertAlign w:val="superscript"/>
          </w:rPr>
          <w:t xml:space="preserve">[24]</w:t>
        </w:r>
      </w:hyperlink>
      <w:bookmarkStart w:id="609" w:name="fnref6_27"/>
      <w:bookmarkEnd w:id="609"/>
      <w:hyperlink w:anchor="fn6">
        <w:r>
          <w:rPr>
            <w:rFonts w:eastAsia="inter" w:cs="inter" w:ascii="inter" w:hAnsi="inter"/>
            <w:color w:val="#000"/>
            <w:sz w:val="21"/>
            <w:u w:val="single"/>
            <w:vertAlign w:val="superscript"/>
          </w:rPr>
          <w:t xml:space="preserve">[6]</w:t>
        </w:r>
      </w:hyperlink>
    </w:p>
    <w:p>
      <w:pPr>
        <w:numPr>
          <w:ilvl w:val="0"/>
          <w:numId w:val="48"/>
        </w:numPr>
        <w:spacing w:line="360" w:before="105" w:after="105" w:lineRule="auto"/>
      </w:pPr>
      <w:r>
        <w:rPr>
          <w:rFonts w:eastAsia="inter" w:cs="inter" w:ascii="inter" w:hAnsi="inter"/>
          <w:color w:val="000000"/>
          <w:sz w:val="21"/>
        </w:rPr>
        <w:t xml:space="preserve">Average transaction values: ₹2,800-3,500 urban versus ₹1,200-1,800 rural</w:t>
      </w:r>
      <w:bookmarkStart w:id="610" w:name="fnref24_24"/>
      <w:bookmarkEnd w:id="610"/>
      <w:hyperlink w:anchor="fn24">
        <w:r>
          <w:rPr>
            <w:rFonts w:eastAsia="inter" w:cs="inter" w:ascii="inter" w:hAnsi="inter"/>
            <w:color w:val="#000"/>
            <w:sz w:val="21"/>
            <w:u w:val="single"/>
            <w:vertAlign w:val="superscript"/>
          </w:rPr>
          <w:t xml:space="preserve">[24]</w:t>
        </w:r>
      </w:hyperlink>
    </w:p>
    <w:p>
      <w:pPr>
        <w:numPr>
          <w:ilvl w:val="0"/>
          <w:numId w:val="48"/>
        </w:numPr>
        <w:spacing w:line="360" w:before="105" w:after="105" w:lineRule="auto"/>
      </w:pPr>
      <w:r>
        <w:rPr>
          <w:rFonts w:eastAsia="inter" w:cs="inter" w:ascii="inter" w:hAnsi="inter"/>
          <w:color w:val="000000"/>
          <w:sz w:val="21"/>
        </w:rPr>
        <w:t xml:space="preserve">Purchase frequency: Urban replacement cycles 2.5-3 years versus 4-5 years rural</w:t>
      </w:r>
      <w:bookmarkStart w:id="611" w:name="fnref24_25"/>
      <w:bookmarkEnd w:id="611"/>
      <w:hyperlink w:anchor="fn24">
        <w:r>
          <w:rPr>
            <w:rFonts w:eastAsia="inter" w:cs="inter" w:ascii="inter" w:hAnsi="inter"/>
            <w:color w:val="#000"/>
            <w:sz w:val="21"/>
            <w:u w:val="single"/>
            <w:vertAlign w:val="superscript"/>
          </w:rPr>
          <w:t xml:space="preserve">[24]</w:t>
        </w:r>
      </w:hyperlink>
    </w:p>
    <w:p>
      <w:pPr>
        <w:spacing w:line="360" w:after="210" w:lineRule="auto"/>
      </w:pPr>
      <w:r>
        <w:rPr>
          <w:rFonts w:eastAsia="inter" w:cs="inter" w:ascii="inter" w:hAnsi="inter"/>
          <w:i/>
          <w:color w:val="000000"/>
        </w:rPr>
        <w:t xml:space="preserve">Drivers of urban demand</w:t>
      </w:r>
      <w:r>
        <w:rPr>
          <w:rFonts w:eastAsia="inter" w:cs="inter" w:ascii="inter" w:hAnsi="inter"/>
          <w:color w:val="000000"/>
        </w:rPr>
        <w:t xml:space="preserve">:</w:t>
      </w:r>
    </w:p>
    <w:p>
      <w:pPr>
        <w:spacing w:line="360" w:after="210" w:lineRule="auto"/>
      </w:pPr>
      <w:r>
        <w:rPr>
          <w:rFonts w:eastAsia="inter" w:cs="inter" w:ascii="inter" w:hAnsi="inter"/>
          <w:b/>
          <w:color w:val="000000"/>
        </w:rPr>
        <w:t xml:space="preserve">Income levels</w:t>
      </w:r>
      <w:r>
        <w:rPr>
          <w:rFonts w:eastAsia="inter" w:cs="inter" w:ascii="inter" w:hAnsi="inter"/>
          <w:color w:val="000000"/>
        </w:rPr>
        <w:t xml:space="preserve">: Urban per-capita incomes 2.5-3x rural averages create larger budgets for discretionary purchases. This income disparity explains 40-50% of urban-rural demand gaps.</w:t>
      </w:r>
      <w:bookmarkStart w:id="612" w:name="fnref6_28"/>
      <w:bookmarkEnd w:id="612"/>
      <w:hyperlink w:anchor="fn6">
        <w:r>
          <w:rPr>
            <w:rFonts w:eastAsia="inter" w:cs="inter" w:ascii="inter" w:hAnsi="inter"/>
            <w:color w:val="#000"/>
            <w:u w:val="single"/>
            <w:vertAlign w:val="superscript"/>
          </w:rPr>
          <w:t xml:space="preserve">[6]</w:t>
        </w:r>
      </w:hyperlink>
      <w:bookmarkStart w:id="613" w:name="fnref24_26"/>
      <w:bookmarkEnd w:id="613"/>
      <w:hyperlink w:anchor="fn24">
        <w:r>
          <w:rPr>
            <w:rFonts w:eastAsia="inter" w:cs="inter" w:ascii="inter" w:hAnsi="inter"/>
            <w:color w:val="#000"/>
            <w:u w:val="single"/>
            <w:vertAlign w:val="superscript"/>
          </w:rPr>
          <w:t xml:space="preserve">[24]</w:t>
        </w:r>
      </w:hyperlink>
    </w:p>
    <w:p>
      <w:pPr>
        <w:spacing w:line="360" w:after="210" w:lineRule="auto"/>
      </w:pPr>
      <w:r>
        <w:rPr>
          <w:rFonts w:eastAsia="inter" w:cs="inter" w:ascii="inter" w:hAnsi="inter"/>
          <w:b/>
          <w:color w:val="000000"/>
        </w:rPr>
        <w:t xml:space="preserve">Occupational composition</w:t>
      </w:r>
      <w:r>
        <w:rPr>
          <w:rFonts w:eastAsia="inter" w:cs="inter" w:ascii="inter" w:hAnsi="inter"/>
          <w:color w:val="000000"/>
        </w:rPr>
        <w:t xml:space="preserve">: Higher proportion of office workers and service professionals in urban areas correlates with appearance-focused consumption. Professional contexts with grooming expectations increase demand for styling products.</w:t>
      </w:r>
      <w:bookmarkStart w:id="614" w:name="fnref88_2"/>
      <w:bookmarkEnd w:id="614"/>
      <w:hyperlink w:anchor="fn88">
        <w:r>
          <w:rPr>
            <w:rFonts w:eastAsia="inter" w:cs="inter" w:ascii="inter" w:hAnsi="inter"/>
            <w:color w:val="#000"/>
            <w:u w:val="single"/>
            <w:vertAlign w:val="superscript"/>
          </w:rPr>
          <w:t xml:space="preserve">[88]</w:t>
        </w:r>
      </w:hyperlink>
      <w:bookmarkStart w:id="615" w:name="fnref90"/>
      <w:bookmarkEnd w:id="615"/>
      <w:hyperlink w:anchor="fn90">
        <w:r>
          <w:rPr>
            <w:rFonts w:eastAsia="inter" w:cs="inter" w:ascii="inter" w:hAnsi="inter"/>
            <w:color w:val="#000"/>
            <w:u w:val="single"/>
            <w:vertAlign w:val="superscript"/>
          </w:rPr>
          <w:t xml:space="preserve">[90]</w:t>
        </w:r>
      </w:hyperlink>
      <w:bookmarkStart w:id="616" w:name="fnref25_21"/>
      <w:bookmarkEnd w:id="616"/>
      <w:hyperlink w:anchor="fn25">
        <w:r>
          <w:rPr>
            <w:rFonts w:eastAsia="inter" w:cs="inter" w:ascii="inter" w:hAnsi="inter"/>
            <w:color w:val="#000"/>
            <w:u w:val="single"/>
            <w:vertAlign w:val="superscript"/>
          </w:rPr>
          <w:t xml:space="preserve">[25]</w:t>
        </w:r>
      </w:hyperlink>
    </w:p>
    <w:p>
      <w:pPr>
        <w:spacing w:line="360" w:after="210" w:lineRule="auto"/>
      </w:pPr>
      <w:r>
        <w:rPr>
          <w:rFonts w:eastAsia="inter" w:cs="inter" w:ascii="inter" w:hAnsi="inter"/>
          <w:b/>
          <w:color w:val="000000"/>
        </w:rPr>
        <w:t xml:space="preserve">Infrastructure access</w:t>
      </w:r>
      <w:r>
        <w:rPr>
          <w:rFonts w:eastAsia="inter" w:cs="inter" w:ascii="inter" w:hAnsi="inter"/>
          <w:color w:val="000000"/>
        </w:rPr>
        <w:t xml:space="preserve">: Reliable electricity (95%+ availability urban versus 80-85% rural) enables consistent product usage. In areas with frequent power interruptions, investment in electrical appliances becomes suboptimal.</w:t>
      </w:r>
      <w:bookmarkStart w:id="617" w:name="fnref6_29"/>
      <w:bookmarkEnd w:id="617"/>
      <w:hyperlink w:anchor="fn6">
        <w:r>
          <w:rPr>
            <w:rFonts w:eastAsia="inter" w:cs="inter" w:ascii="inter" w:hAnsi="inter"/>
            <w:color w:val="#000"/>
            <w:u w:val="single"/>
            <w:vertAlign w:val="superscript"/>
          </w:rPr>
          <w:t xml:space="preserve">[6]</w:t>
        </w:r>
      </w:hyperlink>
    </w:p>
    <w:p>
      <w:pPr>
        <w:spacing w:line="360" w:after="210" w:lineRule="auto"/>
      </w:pPr>
      <w:r>
        <w:rPr>
          <w:rFonts w:eastAsia="inter" w:cs="inter" w:ascii="inter" w:hAnsi="inter"/>
          <w:b/>
          <w:color w:val="000000"/>
        </w:rPr>
        <w:t xml:space="preserve">Media exposure</w:t>
      </w:r>
      <w:r>
        <w:rPr>
          <w:rFonts w:eastAsia="inter" w:cs="inter" w:ascii="inter" w:hAnsi="inter"/>
          <w:color w:val="000000"/>
        </w:rPr>
        <w:t xml:space="preserve">: Urban consumers access social media and beauty content at 2-3x rural rates, increasing awareness and aspiration for styling products. This information asymmetry between urban and rural markets affects demand formation.</w:t>
      </w:r>
      <w:bookmarkStart w:id="618" w:name="fnref81_7"/>
      <w:bookmarkEnd w:id="618"/>
      <w:hyperlink w:anchor="fn81">
        <w:r>
          <w:rPr>
            <w:rFonts w:eastAsia="inter" w:cs="inter" w:ascii="inter" w:hAnsi="inter"/>
            <w:color w:val="#000"/>
            <w:u w:val="single"/>
            <w:vertAlign w:val="superscript"/>
          </w:rPr>
          <w:t xml:space="preserve">[81]</w:t>
        </w:r>
      </w:hyperlink>
      <w:bookmarkStart w:id="619" w:name="fnref88_3"/>
      <w:bookmarkEnd w:id="619"/>
      <w:hyperlink w:anchor="fn88">
        <w:r>
          <w:rPr>
            <w:rFonts w:eastAsia="inter" w:cs="inter" w:ascii="inter" w:hAnsi="inter"/>
            <w:color w:val="#000"/>
            <w:u w:val="single"/>
            <w:vertAlign w:val="superscript"/>
          </w:rPr>
          <w:t xml:space="preserve">[88]</w:t>
        </w:r>
      </w:hyperlink>
    </w:p>
    <w:p>
      <w:pPr>
        <w:spacing w:line="360" w:after="210" w:lineRule="auto"/>
      </w:pPr>
      <w:r>
        <w:rPr>
          <w:rFonts w:eastAsia="inter" w:cs="inter" w:ascii="inter" w:hAnsi="inter"/>
          <w:b/>
          <w:color w:val="000000"/>
        </w:rPr>
        <w:t xml:space="preserve">Distribution access</w:t>
      </w:r>
      <w:r>
        <w:rPr>
          <w:rFonts w:eastAsia="inter" w:cs="inter" w:ascii="inter" w:hAnsi="inter"/>
          <w:color w:val="000000"/>
        </w:rPr>
        <w:t xml:space="preserve">: E-commerce penetration in metros (65-70% adoption) versus rural areas (25-30%) affects product availability and price competition. Limited retail presence in rural areas increases search costs and reduces competitive pricing pressure.</w:t>
      </w:r>
      <w:bookmarkStart w:id="620" w:name="fnref15_57"/>
      <w:bookmarkEnd w:id="620"/>
      <w:hyperlink w:anchor="fn15">
        <w:r>
          <w:rPr>
            <w:rFonts w:eastAsia="inter" w:cs="inter" w:ascii="inter" w:hAnsi="inter"/>
            <w:color w:val="#000"/>
            <w:u w:val="single"/>
            <w:vertAlign w:val="superscript"/>
          </w:rPr>
          <w:t xml:space="preserve">[15]</w:t>
        </w:r>
      </w:hyperlink>
      <w:bookmarkStart w:id="621" w:name="fnref24_27"/>
      <w:bookmarkEnd w:id="621"/>
      <w:hyperlink w:anchor="fn24">
        <w:r>
          <w:rPr>
            <w:rFonts w:eastAsia="inter" w:cs="inter" w:ascii="inter" w:hAnsi="inter"/>
            <w:color w:val="#000"/>
            <w:u w:val="single"/>
            <w:vertAlign w:val="superscript"/>
          </w:rPr>
          <w:t xml:space="preserve">[24]</w:t>
        </w:r>
      </w:hyperlink>
    </w:p>
    <w:p>
      <w:pPr>
        <w:spacing w:line="360" w:after="210" w:lineRule="auto"/>
      </w:pPr>
      <w:r>
        <w:rPr>
          <w:rFonts w:eastAsia="inter" w:cs="inter" w:ascii="inter" w:hAnsi="inter"/>
          <w:b/>
          <w:color w:val="000000"/>
        </w:rPr>
        <w:t xml:space="preserve">Rural Markets</w:t>
      </w:r>
    </w:p>
    <w:p>
      <w:pPr>
        <w:spacing w:line="360" w:after="210" w:lineRule="auto"/>
      </w:pPr>
      <w:r>
        <w:rPr>
          <w:rFonts w:eastAsia="inter" w:cs="inter" w:ascii="inter" w:hAnsi="inter"/>
          <w:color w:val="000000"/>
        </w:rPr>
        <w:t xml:space="preserve">Rural demand exhibits distinct characteristics:</w:t>
      </w:r>
    </w:p>
    <w:p>
      <w:pPr>
        <w:spacing w:line="360" w:after="210" w:lineRule="auto"/>
      </w:pPr>
      <w:r>
        <w:rPr>
          <w:rFonts w:eastAsia="inter" w:cs="inter" w:ascii="inter" w:hAnsi="inter"/>
          <w:i/>
          <w:color w:val="000000"/>
        </w:rPr>
        <w:t xml:space="preserve">Constraints limiting rural demand</w:t>
      </w:r>
      <w:r>
        <w:rPr>
          <w:rFonts w:eastAsia="inter" w:cs="inter" w:ascii="inter" w:hAnsi="inter"/>
          <w:color w:val="000000"/>
        </w:rPr>
        <w:t xml:space="preserve">:</w:t>
      </w:r>
    </w:p>
    <w:p>
      <w:pPr>
        <w:spacing w:line="360" w:after="210" w:lineRule="auto"/>
      </w:pPr>
      <w:r>
        <w:rPr>
          <w:rFonts w:eastAsia="inter" w:cs="inter" w:ascii="inter" w:hAnsi="inter"/>
          <w:b/>
          <w:color w:val="000000"/>
        </w:rPr>
        <w:t xml:space="preserve">Affordability gaps</w:t>
      </w:r>
      <w:r>
        <w:rPr>
          <w:rFonts w:eastAsia="inter" w:cs="inter" w:ascii="inter" w:hAnsi="inter"/>
          <w:color w:val="000000"/>
        </w:rPr>
        <w:t xml:space="preserve">: Rural household discretionary spending averaging ₹8,000-12,000 monthly versus ₹25,000-35,000 urban limits beauty product expenditure. Budget constraints restrict rural consumers primarily to entry-level products (&lt;₹1,500 price points).</w:t>
      </w:r>
      <w:bookmarkStart w:id="622" w:name="fnref6_30"/>
      <w:bookmarkEnd w:id="622"/>
      <w:hyperlink w:anchor="fn6">
        <w:r>
          <w:rPr>
            <w:rFonts w:eastAsia="inter" w:cs="inter" w:ascii="inter" w:hAnsi="inter"/>
            <w:color w:val="#000"/>
            <w:u w:val="single"/>
            <w:vertAlign w:val="superscript"/>
          </w:rPr>
          <w:t xml:space="preserve">[6]</w:t>
        </w:r>
      </w:hyperlink>
      <w:bookmarkStart w:id="623" w:name="fnref24_28"/>
      <w:bookmarkEnd w:id="623"/>
      <w:hyperlink w:anchor="fn24">
        <w:r>
          <w:rPr>
            <w:rFonts w:eastAsia="inter" w:cs="inter" w:ascii="inter" w:hAnsi="inter"/>
            <w:color w:val="#000"/>
            <w:u w:val="single"/>
            <w:vertAlign w:val="superscript"/>
          </w:rPr>
          <w:t xml:space="preserve">[24]</w:t>
        </w:r>
      </w:hyperlink>
    </w:p>
    <w:p>
      <w:pPr>
        <w:spacing w:line="360" w:after="210" w:lineRule="auto"/>
      </w:pPr>
      <w:r>
        <w:rPr>
          <w:rFonts w:eastAsia="inter" w:cs="inter" w:ascii="inter" w:hAnsi="inter"/>
          <w:b/>
          <w:color w:val="000000"/>
        </w:rPr>
        <w:t xml:space="preserve">Electricity reliability</w:t>
      </w:r>
      <w:r>
        <w:rPr>
          <w:rFonts w:eastAsia="inter" w:cs="inter" w:ascii="inter" w:hAnsi="inter"/>
          <w:color w:val="000000"/>
        </w:rPr>
        <w:t xml:space="preserve">: Inconsistent power supply (average 18-20 hours daily versus 23+ urban) reduces appliance utility value propositions. Consumers considering purchase cost divided by expected usage frequency find lower value in areas with usage constraints.</w:t>
      </w:r>
      <w:bookmarkStart w:id="624" w:name="fnref6_31"/>
      <w:bookmarkEnd w:id="624"/>
      <w:hyperlink w:anchor="fn6">
        <w:r>
          <w:rPr>
            <w:rFonts w:eastAsia="inter" w:cs="inter" w:ascii="inter" w:hAnsi="inter"/>
            <w:color w:val="#000"/>
            <w:u w:val="single"/>
            <w:vertAlign w:val="superscript"/>
          </w:rPr>
          <w:t xml:space="preserve">[6]</w:t>
        </w:r>
      </w:hyperlink>
    </w:p>
    <w:p>
      <w:pPr>
        <w:spacing w:line="360" w:after="210" w:lineRule="auto"/>
      </w:pPr>
      <w:r>
        <w:rPr>
          <w:rFonts w:eastAsia="inter" w:cs="inter" w:ascii="inter" w:hAnsi="inter"/>
          <w:b/>
          <w:color w:val="000000"/>
        </w:rPr>
        <w:t xml:space="preserve">Water quality</w:t>
      </w:r>
      <w:r>
        <w:rPr>
          <w:rFonts w:eastAsia="inter" w:cs="inter" w:ascii="inter" w:hAnsi="inter"/>
          <w:color w:val="000000"/>
        </w:rPr>
        <w:t xml:space="preserve">: Hard water prevalence in rural areas necessitates more frequent hair treatments, potentially reducing demand for heat styling in favor of protective styles or chemical treatments.</w:t>
      </w:r>
      <w:bookmarkStart w:id="625" w:name="fnref6_32"/>
      <w:bookmarkEnd w:id="625"/>
      <w:hyperlink w:anchor="fn6">
        <w:r>
          <w:rPr>
            <w:rFonts w:eastAsia="inter" w:cs="inter" w:ascii="inter" w:hAnsi="inter"/>
            <w:color w:val="#000"/>
            <w:u w:val="single"/>
            <w:vertAlign w:val="superscript"/>
          </w:rPr>
          <w:t xml:space="preserve">[6]</w:t>
        </w:r>
      </w:hyperlink>
    </w:p>
    <w:p>
      <w:pPr>
        <w:spacing w:line="360" w:after="210" w:lineRule="auto"/>
      </w:pPr>
      <w:r>
        <w:rPr>
          <w:rFonts w:eastAsia="inter" w:cs="inter" w:ascii="inter" w:hAnsi="inter"/>
          <w:b/>
          <w:color w:val="000000"/>
        </w:rPr>
        <w:t xml:space="preserve">Cultural norms</w:t>
      </w:r>
      <w:r>
        <w:rPr>
          <w:rFonts w:eastAsia="inter" w:cs="inter" w:ascii="inter" w:hAnsi="inter"/>
          <w:color w:val="000000"/>
        </w:rPr>
        <w:t xml:space="preserve">: Traditional hairstyles and lower professional grooming expectations in rural occupations reduce perceived need for styling tools. As rural economies diversify from agriculture to services, these norms evolve but remain distinct from urban patterns.</w:t>
      </w:r>
      <w:bookmarkStart w:id="626" w:name="fnref88_4"/>
      <w:bookmarkEnd w:id="626"/>
      <w:hyperlink w:anchor="fn88">
        <w:r>
          <w:rPr>
            <w:rFonts w:eastAsia="inter" w:cs="inter" w:ascii="inter" w:hAnsi="inter"/>
            <w:color w:val="#000"/>
            <w:u w:val="single"/>
            <w:vertAlign w:val="superscript"/>
          </w:rPr>
          <w:t xml:space="preserve">[88]</w:t>
        </w:r>
      </w:hyperlink>
    </w:p>
    <w:p>
      <w:pPr>
        <w:spacing w:line="360" w:after="210" w:lineRule="auto"/>
      </w:pPr>
      <w:r>
        <w:rPr>
          <w:rFonts w:eastAsia="inter" w:cs="inter" w:ascii="inter" w:hAnsi="inter"/>
          <w:b/>
          <w:color w:val="000000"/>
        </w:rPr>
        <w:t xml:space="preserve">Distribution challenges</w:t>
      </w:r>
      <w:r>
        <w:rPr>
          <w:rFonts w:eastAsia="inter" w:cs="inter" w:ascii="inter" w:hAnsi="inter"/>
          <w:color w:val="000000"/>
        </w:rPr>
        <w:t xml:space="preserve">: Limited retail presence and lower e-commerce penetration (due to digital payment adoption gaps and last-mile delivery costs) restrict product availability. When products are available, reduced competition enables retailers to maintain higher margins, further limiting affordability.</w:t>
      </w:r>
      <w:bookmarkStart w:id="627" w:name="fnref24_29"/>
      <w:bookmarkEnd w:id="627"/>
      <w:hyperlink w:anchor="fn24">
        <w:r>
          <w:rPr>
            <w:rFonts w:eastAsia="inter" w:cs="inter" w:ascii="inter" w:hAnsi="inter"/>
            <w:color w:val="#000"/>
            <w:u w:val="single"/>
            <w:vertAlign w:val="superscript"/>
          </w:rPr>
          <w:t xml:space="preserve">[24]</w:t>
        </w:r>
      </w:hyperlink>
      <w:bookmarkStart w:id="628" w:name="fnref6_33"/>
      <w:bookmarkEnd w:id="628"/>
      <w:hyperlink w:anchor="fn6">
        <w:r>
          <w:rPr>
            <w:rFonts w:eastAsia="inter" w:cs="inter" w:ascii="inter" w:hAnsi="inter"/>
            <w:color w:val="#000"/>
            <w:u w:val="single"/>
            <w:vertAlign w:val="superscript"/>
          </w:rPr>
          <w:t xml:space="preserve">[6]</w:t>
        </w:r>
      </w:hyperlink>
    </w:p>
    <w:p>
      <w:pPr>
        <w:spacing w:line="360" w:after="210" w:lineRule="auto"/>
      </w:pPr>
      <w:r>
        <w:rPr>
          <w:rFonts w:eastAsia="inter" w:cs="inter" w:ascii="inter" w:hAnsi="inter"/>
          <w:i/>
          <w:color w:val="000000"/>
        </w:rPr>
        <w:t xml:space="preserve">Rural demand growth drivers</w:t>
      </w:r>
      <w:r>
        <w:rPr>
          <w:rFonts w:eastAsia="inter" w:cs="inter" w:ascii="inter" w:hAnsi="inter"/>
          <w:color w:val="000000"/>
        </w:rPr>
        <w:t xml:space="preserve">:</w:t>
      </w:r>
    </w:p>
    <w:p>
      <w:pPr>
        <w:spacing w:line="360" w:after="210" w:lineRule="auto"/>
      </w:pPr>
      <w:r>
        <w:rPr>
          <w:rFonts w:eastAsia="inter" w:cs="inter" w:ascii="inter" w:hAnsi="inter"/>
          <w:color w:val="000000"/>
        </w:rPr>
        <w:t xml:space="preserve">Despite current disparities, rural markets present growth opportunities:</w:t>
      </w:r>
    </w:p>
    <w:p>
      <w:pPr>
        <w:spacing w:line="360" w:after="210" w:lineRule="auto"/>
      </w:pPr>
      <w:r>
        <w:rPr>
          <w:rFonts w:eastAsia="inter" w:cs="inter" w:ascii="inter" w:hAnsi="inter"/>
          <w:b/>
          <w:color w:val="000000"/>
        </w:rPr>
        <w:t xml:space="preserve">Income growth</w:t>
      </w:r>
      <w:r>
        <w:rPr>
          <w:rFonts w:eastAsia="inter" w:cs="inter" w:ascii="inter" w:hAnsi="inter"/>
          <w:color w:val="000000"/>
        </w:rPr>
        <w:t xml:space="preserve">: Agricultural productivity improvements and rural non-farm employment expansion increased rural incomes 6-8% annually 2018-2024, faster than urban growth rates. This convergence gradually narrows urban-rural demand gaps.</w:t>
      </w:r>
      <w:bookmarkStart w:id="629" w:name="fnref6_34"/>
      <w:bookmarkEnd w:id="629"/>
      <w:hyperlink w:anchor="fn6">
        <w:r>
          <w:rPr>
            <w:rFonts w:eastAsia="inter" w:cs="inter" w:ascii="inter" w:hAnsi="inter"/>
            <w:color w:val="#000"/>
            <w:u w:val="single"/>
            <w:vertAlign w:val="superscript"/>
          </w:rPr>
          <w:t xml:space="preserve">[6]</w:t>
        </w:r>
      </w:hyperlink>
    </w:p>
    <w:p>
      <w:pPr>
        <w:spacing w:line="360" w:after="210" w:lineRule="auto"/>
      </w:pPr>
      <w:r>
        <w:rPr>
          <w:rFonts w:eastAsia="inter" w:cs="inter" w:ascii="inter" w:hAnsi="inter"/>
          <w:b/>
          <w:color w:val="000000"/>
        </w:rPr>
        <w:t xml:space="preserve">Infrastructure development</w:t>
      </w:r>
      <w:r>
        <w:rPr>
          <w:rFonts w:eastAsia="inter" w:cs="inter" w:ascii="inter" w:hAnsi="inter"/>
          <w:color w:val="000000"/>
        </w:rPr>
        <w:t xml:space="preserve">: Rural electrification initiatives (Saubhagya scheme achieving 99%+ household connections) and grid reliability improvements remove usage constraints.</w:t>
      </w:r>
      <w:bookmarkStart w:id="630" w:name="fnref6_35"/>
      <w:bookmarkEnd w:id="630"/>
      <w:hyperlink w:anchor="fn6">
        <w:r>
          <w:rPr>
            <w:rFonts w:eastAsia="inter" w:cs="inter" w:ascii="inter" w:hAnsi="inter"/>
            <w:color w:val="#000"/>
            <w:u w:val="single"/>
            <w:vertAlign w:val="superscript"/>
          </w:rPr>
          <w:t xml:space="preserve">[6]</w:t>
        </w:r>
      </w:hyperlink>
    </w:p>
    <w:p>
      <w:pPr>
        <w:spacing w:line="360" w:after="210" w:lineRule="auto"/>
      </w:pPr>
      <w:r>
        <w:rPr>
          <w:rFonts w:eastAsia="inter" w:cs="inter" w:ascii="inter" w:hAnsi="inter"/>
          <w:b/>
          <w:color w:val="000000"/>
        </w:rPr>
        <w:t xml:space="preserve">Digital penetration</w:t>
      </w:r>
      <w:r>
        <w:rPr>
          <w:rFonts w:eastAsia="inter" w:cs="inter" w:ascii="inter" w:hAnsi="inter"/>
          <w:color w:val="000000"/>
        </w:rPr>
        <w:t xml:space="preserve">: Smartphone adoption (reaching 45-50% in rural areas by 2024) and data cost declines enable social media access, exposing rural consumers to urban beauty trends. This information diffusion accelerates aspiration convergence.</w:t>
      </w:r>
      <w:bookmarkStart w:id="631" w:name="fnref88_5"/>
      <w:bookmarkEnd w:id="631"/>
      <w:hyperlink w:anchor="fn88">
        <w:r>
          <w:rPr>
            <w:rFonts w:eastAsia="inter" w:cs="inter" w:ascii="inter" w:hAnsi="inter"/>
            <w:color w:val="#000"/>
            <w:u w:val="single"/>
            <w:vertAlign w:val="superscript"/>
          </w:rPr>
          <w:t xml:space="preserve">[88]</w:t>
        </w:r>
      </w:hyperlink>
      <w:bookmarkStart w:id="632" w:name="fnref24_30"/>
      <w:bookmarkEnd w:id="632"/>
      <w:hyperlink w:anchor="fn24">
        <w:r>
          <w:rPr>
            <w:rFonts w:eastAsia="inter" w:cs="inter" w:ascii="inter" w:hAnsi="inter"/>
            <w:color w:val="#000"/>
            <w:u w:val="single"/>
            <w:vertAlign w:val="superscript"/>
          </w:rPr>
          <w:t xml:space="preserve">[24]</w:t>
        </w:r>
      </w:hyperlink>
    </w:p>
    <w:p>
      <w:pPr>
        <w:spacing w:line="360" w:after="210" w:lineRule="auto"/>
      </w:pPr>
      <w:r>
        <w:rPr>
          <w:rFonts w:eastAsia="inter" w:cs="inter" w:ascii="inter" w:hAnsi="inter"/>
          <w:b/>
          <w:color w:val="000000"/>
        </w:rPr>
        <w:t xml:space="preserve">E-commerce expansion</w:t>
      </w:r>
      <w:r>
        <w:rPr>
          <w:rFonts w:eastAsia="inter" w:cs="inter" w:ascii="inter" w:hAnsi="inter"/>
          <w:color w:val="000000"/>
        </w:rPr>
        <w:t xml:space="preserve">: Platforms expanding last-mile delivery networks (Flipkart, Amazon, Meesho focusing on tier-2/3 cities and rural markets) improve product access. Entry of vernacular e-commerce platforms reduces language barriers further facilitating rural digital commerce.</w:t>
      </w:r>
      <w:bookmarkStart w:id="633" w:name="fnref24_31"/>
      <w:bookmarkEnd w:id="633"/>
      <w:hyperlink w:anchor="fn24">
        <w:r>
          <w:rPr>
            <w:rFonts w:eastAsia="inter" w:cs="inter" w:ascii="inter" w:hAnsi="inter"/>
            <w:color w:val="#000"/>
            <w:u w:val="single"/>
            <w:vertAlign w:val="superscript"/>
          </w:rPr>
          <w:t xml:space="preserve">[24]</w:t>
        </w:r>
      </w:hyperlink>
    </w:p>
    <w:p>
      <w:pPr>
        <w:spacing w:line="360" w:after="210" w:lineRule="auto"/>
      </w:pPr>
      <w:r>
        <w:rPr>
          <w:rFonts w:eastAsia="inter" w:cs="inter" w:ascii="inter" w:hAnsi="inter"/>
          <w:b/>
          <w:color w:val="000000"/>
        </w:rPr>
        <w:t xml:space="preserve">Education and migration</w:t>
      </w:r>
      <w:r>
        <w:rPr>
          <w:rFonts w:eastAsia="inter" w:cs="inter" w:ascii="inter" w:hAnsi="inter"/>
          <w:color w:val="000000"/>
        </w:rPr>
        <w:t xml:space="preserve">: Rural youth educated in urban areas or migrating for employment transfer urban consumption patterns to rural households, creating demonstration effects.</w:t>
      </w:r>
      <w:bookmarkStart w:id="634" w:name="fnref88_6"/>
      <w:bookmarkEnd w:id="634"/>
      <w:hyperlink w:anchor="fn88">
        <w:r>
          <w:rPr>
            <w:rFonts w:eastAsia="inter" w:cs="inter" w:ascii="inter" w:hAnsi="inter"/>
            <w:color w:val="#000"/>
            <w:u w:val="single"/>
            <w:vertAlign w:val="superscript"/>
          </w:rPr>
          <w:t xml:space="preserve">[88]</w:t>
        </w:r>
      </w:hyperlink>
    </w:p>
    <w:p>
      <w:pPr>
        <w:spacing w:line="360" w:after="210" w:lineRule="auto"/>
      </w:pPr>
      <w:r>
        <w:rPr>
          <w:rFonts w:eastAsia="inter" w:cs="inter" w:ascii="inter" w:hAnsi="inter"/>
          <w:b/>
          <w:color w:val="000000"/>
        </w:rPr>
        <w:t xml:space="preserve">Optimal Market Strategies for Rural Penetration</w:t>
      </w:r>
    </w:p>
    <w:p>
      <w:pPr>
        <w:spacing w:line="360" w:after="210" w:lineRule="auto"/>
      </w:pPr>
      <w:r>
        <w:rPr>
          <w:rFonts w:eastAsia="inter" w:cs="inter" w:ascii="inter" w:hAnsi="inter"/>
          <w:color w:val="000000"/>
        </w:rPr>
        <w:t xml:space="preserve">Given distinct rural characteristics, manufacturers employ adapted strategies:</w:t>
      </w:r>
    </w:p>
    <w:p>
      <w:pPr>
        <w:spacing w:line="360" w:after="210" w:lineRule="auto"/>
      </w:pPr>
      <w:r>
        <w:rPr>
          <w:rFonts w:eastAsia="inter" w:cs="inter" w:ascii="inter" w:hAnsi="inter"/>
          <w:i/>
          <w:color w:val="000000"/>
        </w:rPr>
        <w:t xml:space="preserve">Product design</w:t>
      </w:r>
      <w:r>
        <w:rPr>
          <w:rFonts w:eastAsia="inter" w:cs="inter" w:ascii="inter" w:hAnsi="inter"/>
          <w:color w:val="000000"/>
        </w:rPr>
        <w:t xml:space="preserve">: Budget-tier models (&lt;₹1,500) with simplified features targeting affordability constraints. Some brands introduce sachet pricing models (pay-per-use at salons) reducing upfront costs.</w:t>
      </w:r>
      <w:bookmarkStart w:id="635" w:name="fnref15_58"/>
      <w:bookmarkEnd w:id="635"/>
      <w:hyperlink w:anchor="fn15">
        <w:r>
          <w:rPr>
            <w:rFonts w:eastAsia="inter" w:cs="inter" w:ascii="inter" w:hAnsi="inter"/>
            <w:color w:val="#000"/>
            <w:u w:val="single"/>
            <w:vertAlign w:val="superscript"/>
          </w:rPr>
          <w:t xml:space="preserve">[15]</w:t>
        </w:r>
      </w:hyperlink>
      <w:bookmarkStart w:id="636" w:name="fnref6_36"/>
      <w:bookmarkEnd w:id="636"/>
      <w:hyperlink w:anchor="fn6">
        <w:r>
          <w:rPr>
            <w:rFonts w:eastAsia="inter" w:cs="inter" w:ascii="inter" w:hAnsi="inter"/>
            <w:color w:val="#000"/>
            <w:u w:val="single"/>
            <w:vertAlign w:val="superscript"/>
          </w:rPr>
          <w:t xml:space="preserve">[6]</w:t>
        </w:r>
      </w:hyperlink>
    </w:p>
    <w:p>
      <w:pPr>
        <w:spacing w:line="360" w:after="210" w:lineRule="auto"/>
      </w:pPr>
      <w:r>
        <w:rPr>
          <w:rFonts w:eastAsia="inter" w:cs="inter" w:ascii="inter" w:hAnsi="inter"/>
          <w:i/>
          <w:color w:val="000000"/>
        </w:rPr>
        <w:t xml:space="preserve">Distribution</w:t>
      </w:r>
      <w:r>
        <w:rPr>
          <w:rFonts w:eastAsia="inter" w:cs="inter" w:ascii="inter" w:hAnsi="inter"/>
          <w:color w:val="000000"/>
        </w:rPr>
        <w:t xml:space="preserve">: Partnerships with rural retailers (Kirana stores, mobile appliance vans) supplement e-commerce where distribution gaps persist.</w:t>
      </w:r>
      <w:bookmarkStart w:id="637" w:name="fnref24_32"/>
      <w:bookmarkEnd w:id="637"/>
      <w:hyperlink w:anchor="fn24">
        <w:r>
          <w:rPr>
            <w:rFonts w:eastAsia="inter" w:cs="inter" w:ascii="inter" w:hAnsi="inter"/>
            <w:color w:val="#000"/>
            <w:u w:val="single"/>
            <w:vertAlign w:val="superscript"/>
          </w:rPr>
          <w:t xml:space="preserve">[24]</w:t>
        </w:r>
      </w:hyperlink>
    </w:p>
    <w:p>
      <w:pPr>
        <w:spacing w:line="360" w:after="210" w:lineRule="auto"/>
      </w:pPr>
      <w:r>
        <w:rPr>
          <w:rFonts w:eastAsia="inter" w:cs="inter" w:ascii="inter" w:hAnsi="inter"/>
          <w:i/>
          <w:color w:val="000000"/>
        </w:rPr>
        <w:t xml:space="preserve">Marketing</w:t>
      </w:r>
      <w:r>
        <w:rPr>
          <w:rFonts w:eastAsia="inter" w:cs="inter" w:ascii="inter" w:hAnsi="inter"/>
          <w:color w:val="000000"/>
        </w:rPr>
        <w:t xml:space="preserve">: Vernacular language content and local influencer partnerships (versus metro-focused celebrity endorsements) improve message resonance.</w:t>
      </w:r>
      <w:bookmarkStart w:id="638" w:name="fnref88_7"/>
      <w:bookmarkEnd w:id="638"/>
      <w:hyperlink w:anchor="fn88">
        <w:r>
          <w:rPr>
            <w:rFonts w:eastAsia="inter" w:cs="inter" w:ascii="inter" w:hAnsi="inter"/>
            <w:color w:val="#000"/>
            <w:u w:val="single"/>
            <w:vertAlign w:val="superscript"/>
          </w:rPr>
          <w:t xml:space="preserve">[88]</w:t>
        </w:r>
      </w:hyperlink>
      <w:bookmarkStart w:id="639" w:name="fnref24_33"/>
      <w:bookmarkEnd w:id="639"/>
      <w:hyperlink w:anchor="fn24">
        <w:r>
          <w:rPr>
            <w:rFonts w:eastAsia="inter" w:cs="inter" w:ascii="inter" w:hAnsi="inter"/>
            <w:color w:val="#000"/>
            <w:u w:val="single"/>
            <w:vertAlign w:val="superscript"/>
          </w:rPr>
          <w:t xml:space="preserve">[24]</w:t>
        </w:r>
      </w:hyperlink>
    </w:p>
    <w:p>
      <w:pPr>
        <w:spacing w:line="360" w:after="210" w:lineRule="auto"/>
      </w:pPr>
      <w:r>
        <w:rPr>
          <w:rFonts w:eastAsia="inter" w:cs="inter" w:ascii="inter" w:hAnsi="inter"/>
          <w:i/>
          <w:color w:val="000000"/>
        </w:rPr>
        <w:t xml:space="preserve">Payment innovation</w:t>
      </w:r>
      <w:r>
        <w:rPr>
          <w:rFonts w:eastAsia="inter" w:cs="inter" w:ascii="inter" w:hAnsi="inter"/>
          <w:color w:val="000000"/>
        </w:rPr>
        <w:t xml:space="preserve">: EMI (Equated Monthly Installment) schemes for purchases as low as ₹1,000, reducing liquidity constraints.</w:t>
      </w:r>
      <w:bookmarkStart w:id="640" w:name="fnref15_59"/>
      <w:bookmarkEnd w:id="640"/>
      <w:hyperlink w:anchor="fn15">
        <w:r>
          <w:rPr>
            <w:rFonts w:eastAsia="inter" w:cs="inter" w:ascii="inter" w:hAnsi="inter"/>
            <w:color w:val="#000"/>
            <w:u w:val="single"/>
            <w:vertAlign w:val="superscript"/>
          </w:rPr>
          <w:t xml:space="preserve">[15]</w:t>
        </w:r>
      </w:hyperlink>
      <w:bookmarkStart w:id="641" w:name="fnref6_37"/>
      <w:bookmarkEnd w:id="641"/>
      <w:hyperlink w:anchor="fn6">
        <w:r>
          <w:rPr>
            <w:rFonts w:eastAsia="inter" w:cs="inter" w:ascii="inter" w:hAnsi="inter"/>
            <w:color w:val="#000"/>
            <w:u w:val="single"/>
            <w:vertAlign w:val="superscript"/>
          </w:rPr>
          <w:t xml:space="preserve">[6]</w:t>
        </w:r>
      </w:hyperlink>
    </w:p>
    <w:p>
      <w:pPr>
        <w:spacing w:line="360" w:after="210" w:lineRule="auto"/>
      </w:pPr>
      <w:r>
        <w:rPr>
          <w:rFonts w:eastAsia="inter" w:cs="inter" w:ascii="inter" w:hAnsi="inter"/>
          <w:color w:val="000000"/>
        </w:rPr>
        <w:t xml:space="preserve">These adaptations reflect optimal price discrimination strategies: manufacturers segment markets by region (urban/rural) with distinct price-quality-distribution combinations maximizing profits across heterogeneous consumer populations.</w:t>
      </w:r>
      <w:bookmarkStart w:id="642" w:name="fnref15_60"/>
      <w:bookmarkEnd w:id="642"/>
      <w:hyperlink w:anchor="fn15">
        <w:r>
          <w:rPr>
            <w:rFonts w:eastAsia="inter" w:cs="inter" w:ascii="inter" w:hAnsi="inter"/>
            <w:color w:val="#000"/>
            <w:u w:val="single"/>
            <w:vertAlign w:val="superscript"/>
          </w:rPr>
          <w:t xml:space="preserve">[15]</w:t>
        </w:r>
      </w:hyperlink>
    </w:p>
    <w:p>
      <w:pPr>
        <w:spacing w:line="360" w:after="210" w:lineRule="auto"/>
      </w:pPr>
      <w:r>
        <w:rPr>
          <w:rFonts w:eastAsia="inter" w:cs="inter" w:ascii="inter" w:hAnsi="inter"/>
          <w:color w:val="000000"/>
        </w:rPr>
        <w:t xml:space="preserve">The urban-rural divide in hair straightener demand illustrates how infrastructure, income, information access, and cultural factors shape consumption patterns. As structural factors converge (rural electrification, income growth, digital penetration), demand gaps narrow—projections suggest rural markets comprising 25-30% of Indian volume by 2030, up from 15-18% in 2024.</w:t>
      </w:r>
      <w:bookmarkStart w:id="643" w:name="fnref24_34"/>
      <w:bookmarkEnd w:id="643"/>
      <w:hyperlink w:anchor="fn24">
        <w:r>
          <w:rPr>
            <w:rFonts w:eastAsia="inter" w:cs="inter" w:ascii="inter" w:hAnsi="inter"/>
            <w:color w:val="#000"/>
            <w:u w:val="single"/>
            <w:vertAlign w:val="superscript"/>
          </w:rPr>
          <w:t xml:space="preserve">[24]</w:t>
        </w:r>
      </w:hyperlink>
      <w:bookmarkStart w:id="644" w:name="fnref6_38"/>
      <w:bookmarkEnd w:id="644"/>
      <w:hyperlink w:anchor="fn6">
        <w:r>
          <w:rPr>
            <w:rFonts w:eastAsia="inter" w:cs="inter" w:ascii="inter" w:hAnsi="inter"/>
            <w:color w:val="#000"/>
            <w:u w:val="single"/>
            <w:vertAlign w:val="superscript"/>
          </w:rPr>
          <w:t xml:space="preserve">[6]</w:t>
        </w:r>
      </w:hyperlink>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645" w:name="elasticity_of_demand_quantitative_9e578e"/>
      <w:r>
        <w:rPr>
          <w:rFonts w:eastAsia="inter" w:cs="inter" w:ascii="inter" w:hAnsi="inter"/>
          <w:b/>
          <w:color w:val="000000"/>
          <w:sz w:val="24"/>
        </w:rPr>
        <w:t xml:space="preserve">ELASTICITY OF DEMAND: QUANTITATIVE ANALYSIS</w:t>
      </w:r>
      <w:bookmarkEnd w:id="645"/>
    </w:p>
    <w:p>
      <w:pPr>
        <w:spacing w:line="360" w:before="315" w:after="105" w:lineRule="auto"/>
        <w:ind w:left="-30"/>
        <w:jc w:val="left"/>
      </w:pPr>
      <w:bookmarkStart w:id="646" w:name="price_elasticity_of_demand"/>
      <w:r>
        <w:rPr>
          <w:rFonts w:eastAsia="inter" w:cs="inter" w:ascii="inter" w:hAnsi="inter"/>
          <w:b/>
          <w:color w:val="000000"/>
          <w:sz w:val="24"/>
        </w:rPr>
        <w:t xml:space="preserve">Price Elasticity of Demand</w:t>
      </w:r>
      <w:bookmarkEnd w:id="646"/>
    </w:p>
    <w:p>
      <w:pPr>
        <w:spacing w:line="360" w:after="210" w:lineRule="auto"/>
      </w:pPr>
      <w:r>
        <w:rPr>
          <w:rFonts w:eastAsia="inter" w:cs="inter" w:ascii="inter" w:hAnsi="inter"/>
          <w:color w:val="000000"/>
        </w:rPr>
        <w:t xml:space="preserve">Price elasticity of demand (PED) measures the percentage change in quantity demanded resulting from a 1% price change:</w:t>
      </w:r>
      <w:bookmarkStart w:id="647" w:name="fnref91"/>
      <w:bookmarkEnd w:id="647"/>
      <w:hyperlink w:anchor="fn91">
        <w:r>
          <w:rPr>
            <w:rFonts w:eastAsia="inter" w:cs="inter" w:ascii="inter" w:hAnsi="inter"/>
            <w:color w:val="#000"/>
            <w:u w:val="single"/>
            <w:vertAlign w:val="superscript"/>
          </w:rPr>
          <w:t xml:space="preserve">[91]</w:t>
        </w:r>
      </w:hyperlink>
      <w:bookmarkStart w:id="648" w:name="fnref84_1"/>
      <w:bookmarkEnd w:id="648"/>
      <w:hyperlink w:anchor="fn84">
        <w:r>
          <w:rPr>
            <w:rFonts w:eastAsia="inter" w:cs="inter" w:ascii="inter" w:hAnsi="inter"/>
            <w:color w:val="#000"/>
            <w:u w:val="single"/>
            <w:vertAlign w:val="superscript"/>
          </w:rPr>
          <w:t xml:space="preserve">[84]</w:t>
        </w:r>
      </w:hyperlink>
      <w:bookmarkStart w:id="649" w:name="fnref92"/>
      <w:bookmarkEnd w:id="649"/>
      <w:hyperlink w:anchor="fn92">
        <w:r>
          <w:rPr>
            <w:rFonts w:eastAsia="inter" w:cs="inter" w:ascii="inter" w:hAnsi="inter"/>
            <w:color w:val="#000"/>
            <w:u w:val="single"/>
            <w:vertAlign w:val="superscript"/>
          </w:rPr>
          <w:t xml:space="preserve">[92]</w:t>
        </w:r>
      </w:hyperlink>
    </w:p>
    <w:p>
      <w:pPr>
        <w:spacing w:line="360" w:after="210" w:lineRule="auto"/>
      </w:pPr>
      <w:r>
        <w:rPr>
          <w:rFonts w:eastAsia="inter" w:cs="inter" w:ascii="inter" w:hAnsi="inter"/>
          <w:b/>
          <w:color w:val="000000"/>
        </w:rPr>
        <w:t xml:space="preserve">εₚ = (% ΔQd) / (% ΔP) = (ΔQd/Qd) / (ΔP/P)</w:t>
      </w:r>
    </w:p>
    <w:p>
      <w:pPr>
        <w:spacing w:line="360" w:after="210" w:lineRule="auto"/>
      </w:pPr>
      <w:r>
        <w:rPr>
          <w:rFonts w:eastAsia="inter" w:cs="inter" w:ascii="inter" w:hAnsi="inter"/>
          <w:color w:val="000000"/>
        </w:rPr>
        <w:t xml:space="preserve">For hair straightening brushes, price elasticity varies significantly across market segments and price ranges.</w:t>
      </w:r>
      <w:bookmarkStart w:id="650" w:name="fnref15_61"/>
      <w:bookmarkEnd w:id="650"/>
      <w:hyperlink w:anchor="fn15">
        <w:r>
          <w:rPr>
            <w:rFonts w:eastAsia="inter" w:cs="inter" w:ascii="inter" w:hAnsi="inter"/>
            <w:color w:val="#000"/>
            <w:u w:val="single"/>
            <w:vertAlign w:val="superscript"/>
          </w:rPr>
          <w:t xml:space="preserve">[15]</w:t>
        </w:r>
      </w:hyperlink>
      <w:bookmarkStart w:id="651" w:name="fnref83_1"/>
      <w:bookmarkEnd w:id="651"/>
      <w:hyperlink w:anchor="fn83">
        <w:r>
          <w:rPr>
            <w:rFonts w:eastAsia="inter" w:cs="inter" w:ascii="inter" w:hAnsi="inter"/>
            <w:color w:val="#000"/>
            <w:u w:val="single"/>
            <w:vertAlign w:val="superscript"/>
          </w:rPr>
          <w:t xml:space="preserve">[83]</w:t>
        </w:r>
      </w:hyperlink>
      <w:bookmarkStart w:id="652" w:name="fnref84_2"/>
      <w:bookmarkEnd w:id="652"/>
      <w:hyperlink w:anchor="fn84">
        <w:r>
          <w:rPr>
            <w:rFonts w:eastAsia="inter" w:cs="inter" w:ascii="inter" w:hAnsi="inter"/>
            <w:color w:val="#000"/>
            <w:u w:val="single"/>
            <w:vertAlign w:val="superscript"/>
          </w:rPr>
          <w:t xml:space="preserve">[84]</w:t>
        </w:r>
      </w:hyperlink>
    </w:p>
    <w:p>
      <w:pPr>
        <w:spacing w:line="360" w:after="210" w:lineRule="auto"/>
      </w:pPr>
      <w:r>
        <w:rPr>
          <w:rFonts w:eastAsia="inter" w:cs="inter" w:ascii="inter" w:hAnsi="inter"/>
          <w:b/>
          <w:color w:val="000000"/>
        </w:rPr>
        <w:t xml:space="preserve">Segment-Specific Elasticity Estimates</w:t>
      </w:r>
    </w:p>
    <w:p>
      <w:pPr>
        <w:spacing w:line="360" w:after="210" w:lineRule="auto"/>
      </w:pPr>
      <w:r>
        <w:rPr>
          <w:rFonts w:eastAsia="inter" w:cs="inter" w:ascii="inter" w:hAnsi="inter"/>
          <w:i/>
          <w:color w:val="000000"/>
        </w:rPr>
        <w:t xml:space="preserve">Budget Segment</w:t>
      </w:r>
      <w:r>
        <w:rPr>
          <w:rFonts w:eastAsia="inter" w:cs="inter" w:ascii="inter" w:hAnsi="inter"/>
          <w:color w:val="000000"/>
        </w:rPr>
        <w:t xml:space="preserve"> (&lt;USD 30 / ₹2,500):</w:t>
      </w:r>
    </w:p>
    <w:p>
      <w:pPr>
        <w:numPr>
          <w:ilvl w:val="0"/>
          <w:numId w:val="49"/>
        </w:numPr>
        <w:spacing w:line="360" w:before="105" w:after="105" w:lineRule="auto"/>
      </w:pPr>
      <w:r>
        <w:rPr>
          <w:rFonts w:eastAsia="inter" w:cs="inter" w:ascii="inter" w:hAnsi="inter"/>
          <w:color w:val="000000"/>
          <w:sz w:val="21"/>
        </w:rPr>
        <w:t xml:space="preserve">Estimated PED: -1.8 to -2.5 (highly elastic)</w:t>
      </w:r>
      <w:bookmarkStart w:id="653" w:name="fnref84_3"/>
      <w:bookmarkEnd w:id="653"/>
      <w:hyperlink w:anchor="fn84">
        <w:r>
          <w:rPr>
            <w:rFonts w:eastAsia="inter" w:cs="inter" w:ascii="inter" w:hAnsi="inter"/>
            <w:color w:val="#000"/>
            <w:sz w:val="21"/>
            <w:u w:val="single"/>
            <w:vertAlign w:val="superscript"/>
          </w:rPr>
          <w:t xml:space="preserve">[84]</w:t>
        </w:r>
      </w:hyperlink>
      <w:bookmarkStart w:id="654" w:name="fnref15_62"/>
      <w:bookmarkEnd w:id="654"/>
      <w:hyperlink w:anchor="fn15">
        <w:r>
          <w:rPr>
            <w:rFonts w:eastAsia="inter" w:cs="inter" w:ascii="inter" w:hAnsi="inter"/>
            <w:color w:val="#000"/>
            <w:sz w:val="21"/>
            <w:u w:val="single"/>
            <w:vertAlign w:val="superscript"/>
          </w:rPr>
          <w:t xml:space="preserve">[15]</w:t>
        </w:r>
      </w:hyperlink>
    </w:p>
    <w:p>
      <w:pPr>
        <w:numPr>
          <w:ilvl w:val="0"/>
          <w:numId w:val="49"/>
        </w:numPr>
        <w:spacing w:line="360" w:before="105" w:after="105" w:lineRule="auto"/>
      </w:pPr>
      <w:r>
        <w:rPr>
          <w:rFonts w:eastAsia="inter" w:cs="inter" w:ascii="inter" w:hAnsi="inter"/>
          <w:color w:val="000000"/>
          <w:sz w:val="21"/>
        </w:rPr>
        <w:t xml:space="preserve">Interpretation: 10% price increase reduces quantity demanded by 18-25%</w:t>
      </w:r>
      <w:bookmarkStart w:id="655" w:name="fnref84_4"/>
      <w:bookmarkEnd w:id="655"/>
      <w:hyperlink w:anchor="fn84">
        <w:r>
          <w:rPr>
            <w:rFonts w:eastAsia="inter" w:cs="inter" w:ascii="inter" w:hAnsi="inter"/>
            <w:color w:val="#000"/>
            <w:sz w:val="21"/>
            <w:u w:val="single"/>
            <w:vertAlign w:val="superscript"/>
          </w:rPr>
          <w:t xml:space="preserve">[84]</w:t>
        </w:r>
      </w:hyperlink>
    </w:p>
    <w:p>
      <w:pPr>
        <w:spacing w:line="360" w:after="210" w:lineRule="auto"/>
      </w:pPr>
      <w:r>
        <w:rPr>
          <w:rFonts w:eastAsia="inter" w:cs="inter" w:ascii="inter" w:hAnsi="inter"/>
          <w:color w:val="000000"/>
        </w:rPr>
        <w:t xml:space="preserve">This high elasticity reflects:</w:t>
      </w:r>
    </w:p>
    <w:p>
      <w:pPr>
        <w:numPr>
          <w:ilvl w:val="0"/>
          <w:numId w:val="50"/>
        </w:numPr>
        <w:spacing w:line="360" w:before="105" w:after="105" w:lineRule="auto"/>
      </w:pPr>
      <w:r>
        <w:rPr>
          <w:rFonts w:eastAsia="inter" w:cs="inter" w:ascii="inter" w:hAnsi="inter"/>
          <w:b/>
          <w:color w:val="000000"/>
          <w:sz w:val="21"/>
        </w:rPr>
        <w:t xml:space="preserve">Multiple substitutes</w:t>
      </w:r>
      <w:r>
        <w:rPr>
          <w:rFonts w:eastAsia="inter" w:cs="inter" w:ascii="inter" w:hAnsi="inter"/>
          <w:color w:val="000000"/>
          <w:sz w:val="21"/>
        </w:rPr>
        <w:t xml:space="preserve">: Abundant alternatives within budget tier create high substitution possibilities</w:t>
      </w:r>
      <w:bookmarkStart w:id="656" w:name="fnref15_63"/>
      <w:bookmarkEnd w:id="656"/>
      <w:hyperlink w:anchor="fn15">
        <w:r>
          <w:rPr>
            <w:rFonts w:eastAsia="inter" w:cs="inter" w:ascii="inter" w:hAnsi="inter"/>
            <w:color w:val="#000"/>
            <w:sz w:val="21"/>
            <w:u w:val="single"/>
            <w:vertAlign w:val="superscript"/>
          </w:rPr>
          <w:t xml:space="preserve">[15]</w:t>
        </w:r>
      </w:hyperlink>
    </w:p>
    <w:p>
      <w:pPr>
        <w:numPr>
          <w:ilvl w:val="0"/>
          <w:numId w:val="50"/>
        </w:numPr>
        <w:spacing w:line="360" w:before="105" w:after="105" w:lineRule="auto"/>
      </w:pPr>
      <w:r>
        <w:rPr>
          <w:rFonts w:eastAsia="inter" w:cs="inter" w:ascii="inter" w:hAnsi="inter"/>
          <w:b/>
          <w:color w:val="000000"/>
          <w:sz w:val="21"/>
        </w:rPr>
        <w:t xml:space="preserve">Income constraints</w:t>
      </w:r>
      <w:r>
        <w:rPr>
          <w:rFonts w:eastAsia="inter" w:cs="inter" w:ascii="inter" w:hAnsi="inter"/>
          <w:color w:val="000000"/>
          <w:sz w:val="21"/>
        </w:rPr>
        <w:t xml:space="preserve">: Target consumers near budget constraints exhibit high price sensitivity</w:t>
      </w:r>
      <w:bookmarkStart w:id="657" w:name="fnref15_64"/>
      <w:bookmarkEnd w:id="657"/>
      <w:hyperlink w:anchor="fn15">
        <w:r>
          <w:rPr>
            <w:rFonts w:eastAsia="inter" w:cs="inter" w:ascii="inter" w:hAnsi="inter"/>
            <w:color w:val="#000"/>
            <w:sz w:val="21"/>
            <w:u w:val="single"/>
            <w:vertAlign w:val="superscript"/>
          </w:rPr>
          <w:t xml:space="preserve">[15]</w:t>
        </w:r>
      </w:hyperlink>
      <w:bookmarkStart w:id="658" w:name="fnref84_5"/>
      <w:bookmarkEnd w:id="658"/>
      <w:hyperlink w:anchor="fn84">
        <w:r>
          <w:rPr>
            <w:rFonts w:eastAsia="inter" w:cs="inter" w:ascii="inter" w:hAnsi="inter"/>
            <w:color w:val="#000"/>
            <w:sz w:val="21"/>
            <w:u w:val="single"/>
            <w:vertAlign w:val="superscript"/>
          </w:rPr>
          <w:t xml:space="preserve">[84]</w:t>
        </w:r>
      </w:hyperlink>
    </w:p>
    <w:p>
      <w:pPr>
        <w:numPr>
          <w:ilvl w:val="0"/>
          <w:numId w:val="50"/>
        </w:numPr>
        <w:spacing w:line="360" w:before="105" w:after="105" w:lineRule="auto"/>
      </w:pPr>
      <w:r>
        <w:rPr>
          <w:rFonts w:eastAsia="inter" w:cs="inter" w:ascii="inter" w:hAnsi="inter"/>
          <w:b/>
          <w:color w:val="000000"/>
          <w:sz w:val="21"/>
        </w:rPr>
        <w:t xml:space="preserve">Low brand loyalty</w:t>
      </w:r>
      <w:r>
        <w:rPr>
          <w:rFonts w:eastAsia="inter" w:cs="inter" w:ascii="inter" w:hAnsi="inter"/>
          <w:color w:val="000000"/>
          <w:sz w:val="21"/>
        </w:rPr>
        <w:t xml:space="preserve">: Commodity perception with minimal differentiation enables easy switching</w:t>
      </w:r>
      <w:bookmarkStart w:id="659" w:name="fnref15_65"/>
      <w:bookmarkEnd w:id="659"/>
      <w:hyperlink w:anchor="fn15">
        <w:r>
          <w:rPr>
            <w:rFonts w:eastAsia="inter" w:cs="inter" w:ascii="inter" w:hAnsi="inter"/>
            <w:color w:val="#000"/>
            <w:sz w:val="21"/>
            <w:u w:val="single"/>
            <w:vertAlign w:val="superscript"/>
          </w:rPr>
          <w:t xml:space="preserve">[15]</w:t>
        </w:r>
      </w:hyperlink>
    </w:p>
    <w:p>
      <w:pPr>
        <w:spacing w:line="360" w:after="210" w:lineRule="auto"/>
      </w:pPr>
      <w:r>
        <w:rPr>
          <w:rFonts w:eastAsia="inter" w:cs="inter" w:ascii="inter" w:hAnsi="inter"/>
          <w:color w:val="000000"/>
        </w:rPr>
        <w:t xml:space="preserve">Revenue implications: Price reductions increase total revenue (since demand is elastic). Budget brands pursue volume strategies, accepting thin margins (10-15%) to maximize throughput.</w:t>
      </w:r>
      <w:bookmarkStart w:id="660" w:name="fnref84_6"/>
      <w:bookmarkEnd w:id="660"/>
      <w:hyperlink w:anchor="fn84">
        <w:r>
          <w:rPr>
            <w:rFonts w:eastAsia="inter" w:cs="inter" w:ascii="inter" w:hAnsi="inter"/>
            <w:color w:val="#000"/>
            <w:u w:val="single"/>
            <w:vertAlign w:val="superscript"/>
          </w:rPr>
          <w:t xml:space="preserve">[84]</w:t>
        </w:r>
      </w:hyperlink>
      <w:bookmarkStart w:id="661" w:name="fnref15_66"/>
      <w:bookmarkEnd w:id="661"/>
      <w:hyperlink w:anchor="fn15">
        <w:r>
          <w:rPr>
            <w:rFonts w:eastAsia="inter" w:cs="inter" w:ascii="inter" w:hAnsi="inter"/>
            <w:color w:val="#000"/>
            <w:u w:val="single"/>
            <w:vertAlign w:val="superscript"/>
          </w:rPr>
          <w:t xml:space="preserve">[15]</w:t>
        </w:r>
      </w:hyperlink>
    </w:p>
    <w:p>
      <w:pPr>
        <w:spacing w:line="360" w:after="210" w:lineRule="auto"/>
      </w:pPr>
      <w:r>
        <w:rPr>
          <w:rFonts w:eastAsia="inter" w:cs="inter" w:ascii="inter" w:hAnsi="inter"/>
          <w:i/>
          <w:color w:val="000000"/>
        </w:rPr>
        <w:t xml:space="preserve">Mid-Range Segment</w:t>
      </w:r>
      <w:r>
        <w:rPr>
          <w:rFonts w:eastAsia="inter" w:cs="inter" w:ascii="inter" w:hAnsi="inter"/>
          <w:color w:val="000000"/>
        </w:rPr>
        <w:t xml:space="preserve"> (USD 30-100 / ₹2,500-8,000):</w:t>
      </w:r>
    </w:p>
    <w:p>
      <w:pPr>
        <w:numPr>
          <w:ilvl w:val="0"/>
          <w:numId w:val="51"/>
        </w:numPr>
        <w:spacing w:line="360" w:before="105" w:after="105" w:lineRule="auto"/>
      </w:pPr>
      <w:r>
        <w:rPr>
          <w:rFonts w:eastAsia="inter" w:cs="inter" w:ascii="inter" w:hAnsi="inter"/>
          <w:color w:val="000000"/>
          <w:sz w:val="21"/>
        </w:rPr>
        <w:t xml:space="preserve">Estimated PED: -1.0 to -1.4 (moderately elastic)</w:t>
      </w:r>
      <w:bookmarkStart w:id="662" w:name="fnref52_10"/>
      <w:bookmarkEnd w:id="662"/>
      <w:hyperlink w:anchor="fn52">
        <w:r>
          <w:rPr>
            <w:rFonts w:eastAsia="inter" w:cs="inter" w:ascii="inter" w:hAnsi="inter"/>
            <w:color w:val="#000"/>
            <w:sz w:val="21"/>
            <w:u w:val="single"/>
            <w:vertAlign w:val="superscript"/>
          </w:rPr>
          <w:t xml:space="preserve">[52]</w:t>
        </w:r>
      </w:hyperlink>
      <w:bookmarkStart w:id="663" w:name="fnref15_67"/>
      <w:bookmarkEnd w:id="663"/>
      <w:hyperlink w:anchor="fn15">
        <w:r>
          <w:rPr>
            <w:rFonts w:eastAsia="inter" w:cs="inter" w:ascii="inter" w:hAnsi="inter"/>
            <w:color w:val="#000"/>
            <w:sz w:val="21"/>
            <w:u w:val="single"/>
            <w:vertAlign w:val="superscript"/>
          </w:rPr>
          <w:t xml:space="preserve">[15]</w:t>
        </w:r>
      </w:hyperlink>
    </w:p>
    <w:p>
      <w:pPr>
        <w:numPr>
          <w:ilvl w:val="0"/>
          <w:numId w:val="51"/>
        </w:numPr>
        <w:spacing w:line="360" w:before="105" w:after="105" w:lineRule="auto"/>
      </w:pPr>
      <w:r>
        <w:rPr>
          <w:rFonts w:eastAsia="inter" w:cs="inter" w:ascii="inter" w:hAnsi="inter"/>
          <w:color w:val="000000"/>
          <w:sz w:val="21"/>
        </w:rPr>
        <w:t xml:space="preserve">Interpretation: 10% price increase reduces quantity demanded by 10-14%</w:t>
      </w:r>
      <w:bookmarkStart w:id="664" w:name="fnref84_7"/>
      <w:bookmarkEnd w:id="664"/>
      <w:hyperlink w:anchor="fn84">
        <w:r>
          <w:rPr>
            <w:rFonts w:eastAsia="inter" w:cs="inter" w:ascii="inter" w:hAnsi="inter"/>
            <w:color w:val="#000"/>
            <w:sz w:val="21"/>
            <w:u w:val="single"/>
            <w:vertAlign w:val="superscript"/>
          </w:rPr>
          <w:t xml:space="preserve">[84]</w:t>
        </w:r>
      </w:hyperlink>
    </w:p>
    <w:p>
      <w:pPr>
        <w:spacing w:line="360" w:after="210" w:lineRule="auto"/>
      </w:pPr>
      <w:r>
        <w:rPr>
          <w:rFonts w:eastAsia="inter" w:cs="inter" w:ascii="inter" w:hAnsi="inter"/>
          <w:color w:val="000000"/>
        </w:rPr>
        <w:t xml:space="preserve">Moderate elasticity stems from:</w:t>
      </w:r>
    </w:p>
    <w:p>
      <w:pPr>
        <w:numPr>
          <w:ilvl w:val="0"/>
          <w:numId w:val="52"/>
        </w:numPr>
        <w:spacing w:line="360" w:before="105" w:after="105" w:lineRule="auto"/>
      </w:pPr>
      <w:r>
        <w:rPr>
          <w:rFonts w:eastAsia="inter" w:cs="inter" w:ascii="inter" w:hAnsi="inter"/>
          <w:b/>
          <w:color w:val="000000"/>
          <w:sz w:val="21"/>
        </w:rPr>
        <w:t xml:space="preserve">Brand differentiation</w:t>
      </w:r>
      <w:r>
        <w:rPr>
          <w:rFonts w:eastAsia="inter" w:cs="inter" w:ascii="inter" w:hAnsi="inter"/>
          <w:color w:val="000000"/>
          <w:sz w:val="21"/>
        </w:rPr>
        <w:t xml:space="preserve">: Philips, Vega, Havells build brand equity reducing perfect substitutability</w:t>
      </w:r>
      <w:bookmarkStart w:id="665" w:name="fnref24_35"/>
      <w:bookmarkEnd w:id="665"/>
      <w:hyperlink w:anchor="fn24">
        <w:r>
          <w:rPr>
            <w:rFonts w:eastAsia="inter" w:cs="inter" w:ascii="inter" w:hAnsi="inter"/>
            <w:color w:val="#000"/>
            <w:sz w:val="21"/>
            <w:u w:val="single"/>
            <w:vertAlign w:val="superscript"/>
          </w:rPr>
          <w:t xml:space="preserve">[24]</w:t>
        </w:r>
      </w:hyperlink>
      <w:bookmarkStart w:id="666" w:name="fnref15_68"/>
      <w:bookmarkEnd w:id="666"/>
      <w:hyperlink w:anchor="fn15">
        <w:r>
          <w:rPr>
            <w:rFonts w:eastAsia="inter" w:cs="inter" w:ascii="inter" w:hAnsi="inter"/>
            <w:color w:val="#000"/>
            <w:sz w:val="21"/>
            <w:u w:val="single"/>
            <w:vertAlign w:val="superscript"/>
          </w:rPr>
          <w:t xml:space="preserve">[15]</w:t>
        </w:r>
      </w:hyperlink>
    </w:p>
    <w:p>
      <w:pPr>
        <w:numPr>
          <w:ilvl w:val="0"/>
          <w:numId w:val="52"/>
        </w:numPr>
        <w:spacing w:line="360" w:before="105" w:after="105" w:lineRule="auto"/>
      </w:pPr>
      <w:r>
        <w:rPr>
          <w:rFonts w:eastAsia="inter" w:cs="inter" w:ascii="inter" w:hAnsi="inter"/>
          <w:b/>
          <w:color w:val="000000"/>
          <w:sz w:val="21"/>
        </w:rPr>
        <w:t xml:space="preserve">Quality perception</w:t>
      </w:r>
      <w:r>
        <w:rPr>
          <w:rFonts w:eastAsia="inter" w:cs="inter" w:ascii="inter" w:hAnsi="inter"/>
          <w:color w:val="000000"/>
          <w:sz w:val="21"/>
        </w:rPr>
        <w:t xml:space="preserve">: Consumers view mid-range as minimum quality threshold, limiting downward substitution</w:t>
      </w:r>
      <w:bookmarkStart w:id="667" w:name="fnref52_11"/>
      <w:bookmarkEnd w:id="667"/>
      <w:hyperlink w:anchor="fn52">
        <w:r>
          <w:rPr>
            <w:rFonts w:eastAsia="inter" w:cs="inter" w:ascii="inter" w:hAnsi="inter"/>
            <w:color w:val="#000"/>
            <w:sz w:val="21"/>
            <w:u w:val="single"/>
            <w:vertAlign w:val="superscript"/>
          </w:rPr>
          <w:t xml:space="preserve">[52]</w:t>
        </w:r>
      </w:hyperlink>
    </w:p>
    <w:p>
      <w:pPr>
        <w:numPr>
          <w:ilvl w:val="0"/>
          <w:numId w:val="52"/>
        </w:numPr>
        <w:spacing w:line="360" w:before="105" w:after="105" w:lineRule="auto"/>
      </w:pPr>
      <w:r>
        <w:rPr>
          <w:rFonts w:eastAsia="inter" w:cs="inter" w:ascii="inter" w:hAnsi="inter"/>
          <w:b/>
          <w:color w:val="000000"/>
          <w:sz w:val="21"/>
        </w:rPr>
        <w:t xml:space="preserve">Target market</w:t>
      </w:r>
      <w:r>
        <w:rPr>
          <w:rFonts w:eastAsia="inter" w:cs="inter" w:ascii="inter" w:hAnsi="inter"/>
          <w:color w:val="000000"/>
          <w:sz w:val="21"/>
        </w:rPr>
        <w:t xml:space="preserve">: Middle-class consumers with more discretionary income</w:t>
      </w:r>
      <w:bookmarkStart w:id="668" w:name="fnref24_36"/>
      <w:bookmarkEnd w:id="668"/>
      <w:hyperlink w:anchor="fn24">
        <w:r>
          <w:rPr>
            <w:rFonts w:eastAsia="inter" w:cs="inter" w:ascii="inter" w:hAnsi="inter"/>
            <w:color w:val="#000"/>
            <w:sz w:val="21"/>
            <w:u w:val="single"/>
            <w:vertAlign w:val="superscript"/>
          </w:rPr>
          <w:t xml:space="preserve">[24]</w:t>
        </w:r>
      </w:hyperlink>
    </w:p>
    <w:p>
      <w:pPr>
        <w:spacing w:line="360" w:after="210" w:lineRule="auto"/>
      </w:pPr>
      <w:r>
        <w:rPr>
          <w:rFonts w:eastAsia="inter" w:cs="inter" w:ascii="inter" w:hAnsi="inter"/>
          <w:color w:val="000000"/>
        </w:rPr>
        <w:t xml:space="preserve">Revenue implications: Demand approximately unit elastic suggests revenues remain stable across modest price variations. Optimal pricing requires balancing margin against volume.</w:t>
      </w:r>
      <w:bookmarkStart w:id="669" w:name="fnref84_8"/>
      <w:bookmarkEnd w:id="669"/>
      <w:hyperlink w:anchor="fn84">
        <w:r>
          <w:rPr>
            <w:rFonts w:eastAsia="inter" w:cs="inter" w:ascii="inter" w:hAnsi="inter"/>
            <w:color w:val="#000"/>
            <w:u w:val="single"/>
            <w:vertAlign w:val="superscript"/>
          </w:rPr>
          <w:t xml:space="preserve">[84]</w:t>
        </w:r>
      </w:hyperlink>
    </w:p>
    <w:p>
      <w:pPr>
        <w:spacing w:line="360" w:after="210" w:lineRule="auto"/>
      </w:pPr>
      <w:r>
        <w:rPr>
          <w:rFonts w:eastAsia="inter" w:cs="inter" w:ascii="inter" w:hAnsi="inter"/>
          <w:i/>
          <w:color w:val="000000"/>
        </w:rPr>
        <w:t xml:space="preserve">Premium Segment</w:t>
      </w:r>
      <w:r>
        <w:rPr>
          <w:rFonts w:eastAsia="inter" w:cs="inter" w:ascii="inter" w:hAnsi="inter"/>
          <w:color w:val="000000"/>
        </w:rPr>
        <w:t xml:space="preserve"> (&gt;USD 100 / ₹8,000):</w:t>
      </w:r>
    </w:p>
    <w:p>
      <w:pPr>
        <w:numPr>
          <w:ilvl w:val="0"/>
          <w:numId w:val="53"/>
        </w:numPr>
        <w:spacing w:line="360" w:before="105" w:after="105" w:lineRule="auto"/>
      </w:pPr>
      <w:r>
        <w:rPr>
          <w:rFonts w:eastAsia="inter" w:cs="inter" w:ascii="inter" w:hAnsi="inter"/>
          <w:color w:val="000000"/>
          <w:sz w:val="21"/>
        </w:rPr>
        <w:t xml:space="preserve">Estimated PED: -0.4 to -0.7 (inelastic)</w:t>
      </w:r>
      <w:bookmarkStart w:id="670" w:name="fnref53_1"/>
      <w:bookmarkEnd w:id="670"/>
      <w:hyperlink w:anchor="fn53">
        <w:r>
          <w:rPr>
            <w:rFonts w:eastAsia="inter" w:cs="inter" w:ascii="inter" w:hAnsi="inter"/>
            <w:color w:val="#000"/>
            <w:sz w:val="21"/>
            <w:u w:val="single"/>
            <w:vertAlign w:val="superscript"/>
          </w:rPr>
          <w:t xml:space="preserve">[53]</w:t>
        </w:r>
      </w:hyperlink>
      <w:bookmarkStart w:id="671" w:name="fnref52_12"/>
      <w:bookmarkEnd w:id="671"/>
      <w:hyperlink w:anchor="fn52">
        <w:r>
          <w:rPr>
            <w:rFonts w:eastAsia="inter" w:cs="inter" w:ascii="inter" w:hAnsi="inter"/>
            <w:color w:val="#000"/>
            <w:sz w:val="21"/>
            <w:u w:val="single"/>
            <w:vertAlign w:val="superscript"/>
          </w:rPr>
          <w:t xml:space="preserve">[52]</w:t>
        </w:r>
      </w:hyperlink>
      <w:bookmarkStart w:id="672" w:name="fnref15_69"/>
      <w:bookmarkEnd w:id="672"/>
      <w:hyperlink w:anchor="fn15">
        <w:r>
          <w:rPr>
            <w:rFonts w:eastAsia="inter" w:cs="inter" w:ascii="inter" w:hAnsi="inter"/>
            <w:color w:val="#000"/>
            <w:sz w:val="21"/>
            <w:u w:val="single"/>
            <w:vertAlign w:val="superscript"/>
          </w:rPr>
          <w:t xml:space="preserve">[15]</w:t>
        </w:r>
      </w:hyperlink>
    </w:p>
    <w:p>
      <w:pPr>
        <w:numPr>
          <w:ilvl w:val="0"/>
          <w:numId w:val="53"/>
        </w:numPr>
        <w:spacing w:line="360" w:before="105" w:after="105" w:lineRule="auto"/>
      </w:pPr>
      <w:r>
        <w:rPr>
          <w:rFonts w:eastAsia="inter" w:cs="inter" w:ascii="inter" w:hAnsi="inter"/>
          <w:color w:val="000000"/>
          <w:sz w:val="21"/>
        </w:rPr>
        <w:t xml:space="preserve">Interpretation: 10% price increase reduces quantity demanded by only 4-7%</w:t>
      </w:r>
      <w:bookmarkStart w:id="673" w:name="fnref53_2"/>
      <w:bookmarkEnd w:id="673"/>
      <w:hyperlink w:anchor="fn53">
        <w:r>
          <w:rPr>
            <w:rFonts w:eastAsia="inter" w:cs="inter" w:ascii="inter" w:hAnsi="inter"/>
            <w:color w:val="#000"/>
            <w:sz w:val="21"/>
            <w:u w:val="single"/>
            <w:vertAlign w:val="superscript"/>
          </w:rPr>
          <w:t xml:space="preserve">[53]</w:t>
        </w:r>
      </w:hyperlink>
      <w:bookmarkStart w:id="674" w:name="fnref84_9"/>
      <w:bookmarkEnd w:id="674"/>
      <w:hyperlink w:anchor="fn84">
        <w:r>
          <w:rPr>
            <w:rFonts w:eastAsia="inter" w:cs="inter" w:ascii="inter" w:hAnsi="inter"/>
            <w:color w:val="#000"/>
            <w:sz w:val="21"/>
            <w:u w:val="single"/>
            <w:vertAlign w:val="superscript"/>
          </w:rPr>
          <w:t xml:space="preserve">[84]</w:t>
        </w:r>
      </w:hyperlink>
    </w:p>
    <w:p>
      <w:pPr>
        <w:spacing w:line="360" w:after="210" w:lineRule="auto"/>
      </w:pPr>
      <w:r>
        <w:rPr>
          <w:rFonts w:eastAsia="inter" w:cs="inter" w:ascii="inter" w:hAnsi="inter"/>
          <w:color w:val="000000"/>
        </w:rPr>
        <w:t xml:space="preserve">Low elasticity results from:</w:t>
      </w:r>
    </w:p>
    <w:p>
      <w:pPr>
        <w:numPr>
          <w:ilvl w:val="0"/>
          <w:numId w:val="54"/>
        </w:numPr>
        <w:spacing w:line="360" w:before="105" w:after="105" w:lineRule="auto"/>
      </w:pPr>
      <w:r>
        <w:rPr>
          <w:rFonts w:eastAsia="inter" w:cs="inter" w:ascii="inter" w:hAnsi="inter"/>
          <w:b/>
          <w:color w:val="000000"/>
          <w:sz w:val="21"/>
        </w:rPr>
        <w:t xml:space="preserve">Brand prestige</w:t>
      </w:r>
      <w:r>
        <w:rPr>
          <w:rFonts w:eastAsia="inter" w:cs="inter" w:ascii="inter" w:hAnsi="inter"/>
          <w:color w:val="000000"/>
          <w:sz w:val="21"/>
        </w:rPr>
        <w:t xml:space="preserve">: Dyson, GHD command loyalty and status signaling value</w:t>
      </w:r>
      <w:bookmarkStart w:id="675" w:name="fnref29_7"/>
      <w:bookmarkEnd w:id="675"/>
      <w:hyperlink w:anchor="fn29">
        <w:r>
          <w:rPr>
            <w:rFonts w:eastAsia="inter" w:cs="inter" w:ascii="inter" w:hAnsi="inter"/>
            <w:color w:val="#000"/>
            <w:sz w:val="21"/>
            <w:u w:val="single"/>
            <w:vertAlign w:val="superscript"/>
          </w:rPr>
          <w:t xml:space="preserve">[29]</w:t>
        </w:r>
      </w:hyperlink>
      <w:bookmarkStart w:id="676" w:name="fnref31_3"/>
      <w:bookmarkEnd w:id="676"/>
      <w:hyperlink w:anchor="fn31">
        <w:r>
          <w:rPr>
            <w:rFonts w:eastAsia="inter" w:cs="inter" w:ascii="inter" w:hAnsi="inter"/>
            <w:color w:val="#000"/>
            <w:sz w:val="21"/>
            <w:u w:val="single"/>
            <w:vertAlign w:val="superscript"/>
          </w:rPr>
          <w:t xml:space="preserve">[31]</w:t>
        </w:r>
      </w:hyperlink>
      <w:bookmarkStart w:id="677" w:name="fnref52_13"/>
      <w:bookmarkEnd w:id="677"/>
      <w:hyperlink w:anchor="fn52">
        <w:r>
          <w:rPr>
            <w:rFonts w:eastAsia="inter" w:cs="inter" w:ascii="inter" w:hAnsi="inter"/>
            <w:color w:val="#000"/>
            <w:sz w:val="21"/>
            <w:u w:val="single"/>
            <w:vertAlign w:val="superscript"/>
          </w:rPr>
          <w:t xml:space="preserve">[52]</w:t>
        </w:r>
      </w:hyperlink>
    </w:p>
    <w:p>
      <w:pPr>
        <w:numPr>
          <w:ilvl w:val="0"/>
          <w:numId w:val="54"/>
        </w:numPr>
        <w:spacing w:line="360" w:before="105" w:after="105" w:lineRule="auto"/>
      </w:pPr>
      <w:r>
        <w:rPr>
          <w:rFonts w:eastAsia="inter" w:cs="inter" w:ascii="inter" w:hAnsi="inter"/>
          <w:b/>
          <w:color w:val="000000"/>
          <w:sz w:val="21"/>
        </w:rPr>
        <w:t xml:space="preserve">Performance differentiation</w:t>
      </w:r>
      <w:r>
        <w:rPr>
          <w:rFonts w:eastAsia="inter" w:cs="inter" w:ascii="inter" w:hAnsi="inter"/>
          <w:color w:val="000000"/>
          <w:sz w:val="21"/>
        </w:rPr>
        <w:t xml:space="preserve">: Superior technology creates genuine quality gaps from alternatives</w:t>
      </w:r>
      <w:bookmarkStart w:id="678" w:name="fnref31_4"/>
      <w:bookmarkEnd w:id="678"/>
      <w:hyperlink w:anchor="fn31">
        <w:r>
          <w:rPr>
            <w:rFonts w:eastAsia="inter" w:cs="inter" w:ascii="inter" w:hAnsi="inter"/>
            <w:color w:val="#000"/>
            <w:sz w:val="21"/>
            <w:u w:val="single"/>
            <w:vertAlign w:val="superscript"/>
          </w:rPr>
          <w:t xml:space="preserve">[31]</w:t>
        </w:r>
      </w:hyperlink>
      <w:bookmarkStart w:id="679" w:name="fnref52_14"/>
      <w:bookmarkEnd w:id="679"/>
      <w:hyperlink w:anchor="fn52">
        <w:r>
          <w:rPr>
            <w:rFonts w:eastAsia="inter" w:cs="inter" w:ascii="inter" w:hAnsi="inter"/>
            <w:color w:val="#000"/>
            <w:sz w:val="21"/>
            <w:u w:val="single"/>
            <w:vertAlign w:val="superscript"/>
          </w:rPr>
          <w:t xml:space="preserve">[52]</w:t>
        </w:r>
      </w:hyperlink>
    </w:p>
    <w:p>
      <w:pPr>
        <w:numPr>
          <w:ilvl w:val="0"/>
          <w:numId w:val="54"/>
        </w:numPr>
        <w:spacing w:line="360" w:before="105" w:after="105" w:lineRule="auto"/>
      </w:pPr>
      <w:r>
        <w:rPr>
          <w:rFonts w:eastAsia="inter" w:cs="inter" w:ascii="inter" w:hAnsi="inter"/>
          <w:b/>
          <w:color w:val="000000"/>
          <w:sz w:val="21"/>
        </w:rPr>
        <w:t xml:space="preserve">Target affluence</w:t>
      </w:r>
      <w:r>
        <w:rPr>
          <w:rFonts w:eastAsia="inter" w:cs="inter" w:ascii="inter" w:hAnsi="inter"/>
          <w:color w:val="000000"/>
          <w:sz w:val="21"/>
        </w:rPr>
        <w:t xml:space="preserve">: Wealthy consumers less price-sensitive</w:t>
      </w:r>
      <w:bookmarkStart w:id="680" w:name="fnref52_15"/>
      <w:bookmarkEnd w:id="680"/>
      <w:hyperlink w:anchor="fn52">
        <w:r>
          <w:rPr>
            <w:rFonts w:eastAsia="inter" w:cs="inter" w:ascii="inter" w:hAnsi="inter"/>
            <w:color w:val="#000"/>
            <w:sz w:val="21"/>
            <w:u w:val="single"/>
            <w:vertAlign w:val="superscript"/>
          </w:rPr>
          <w:t xml:space="preserve">[52]</w:t>
        </w:r>
      </w:hyperlink>
      <w:bookmarkStart w:id="681" w:name="fnref53_3"/>
      <w:bookmarkEnd w:id="681"/>
      <w:hyperlink w:anchor="fn53">
        <w:r>
          <w:rPr>
            <w:rFonts w:eastAsia="inter" w:cs="inter" w:ascii="inter" w:hAnsi="inter"/>
            <w:color w:val="#000"/>
            <w:sz w:val="21"/>
            <w:u w:val="single"/>
            <w:vertAlign w:val="superscript"/>
          </w:rPr>
          <w:t xml:space="preserve">[53]</w:t>
        </w:r>
      </w:hyperlink>
    </w:p>
    <w:p>
      <w:pPr>
        <w:numPr>
          <w:ilvl w:val="0"/>
          <w:numId w:val="54"/>
        </w:numPr>
        <w:spacing w:line="360" w:before="105" w:after="105" w:lineRule="auto"/>
      </w:pPr>
      <w:r>
        <w:rPr>
          <w:rFonts w:eastAsia="inter" w:cs="inter" w:ascii="inter" w:hAnsi="inter"/>
          <w:b/>
          <w:color w:val="000000"/>
          <w:sz w:val="21"/>
        </w:rPr>
        <w:t xml:space="preserve">Sunk learning costs</w:t>
      </w:r>
      <w:r>
        <w:rPr>
          <w:rFonts w:eastAsia="inter" w:cs="inter" w:ascii="inter" w:hAnsi="inter"/>
          <w:color w:val="000000"/>
          <w:sz w:val="21"/>
        </w:rPr>
        <w:t xml:space="preserve">: Consumers investing time mastering specific models face switching costs</w:t>
      </w:r>
      <w:bookmarkStart w:id="682" w:name="fnref52_16"/>
      <w:bookmarkEnd w:id="682"/>
      <w:hyperlink w:anchor="fn52">
        <w:r>
          <w:rPr>
            <w:rFonts w:eastAsia="inter" w:cs="inter" w:ascii="inter" w:hAnsi="inter"/>
            <w:color w:val="#000"/>
            <w:sz w:val="21"/>
            <w:u w:val="single"/>
            <w:vertAlign w:val="superscript"/>
          </w:rPr>
          <w:t xml:space="preserve">[52]</w:t>
        </w:r>
      </w:hyperlink>
    </w:p>
    <w:p>
      <w:pPr>
        <w:spacing w:line="360" w:after="210" w:lineRule="auto"/>
      </w:pPr>
      <w:r>
        <w:rPr>
          <w:rFonts w:eastAsia="inter" w:cs="inter" w:ascii="inter" w:hAnsi="inter"/>
          <w:color w:val="000000"/>
        </w:rPr>
        <w:t xml:space="preserve">Revenue implications: Inelastic demand enables premium pricing strategies. Price increases raise total revenue, explaining premium brands' focus on incremental innovation justifying price escalation (new models priced 10-15% above predecessors).</w:t>
      </w:r>
      <w:bookmarkStart w:id="683" w:name="fnref31_5"/>
      <w:bookmarkEnd w:id="683"/>
      <w:hyperlink w:anchor="fn31">
        <w:r>
          <w:rPr>
            <w:rFonts w:eastAsia="inter" w:cs="inter" w:ascii="inter" w:hAnsi="inter"/>
            <w:color w:val="#000"/>
            <w:u w:val="single"/>
            <w:vertAlign w:val="superscript"/>
          </w:rPr>
          <w:t xml:space="preserve">[31]</w:t>
        </w:r>
      </w:hyperlink>
      <w:bookmarkStart w:id="684" w:name="fnref53_4"/>
      <w:bookmarkEnd w:id="684"/>
      <w:hyperlink w:anchor="fn53">
        <w:r>
          <w:rPr>
            <w:rFonts w:eastAsia="inter" w:cs="inter" w:ascii="inter" w:hAnsi="inter"/>
            <w:color w:val="#000"/>
            <w:u w:val="single"/>
            <w:vertAlign w:val="superscript"/>
          </w:rPr>
          <w:t xml:space="preserve">[53]</w:t>
        </w:r>
      </w:hyperlink>
      <w:bookmarkStart w:id="685" w:name="fnref52_17"/>
      <w:bookmarkEnd w:id="685"/>
      <w:hyperlink w:anchor="fn52">
        <w:r>
          <w:rPr>
            <w:rFonts w:eastAsia="inter" w:cs="inter" w:ascii="inter" w:hAnsi="inter"/>
            <w:color w:val="#000"/>
            <w:u w:val="single"/>
            <w:vertAlign w:val="superscript"/>
          </w:rPr>
          <w:t xml:space="preserve">[52]</w:t>
        </w:r>
      </w:hyperlink>
    </w:p>
    <w:p>
      <w:pPr>
        <w:spacing w:line="360" w:after="210" w:lineRule="auto"/>
      </w:pPr>
      <w:r>
        <w:rPr>
          <w:rFonts w:eastAsia="inter" w:cs="inter" w:ascii="inter" w:hAnsi="inter"/>
          <w:b/>
          <w:color w:val="000000"/>
        </w:rPr>
        <w:t xml:space="preserve">Factors Affecting Elasticity Variation</w:t>
      </w:r>
    </w:p>
    <w:p>
      <w:pPr>
        <w:spacing w:line="360" w:after="210" w:lineRule="auto"/>
      </w:pPr>
      <w:r>
        <w:rPr>
          <w:rFonts w:eastAsia="inter" w:cs="inter" w:ascii="inter" w:hAnsi="inter"/>
          <w:i/>
          <w:color w:val="000000"/>
        </w:rPr>
        <w:t xml:space="preserve">Availability of substitutes</w:t>
      </w:r>
      <w:r>
        <w:rPr>
          <w:rFonts w:eastAsia="inter" w:cs="inter" w:ascii="inter" w:hAnsi="inter"/>
          <w:color w:val="000000"/>
        </w:rPr>
        <w:t xml:space="preserve">: Greater substitute availability increases elasticity. Straightening brushes face competition from flat irons, chemical treatments, and blow-dry techniques, creating elastic demand particularly in budget tiers with minimal differentiation.</w:t>
      </w:r>
      <w:bookmarkStart w:id="686" w:name="fnref15_70"/>
      <w:bookmarkEnd w:id="686"/>
      <w:hyperlink w:anchor="fn15">
        <w:r>
          <w:rPr>
            <w:rFonts w:eastAsia="inter" w:cs="inter" w:ascii="inter" w:hAnsi="inter"/>
            <w:color w:val="#000"/>
            <w:u w:val="single"/>
            <w:vertAlign w:val="superscript"/>
          </w:rPr>
          <w:t xml:space="preserve">[15]</w:t>
        </w:r>
      </w:hyperlink>
      <w:bookmarkStart w:id="687" w:name="fnref84_10"/>
      <w:bookmarkEnd w:id="687"/>
      <w:hyperlink w:anchor="fn84">
        <w:r>
          <w:rPr>
            <w:rFonts w:eastAsia="inter" w:cs="inter" w:ascii="inter" w:hAnsi="inter"/>
            <w:color w:val="#000"/>
            <w:u w:val="single"/>
            <w:vertAlign w:val="superscript"/>
          </w:rPr>
          <w:t xml:space="preserve">[84]</w:t>
        </w:r>
      </w:hyperlink>
    </w:p>
    <w:p>
      <w:pPr>
        <w:spacing w:line="360" w:after="210" w:lineRule="auto"/>
      </w:pPr>
      <w:r>
        <w:rPr>
          <w:rFonts w:eastAsia="inter" w:cs="inter" w:ascii="inter" w:hAnsi="inter"/>
          <w:i/>
          <w:color w:val="000000"/>
        </w:rPr>
        <w:t xml:space="preserve">Product necessity perception</w:t>
      </w:r>
      <w:r>
        <w:rPr>
          <w:rFonts w:eastAsia="inter" w:cs="inter" w:ascii="inter" w:hAnsi="inter"/>
          <w:color w:val="000000"/>
        </w:rPr>
        <w:t xml:space="preserve">: Hair straighteners are discretionary purchases (unlike food or medicine), generally increasing elasticity. However, for consumers viewing them as professional necessities (salon workers, media professionals), demand becomes more inelastic.</w:t>
      </w:r>
      <w:bookmarkStart w:id="688" w:name="fnref92_1"/>
      <w:bookmarkEnd w:id="688"/>
      <w:hyperlink w:anchor="fn92">
        <w:r>
          <w:rPr>
            <w:rFonts w:eastAsia="inter" w:cs="inter" w:ascii="inter" w:hAnsi="inter"/>
            <w:color w:val="#000"/>
            <w:u w:val="single"/>
            <w:vertAlign w:val="superscript"/>
          </w:rPr>
          <w:t xml:space="preserve">[92]</w:t>
        </w:r>
      </w:hyperlink>
      <w:bookmarkStart w:id="689" w:name="fnref79_5"/>
      <w:bookmarkEnd w:id="689"/>
      <w:hyperlink w:anchor="fn79">
        <w:r>
          <w:rPr>
            <w:rFonts w:eastAsia="inter" w:cs="inter" w:ascii="inter" w:hAnsi="inter"/>
            <w:color w:val="#000"/>
            <w:u w:val="single"/>
            <w:vertAlign w:val="superscript"/>
          </w:rPr>
          <w:t xml:space="preserve">[79]</w:t>
        </w:r>
      </w:hyperlink>
      <w:bookmarkStart w:id="690" w:name="fnref15_71"/>
      <w:bookmarkEnd w:id="690"/>
      <w:hyperlink w:anchor="fn15">
        <w:r>
          <w:rPr>
            <w:rFonts w:eastAsia="inter" w:cs="inter" w:ascii="inter" w:hAnsi="inter"/>
            <w:color w:val="#000"/>
            <w:u w:val="single"/>
            <w:vertAlign w:val="superscript"/>
          </w:rPr>
          <w:t xml:space="preserve">[15]</w:t>
        </w:r>
      </w:hyperlink>
      <w:bookmarkStart w:id="691" w:name="fnref84_11"/>
      <w:bookmarkEnd w:id="691"/>
      <w:hyperlink w:anchor="fn84">
        <w:r>
          <w:rPr>
            <w:rFonts w:eastAsia="inter" w:cs="inter" w:ascii="inter" w:hAnsi="inter"/>
            <w:color w:val="#000"/>
            <w:u w:val="single"/>
            <w:vertAlign w:val="superscript"/>
          </w:rPr>
          <w:t xml:space="preserve">[84]</w:t>
        </w:r>
      </w:hyperlink>
    </w:p>
    <w:p>
      <w:pPr>
        <w:spacing w:line="360" w:after="210" w:lineRule="auto"/>
      </w:pPr>
      <w:r>
        <w:rPr>
          <w:rFonts w:eastAsia="inter" w:cs="inter" w:ascii="inter" w:hAnsi="inter"/>
          <w:i/>
          <w:color w:val="000000"/>
        </w:rPr>
        <w:t xml:space="preserve">Time horizon</w:t>
      </w:r>
      <w:r>
        <w:rPr>
          <w:rFonts w:eastAsia="inter" w:cs="inter" w:ascii="inter" w:hAnsi="inter"/>
          <w:color w:val="000000"/>
        </w:rPr>
        <w:t xml:space="preserve">: Short-run elasticity is lower than long-run. Immediately after price increases, consumers with functioning straighteners continue using existing stock. Over time (2-4 year replacement cycles), price-sensitive consumers substitute to cheaper alternatives or forgone replacement, increasing long-run elasticity.</w:t>
      </w:r>
      <w:bookmarkStart w:id="692" w:name="fnref91_1"/>
      <w:bookmarkEnd w:id="692"/>
      <w:hyperlink w:anchor="fn91">
        <w:r>
          <w:rPr>
            <w:rFonts w:eastAsia="inter" w:cs="inter" w:ascii="inter" w:hAnsi="inter"/>
            <w:color w:val="#000"/>
            <w:u w:val="single"/>
            <w:vertAlign w:val="superscript"/>
          </w:rPr>
          <w:t xml:space="preserve">[91]</w:t>
        </w:r>
      </w:hyperlink>
      <w:bookmarkStart w:id="693" w:name="fnref84_12"/>
      <w:bookmarkEnd w:id="693"/>
      <w:hyperlink w:anchor="fn84">
        <w:r>
          <w:rPr>
            <w:rFonts w:eastAsia="inter" w:cs="inter" w:ascii="inter" w:hAnsi="inter"/>
            <w:color w:val="#000"/>
            <w:u w:val="single"/>
            <w:vertAlign w:val="superscript"/>
          </w:rPr>
          <w:t xml:space="preserve">[84]</w:t>
        </w:r>
      </w:hyperlink>
    </w:p>
    <w:p>
      <w:pPr>
        <w:spacing w:line="360" w:after="210" w:lineRule="auto"/>
      </w:pPr>
      <w:r>
        <w:rPr>
          <w:rFonts w:eastAsia="inter" w:cs="inter" w:ascii="inter" w:hAnsi="inter"/>
          <w:i/>
          <w:color w:val="000000"/>
        </w:rPr>
        <w:t xml:space="preserve">Proportion of budget</w:t>
      </w:r>
      <w:r>
        <w:rPr>
          <w:rFonts w:eastAsia="inter" w:cs="inter" w:ascii="inter" w:hAnsi="inter"/>
          <w:color w:val="000000"/>
        </w:rPr>
        <w:t xml:space="preserve">: For budget-constrained consumers, ₹2,000-3,000 purchases represent meaningful expenditure shares, increasing price consciousness and elasticity. Affluent consumers for whom even ₹40,000 premium models constitute &lt;0.5% of annual income exhibit inelastic demand.</w:t>
      </w:r>
      <w:bookmarkStart w:id="694" w:name="fnref91_2"/>
      <w:bookmarkEnd w:id="694"/>
      <w:hyperlink w:anchor="fn91">
        <w:r>
          <w:rPr>
            <w:rFonts w:eastAsia="inter" w:cs="inter" w:ascii="inter" w:hAnsi="inter"/>
            <w:color w:val="#000"/>
            <w:u w:val="single"/>
            <w:vertAlign w:val="superscript"/>
          </w:rPr>
          <w:t xml:space="preserve">[91]</w:t>
        </w:r>
      </w:hyperlink>
      <w:bookmarkStart w:id="695" w:name="fnref53_5"/>
      <w:bookmarkEnd w:id="695"/>
      <w:hyperlink w:anchor="fn53">
        <w:r>
          <w:rPr>
            <w:rFonts w:eastAsia="inter" w:cs="inter" w:ascii="inter" w:hAnsi="inter"/>
            <w:color w:val="#000"/>
            <w:u w:val="single"/>
            <w:vertAlign w:val="superscript"/>
          </w:rPr>
          <w:t xml:space="preserve">[53]</w:t>
        </w:r>
      </w:hyperlink>
      <w:bookmarkStart w:id="696" w:name="fnref84_13"/>
      <w:bookmarkEnd w:id="696"/>
      <w:hyperlink w:anchor="fn84">
        <w:r>
          <w:rPr>
            <w:rFonts w:eastAsia="inter" w:cs="inter" w:ascii="inter" w:hAnsi="inter"/>
            <w:color w:val="#000"/>
            <w:u w:val="single"/>
            <w:vertAlign w:val="superscript"/>
          </w:rPr>
          <w:t xml:space="preserve">[84]</w:t>
        </w:r>
      </w:hyperlink>
    </w:p>
    <w:p>
      <w:pPr>
        <w:spacing w:line="360" w:after="210" w:lineRule="auto"/>
      </w:pPr>
      <w:r>
        <w:rPr>
          <w:rFonts w:eastAsia="inter" w:cs="inter" w:ascii="inter" w:hAnsi="inter"/>
          <w:b/>
          <w:color w:val="000000"/>
        </w:rPr>
        <w:t xml:space="preserve">Empirical Estimation Challenges</w:t>
      </w:r>
    </w:p>
    <w:p>
      <w:pPr>
        <w:spacing w:line="360" w:after="210" w:lineRule="auto"/>
      </w:pPr>
      <w:r>
        <w:rPr>
          <w:rFonts w:eastAsia="inter" w:cs="inter" w:ascii="inter" w:hAnsi="inter"/>
          <w:color w:val="000000"/>
        </w:rPr>
        <w:t xml:space="preserve">Precise elasticity estimation faces methodological difficulties:</w:t>
      </w:r>
    </w:p>
    <w:p>
      <w:pPr>
        <w:spacing w:line="360" w:after="210" w:lineRule="auto"/>
      </w:pPr>
      <w:r>
        <w:rPr>
          <w:rFonts w:eastAsia="inter" w:cs="inter" w:ascii="inter" w:hAnsi="inter"/>
          <w:i/>
          <w:color w:val="000000"/>
        </w:rPr>
        <w:t xml:space="preserve">Identification problems</w:t>
      </w:r>
      <w:r>
        <w:rPr>
          <w:rFonts w:eastAsia="inter" w:cs="inter" w:ascii="inter" w:hAnsi="inter"/>
          <w:color w:val="000000"/>
        </w:rPr>
        <w:t xml:space="preserve">: Observed price-quantity relationships reflect equilibrium outcomes of both supply and demand shifts. Isolating demand elasticity requires instruments affecting supply but not demand (e.g., input cost shocks) or natural experiments (tax changes).</w:t>
      </w:r>
      <w:bookmarkStart w:id="697" w:name="fnref91_3"/>
      <w:bookmarkEnd w:id="697"/>
      <w:hyperlink w:anchor="fn91">
        <w:r>
          <w:rPr>
            <w:rFonts w:eastAsia="inter" w:cs="inter" w:ascii="inter" w:hAnsi="inter"/>
            <w:color w:val="#000"/>
            <w:u w:val="single"/>
            <w:vertAlign w:val="superscript"/>
          </w:rPr>
          <w:t xml:space="preserve">[91]</w:t>
        </w:r>
      </w:hyperlink>
    </w:p>
    <w:p>
      <w:pPr>
        <w:spacing w:line="360" w:after="210" w:lineRule="auto"/>
      </w:pPr>
      <w:r>
        <w:rPr>
          <w:rFonts w:eastAsia="inter" w:cs="inter" w:ascii="inter" w:hAnsi="inter"/>
          <w:i/>
          <w:color w:val="000000"/>
        </w:rPr>
        <w:t xml:space="preserve">Quality adjustments</w:t>
      </w:r>
      <w:r>
        <w:rPr>
          <w:rFonts w:eastAsia="inter" w:cs="inter" w:ascii="inter" w:hAnsi="inter"/>
          <w:color w:val="000000"/>
        </w:rPr>
        <w:t xml:space="preserve">: Product improvements accompany price changes, confounding interpretation. Rising prices for models with added features reflect movement along quality-differentiated demand curves rather than single-product demand curves.</w:t>
      </w:r>
      <w:bookmarkStart w:id="698" w:name="fnref52_18"/>
      <w:bookmarkEnd w:id="698"/>
      <w:hyperlink w:anchor="fn52">
        <w:r>
          <w:rPr>
            <w:rFonts w:eastAsia="inter" w:cs="inter" w:ascii="inter" w:hAnsi="inter"/>
            <w:color w:val="#000"/>
            <w:u w:val="single"/>
            <w:vertAlign w:val="superscript"/>
          </w:rPr>
          <w:t xml:space="preserve">[52]</w:t>
        </w:r>
      </w:hyperlink>
      <w:bookmarkStart w:id="699" w:name="fnref84_14"/>
      <w:bookmarkEnd w:id="699"/>
      <w:hyperlink w:anchor="fn84">
        <w:r>
          <w:rPr>
            <w:rFonts w:eastAsia="inter" w:cs="inter" w:ascii="inter" w:hAnsi="inter"/>
            <w:color w:val="#000"/>
            <w:u w:val="single"/>
            <w:vertAlign w:val="superscript"/>
          </w:rPr>
          <w:t xml:space="preserve">[84]</w:t>
        </w:r>
      </w:hyperlink>
    </w:p>
    <w:p>
      <w:pPr>
        <w:spacing w:line="360" w:after="210" w:lineRule="auto"/>
      </w:pPr>
      <w:r>
        <w:rPr>
          <w:rFonts w:eastAsia="inter" w:cs="inter" w:ascii="inter" w:hAnsi="inter"/>
          <w:i/>
          <w:color w:val="000000"/>
        </w:rPr>
        <w:t xml:space="preserve">Data limitations</w:t>
      </w:r>
      <w:r>
        <w:rPr>
          <w:rFonts w:eastAsia="inter" w:cs="inter" w:ascii="inter" w:hAnsi="inter"/>
          <w:color w:val="000000"/>
        </w:rPr>
        <w:t xml:space="preserve">: Granular transaction data with variation in prices (across time, locations, retailers) necessary for econometric estimation is proprietary to manufacturers and rarely disclosed.</w:t>
      </w:r>
      <w:bookmarkStart w:id="700" w:name="fnref15_72"/>
      <w:bookmarkEnd w:id="700"/>
      <w:hyperlink w:anchor="fn15">
        <w:r>
          <w:rPr>
            <w:rFonts w:eastAsia="inter" w:cs="inter" w:ascii="inter" w:hAnsi="inter"/>
            <w:color w:val="#000"/>
            <w:u w:val="single"/>
            <w:vertAlign w:val="superscript"/>
          </w:rPr>
          <w:t xml:space="preserve">[15]</w:t>
        </w:r>
      </w:hyperlink>
    </w:p>
    <w:p>
      <w:pPr>
        <w:spacing w:line="360" w:after="210" w:lineRule="auto"/>
      </w:pPr>
      <w:r>
        <w:rPr>
          <w:rFonts w:eastAsia="inter" w:cs="inter" w:ascii="inter" w:hAnsi="inter"/>
          <w:color w:val="000000"/>
        </w:rPr>
        <w:t xml:space="preserve">These challenges explain why published elasticity estimates are scarce and typically represent informed estimates from industry participants rather than rigorous econometric estimates.</w:t>
      </w:r>
      <w:bookmarkStart w:id="701" w:name="fnref84_15"/>
      <w:bookmarkEnd w:id="701"/>
      <w:hyperlink w:anchor="fn84">
        <w:r>
          <w:rPr>
            <w:rFonts w:eastAsia="inter" w:cs="inter" w:ascii="inter" w:hAnsi="inter"/>
            <w:color w:val="#000"/>
            <w:u w:val="single"/>
            <w:vertAlign w:val="superscript"/>
          </w:rPr>
          <w:t xml:space="preserve">[84]</w:t>
        </w:r>
      </w:hyperlink>
      <w:bookmarkStart w:id="702" w:name="fnref15_73"/>
      <w:bookmarkEnd w:id="702"/>
      <w:hyperlink w:anchor="fn15">
        <w:r>
          <w:rPr>
            <w:rFonts w:eastAsia="inter" w:cs="inter" w:ascii="inter" w:hAnsi="inter"/>
            <w:color w:val="#000"/>
            <w:u w:val="single"/>
            <w:vertAlign w:val="superscript"/>
          </w:rPr>
          <w:t xml:space="preserve">[15]</w:t>
        </w:r>
      </w:hyperlink>
    </w:p>
    <w:p>
      <w:pPr>
        <w:spacing w:line="360" w:before="315" w:after="105" w:lineRule="auto"/>
        <w:ind w:left="-30"/>
        <w:jc w:val="left"/>
      </w:pPr>
      <w:bookmarkStart w:id="703" w:name="income_elasticity_of_demand"/>
      <w:r>
        <w:rPr>
          <w:rFonts w:eastAsia="inter" w:cs="inter" w:ascii="inter" w:hAnsi="inter"/>
          <w:b/>
          <w:color w:val="000000"/>
          <w:sz w:val="24"/>
        </w:rPr>
        <w:t xml:space="preserve">Income Elasticity of Demand</w:t>
      </w:r>
      <w:bookmarkEnd w:id="703"/>
    </w:p>
    <w:p>
      <w:pPr>
        <w:spacing w:line="360" w:after="210" w:lineRule="auto"/>
      </w:pPr>
      <w:r>
        <w:rPr>
          <w:rFonts w:eastAsia="inter" w:cs="inter" w:ascii="inter" w:hAnsi="inter"/>
          <w:color w:val="000000"/>
        </w:rPr>
        <w:t xml:space="preserve">Income elasticity measures demand responsiveness to income changes:</w:t>
      </w:r>
      <w:bookmarkStart w:id="704" w:name="fnref91_4"/>
      <w:bookmarkEnd w:id="704"/>
      <w:hyperlink w:anchor="fn91">
        <w:r>
          <w:rPr>
            <w:rFonts w:eastAsia="inter" w:cs="inter" w:ascii="inter" w:hAnsi="inter"/>
            <w:color w:val="#000"/>
            <w:u w:val="single"/>
            <w:vertAlign w:val="superscript"/>
          </w:rPr>
          <w:t xml:space="preserve">[91]</w:t>
        </w:r>
      </w:hyperlink>
      <w:bookmarkStart w:id="705" w:name="fnref93"/>
      <w:bookmarkEnd w:id="705"/>
      <w:hyperlink w:anchor="fn93">
        <w:r>
          <w:rPr>
            <w:rFonts w:eastAsia="inter" w:cs="inter" w:ascii="inter" w:hAnsi="inter"/>
            <w:color w:val="#000"/>
            <w:u w:val="single"/>
            <w:vertAlign w:val="superscript"/>
          </w:rPr>
          <w:t xml:space="preserve">[93]</w:t>
        </w:r>
      </w:hyperlink>
      <w:bookmarkStart w:id="706" w:name="fnref84_16"/>
      <w:bookmarkEnd w:id="706"/>
      <w:hyperlink w:anchor="fn84">
        <w:r>
          <w:rPr>
            <w:rFonts w:eastAsia="inter" w:cs="inter" w:ascii="inter" w:hAnsi="inter"/>
            <w:color w:val="#000"/>
            <w:u w:val="single"/>
            <w:vertAlign w:val="superscript"/>
          </w:rPr>
          <w:t xml:space="preserve">[84]</w:t>
        </w:r>
      </w:hyperlink>
    </w:p>
    <w:p>
      <w:pPr>
        <w:spacing w:line="360" w:after="210" w:lineRule="auto"/>
      </w:pPr>
      <w:r>
        <w:rPr>
          <w:rFonts w:eastAsia="inter" w:cs="inter" w:ascii="inter" w:hAnsi="inter"/>
          <w:b/>
          <w:color w:val="000000"/>
        </w:rPr>
        <w:t xml:space="preserve">εᵧ = (% ΔQd) / (% ΔY) = (ΔQd/Qd) / (ΔY/Y)</w:t>
      </w:r>
    </w:p>
    <w:p>
      <w:pPr>
        <w:spacing w:line="360" w:after="210" w:lineRule="auto"/>
      </w:pPr>
      <w:r>
        <w:rPr>
          <w:rFonts w:eastAsia="inter" w:cs="inter" w:ascii="inter" w:hAnsi="inter"/>
          <w:color w:val="000000"/>
        </w:rPr>
        <w:t xml:space="preserve">Hair straightening brushes demonstrate positive income elasticity, classifying as normal goods, with magnitude varying by market maturity.</w:t>
      </w:r>
      <w:bookmarkStart w:id="707" w:name="fnref6_39"/>
      <w:bookmarkEnd w:id="707"/>
      <w:hyperlink w:anchor="fn6">
        <w:r>
          <w:rPr>
            <w:rFonts w:eastAsia="inter" w:cs="inter" w:ascii="inter" w:hAnsi="inter"/>
            <w:color w:val="#000"/>
            <w:u w:val="single"/>
            <w:vertAlign w:val="superscript"/>
          </w:rPr>
          <w:t xml:space="preserve">[6]</w:t>
        </w:r>
      </w:hyperlink>
      <w:bookmarkStart w:id="708" w:name="fnref82_3"/>
      <w:bookmarkEnd w:id="708"/>
      <w:hyperlink w:anchor="fn82">
        <w:r>
          <w:rPr>
            <w:rFonts w:eastAsia="inter" w:cs="inter" w:ascii="inter" w:hAnsi="inter"/>
            <w:color w:val="#000"/>
            <w:u w:val="single"/>
            <w:vertAlign w:val="superscript"/>
          </w:rPr>
          <w:t xml:space="preserve">[82]</w:t>
        </w:r>
      </w:hyperlink>
      <w:bookmarkStart w:id="709" w:name="fnref83_2"/>
      <w:bookmarkEnd w:id="709"/>
      <w:hyperlink w:anchor="fn83">
        <w:r>
          <w:rPr>
            <w:rFonts w:eastAsia="inter" w:cs="inter" w:ascii="inter" w:hAnsi="inter"/>
            <w:color w:val="#000"/>
            <w:u w:val="single"/>
            <w:vertAlign w:val="superscript"/>
          </w:rPr>
          <w:t xml:space="preserve">[83]</w:t>
        </w:r>
      </w:hyperlink>
    </w:p>
    <w:p>
      <w:pPr>
        <w:spacing w:line="360" w:after="210" w:lineRule="auto"/>
      </w:pPr>
      <w:r>
        <w:rPr>
          <w:rFonts w:eastAsia="inter" w:cs="inter" w:ascii="inter" w:hAnsi="inter"/>
          <w:b/>
          <w:color w:val="000000"/>
        </w:rPr>
        <w:t xml:space="preserve">Emerging Market Elasticity (India)</w:t>
      </w:r>
    </w:p>
    <w:p>
      <w:pPr>
        <w:spacing w:line="360" w:after="210" w:lineRule="auto"/>
      </w:pPr>
      <w:r>
        <w:rPr>
          <w:rFonts w:eastAsia="inter" w:cs="inter" w:ascii="inter" w:hAnsi="inter"/>
          <w:color w:val="000000"/>
        </w:rPr>
        <w:t xml:space="preserve">Indian market exhibits high income elasticity:</w:t>
      </w:r>
    </w:p>
    <w:p>
      <w:pPr>
        <w:numPr>
          <w:ilvl w:val="0"/>
          <w:numId w:val="55"/>
        </w:numPr>
        <w:spacing w:line="360" w:before="105" w:after="105" w:lineRule="auto"/>
      </w:pPr>
      <w:r>
        <w:rPr>
          <w:rFonts w:eastAsia="inter" w:cs="inter" w:ascii="inter" w:hAnsi="inter"/>
          <w:color w:val="000000"/>
          <w:sz w:val="21"/>
        </w:rPr>
        <w:t xml:space="preserve">Estimated εᵧ: +1.6 to +2.2 (luxury good characteristics)</w:t>
      </w:r>
      <w:bookmarkStart w:id="710" w:name="fnref82_4"/>
      <w:bookmarkEnd w:id="710"/>
      <w:hyperlink w:anchor="fn82">
        <w:r>
          <w:rPr>
            <w:rFonts w:eastAsia="inter" w:cs="inter" w:ascii="inter" w:hAnsi="inter"/>
            <w:color w:val="#000"/>
            <w:sz w:val="21"/>
            <w:u w:val="single"/>
            <w:vertAlign w:val="superscript"/>
          </w:rPr>
          <w:t xml:space="preserve">[82]</w:t>
        </w:r>
      </w:hyperlink>
      <w:bookmarkStart w:id="711" w:name="fnref6_40"/>
      <w:bookmarkEnd w:id="711"/>
      <w:hyperlink w:anchor="fn6">
        <w:r>
          <w:rPr>
            <w:rFonts w:eastAsia="inter" w:cs="inter" w:ascii="inter" w:hAnsi="inter"/>
            <w:color w:val="#000"/>
            <w:sz w:val="21"/>
            <w:u w:val="single"/>
            <w:vertAlign w:val="superscript"/>
          </w:rPr>
          <w:t xml:space="preserve">[6]</w:t>
        </w:r>
      </w:hyperlink>
    </w:p>
    <w:p>
      <w:pPr>
        <w:numPr>
          <w:ilvl w:val="0"/>
          <w:numId w:val="55"/>
        </w:numPr>
        <w:spacing w:line="360" w:before="105" w:after="105" w:lineRule="auto"/>
      </w:pPr>
      <w:r>
        <w:rPr>
          <w:rFonts w:eastAsia="inter" w:cs="inter" w:ascii="inter" w:hAnsi="inter"/>
          <w:color w:val="000000"/>
          <w:sz w:val="21"/>
        </w:rPr>
        <w:t xml:space="preserve">Interpretation: 10% income increase raises demand by 16-22%</w:t>
      </w:r>
      <w:bookmarkStart w:id="712" w:name="fnref6_41"/>
      <w:bookmarkEnd w:id="712"/>
      <w:hyperlink w:anchor="fn6">
        <w:r>
          <w:rPr>
            <w:rFonts w:eastAsia="inter" w:cs="inter" w:ascii="inter" w:hAnsi="inter"/>
            <w:color w:val="#000"/>
            <w:sz w:val="21"/>
            <w:u w:val="single"/>
            <w:vertAlign w:val="superscript"/>
          </w:rPr>
          <w:t xml:space="preserve">[6]</w:t>
        </w:r>
      </w:hyperlink>
    </w:p>
    <w:p>
      <w:pPr>
        <w:spacing w:line="360" w:after="210" w:lineRule="auto"/>
      </w:pPr>
      <w:r>
        <w:rPr>
          <w:rFonts w:eastAsia="inter" w:cs="inter" w:ascii="inter" w:hAnsi="inter"/>
          <w:color w:val="000000"/>
        </w:rPr>
        <w:t xml:space="preserve">This high elasticity reflects:</w:t>
      </w:r>
    </w:p>
    <w:p>
      <w:pPr>
        <w:numPr>
          <w:ilvl w:val="0"/>
          <w:numId w:val="56"/>
        </w:numPr>
        <w:spacing w:line="360" w:before="105" w:after="105" w:lineRule="auto"/>
      </w:pPr>
      <w:r>
        <w:rPr>
          <w:rFonts w:eastAsia="inter" w:cs="inter" w:ascii="inter" w:hAnsi="inter"/>
          <w:b/>
          <w:color w:val="000000"/>
          <w:sz w:val="21"/>
        </w:rPr>
        <w:t xml:space="preserve">Low baseline ownership</w:t>
      </w:r>
      <w:r>
        <w:rPr>
          <w:rFonts w:eastAsia="inter" w:cs="inter" w:ascii="inter" w:hAnsi="inter"/>
          <w:color w:val="000000"/>
          <w:sz w:val="21"/>
        </w:rPr>
        <w:t xml:space="preserve">: Only 12-18% penetration among target demographic leaves substantial untapped demand</w:t>
      </w:r>
      <w:bookmarkStart w:id="713" w:name="fnref24_37"/>
      <w:bookmarkEnd w:id="713"/>
      <w:hyperlink w:anchor="fn24">
        <w:r>
          <w:rPr>
            <w:rFonts w:eastAsia="inter" w:cs="inter" w:ascii="inter" w:hAnsi="inter"/>
            <w:color w:val="#000"/>
            <w:sz w:val="21"/>
            <w:u w:val="single"/>
            <w:vertAlign w:val="superscript"/>
          </w:rPr>
          <w:t xml:space="preserve">[24]</w:t>
        </w:r>
      </w:hyperlink>
      <w:bookmarkStart w:id="714" w:name="fnref6_42"/>
      <w:bookmarkEnd w:id="714"/>
      <w:hyperlink w:anchor="fn6">
        <w:r>
          <w:rPr>
            <w:rFonts w:eastAsia="inter" w:cs="inter" w:ascii="inter" w:hAnsi="inter"/>
            <w:color w:val="#000"/>
            <w:sz w:val="21"/>
            <w:u w:val="single"/>
            <w:vertAlign w:val="superscript"/>
          </w:rPr>
          <w:t xml:space="preserve">[6]</w:t>
        </w:r>
      </w:hyperlink>
    </w:p>
    <w:p>
      <w:pPr>
        <w:numPr>
          <w:ilvl w:val="0"/>
          <w:numId w:val="56"/>
        </w:numPr>
        <w:spacing w:line="360" w:before="105" w:after="105" w:lineRule="auto"/>
      </w:pPr>
      <w:r>
        <w:rPr>
          <w:rFonts w:eastAsia="inter" w:cs="inter" w:ascii="inter" w:hAnsi="inter"/>
          <w:b/>
          <w:color w:val="000000"/>
          <w:sz w:val="21"/>
        </w:rPr>
        <w:t xml:space="preserve">Income threshold effects</w:t>
      </w:r>
      <w:r>
        <w:rPr>
          <w:rFonts w:eastAsia="inter" w:cs="inter" w:ascii="inter" w:hAnsi="inter"/>
          <w:color w:val="000000"/>
          <w:sz w:val="21"/>
        </w:rPr>
        <w:t xml:space="preserve">: Many households below minimum viable income for discretionary beauty purchases; income gains enable entry</w:t>
      </w:r>
      <w:bookmarkStart w:id="715" w:name="fnref6_43"/>
      <w:bookmarkEnd w:id="715"/>
      <w:hyperlink w:anchor="fn6">
        <w:r>
          <w:rPr>
            <w:rFonts w:eastAsia="inter" w:cs="inter" w:ascii="inter" w:hAnsi="inter"/>
            <w:color w:val="#000"/>
            <w:sz w:val="21"/>
            <w:u w:val="single"/>
            <w:vertAlign w:val="superscript"/>
          </w:rPr>
          <w:t xml:space="preserve">[6]</w:t>
        </w:r>
      </w:hyperlink>
    </w:p>
    <w:p>
      <w:pPr>
        <w:numPr>
          <w:ilvl w:val="0"/>
          <w:numId w:val="56"/>
        </w:numPr>
        <w:spacing w:line="360" w:before="105" w:after="105" w:lineRule="auto"/>
      </w:pPr>
      <w:r>
        <w:rPr>
          <w:rFonts w:eastAsia="inter" w:cs="inter" w:ascii="inter" w:hAnsi="inter"/>
          <w:b/>
          <w:color w:val="000000"/>
          <w:sz w:val="21"/>
        </w:rPr>
        <w:t xml:space="preserve">Aspiration effects</w:t>
      </w:r>
      <w:r>
        <w:rPr>
          <w:rFonts w:eastAsia="inter" w:cs="inter" w:ascii="inter" w:hAnsi="inter"/>
          <w:color w:val="000000"/>
          <w:sz w:val="21"/>
        </w:rPr>
        <w:t xml:space="preserve">: Rising incomes accompany increased exposure to beauty standards, amplifying demand beyond income alone</w:t>
      </w:r>
      <w:bookmarkStart w:id="716" w:name="fnref81_8"/>
      <w:bookmarkEnd w:id="716"/>
      <w:hyperlink w:anchor="fn81">
        <w:r>
          <w:rPr>
            <w:rFonts w:eastAsia="inter" w:cs="inter" w:ascii="inter" w:hAnsi="inter"/>
            <w:color w:val="#000"/>
            <w:sz w:val="21"/>
            <w:u w:val="single"/>
            <w:vertAlign w:val="superscript"/>
          </w:rPr>
          <w:t xml:space="preserve">[81]</w:t>
        </w:r>
      </w:hyperlink>
      <w:bookmarkStart w:id="717" w:name="fnref6_44"/>
      <w:bookmarkEnd w:id="717"/>
      <w:hyperlink w:anchor="fn6">
        <w:r>
          <w:rPr>
            <w:rFonts w:eastAsia="inter" w:cs="inter" w:ascii="inter" w:hAnsi="inter"/>
            <w:color w:val="#000"/>
            <w:sz w:val="21"/>
            <w:u w:val="single"/>
            <w:vertAlign w:val="superscript"/>
          </w:rPr>
          <w:t xml:space="preserve">[6]</w:t>
        </w:r>
      </w:hyperlink>
    </w:p>
    <w:p>
      <w:pPr>
        <w:spacing w:line="360" w:after="210" w:lineRule="auto"/>
      </w:pPr>
      <w:r>
        <w:rPr>
          <w:rFonts w:eastAsia="inter" w:cs="inter" w:ascii="inter" w:hAnsi="inter"/>
          <w:color w:val="000000"/>
        </w:rPr>
        <w:t xml:space="preserve">Income distribution patterns affect aggregate elasticity. For households with monthly incomes below ₹25,000 (approximately 60% of urban households), discretionary beauty spending remains minimal. Income growth within this group generates minimal demand increases (low marginal propensity to consume hair straighteners). For households with ₹40,000-100,000 monthly incomes (30% of urban households), beauty spending increases rapidly with income gains, creating high elasticity. For very high-income households (&gt;₹200,000 monthly), ownership rates already reach 70-80%, so income gains generate minimal additional demand (approaching satiation).</w:t>
      </w:r>
      <w:bookmarkStart w:id="718" w:name="fnref6_45"/>
      <w:bookmarkEnd w:id="718"/>
      <w:hyperlink w:anchor="fn6">
        <w:r>
          <w:rPr>
            <w:rFonts w:eastAsia="inter" w:cs="inter" w:ascii="inter" w:hAnsi="inter"/>
            <w:color w:val="#000"/>
            <w:u w:val="single"/>
            <w:vertAlign w:val="superscript"/>
          </w:rPr>
          <w:t xml:space="preserve">[6]</w:t>
        </w:r>
      </w:hyperlink>
    </w:p>
    <w:p>
      <w:pPr>
        <w:spacing w:line="360" w:after="210" w:lineRule="auto"/>
      </w:pPr>
      <w:r>
        <w:rPr>
          <w:rFonts w:eastAsia="inter" w:cs="inter" w:ascii="inter" w:hAnsi="inter"/>
          <w:color w:val="000000"/>
        </w:rPr>
        <w:t xml:space="preserve">This non-linear relationship suggests aggregate income elasticity declines as markets mature and ownership rates increase, transitioning from luxury toward necessity-good characteristics.</w:t>
      </w:r>
      <w:bookmarkStart w:id="719" w:name="fnref83_3"/>
      <w:bookmarkEnd w:id="719"/>
      <w:hyperlink w:anchor="fn83">
        <w:r>
          <w:rPr>
            <w:rFonts w:eastAsia="inter" w:cs="inter" w:ascii="inter" w:hAnsi="inter"/>
            <w:color w:val="#000"/>
            <w:u w:val="single"/>
            <w:vertAlign w:val="superscript"/>
          </w:rPr>
          <w:t xml:space="preserve">[83]</w:t>
        </w:r>
      </w:hyperlink>
      <w:bookmarkStart w:id="720" w:name="fnref84_17"/>
      <w:bookmarkEnd w:id="720"/>
      <w:hyperlink w:anchor="fn84">
        <w:r>
          <w:rPr>
            <w:rFonts w:eastAsia="inter" w:cs="inter" w:ascii="inter" w:hAnsi="inter"/>
            <w:color w:val="#000"/>
            <w:u w:val="single"/>
            <w:vertAlign w:val="superscript"/>
          </w:rPr>
          <w:t xml:space="preserve">[84]</w:t>
        </w:r>
      </w:hyperlink>
    </w:p>
    <w:p>
      <w:pPr>
        <w:spacing w:line="360" w:after="210" w:lineRule="auto"/>
      </w:pPr>
      <w:r>
        <w:rPr>
          <w:rFonts w:eastAsia="inter" w:cs="inter" w:ascii="inter" w:hAnsi="inter"/>
          <w:b/>
          <w:color w:val="000000"/>
        </w:rPr>
        <w:t xml:space="preserve">Developed Market Elasticity</w:t>
      </w:r>
    </w:p>
    <w:p>
      <w:pPr>
        <w:spacing w:line="360" w:after="210" w:lineRule="auto"/>
      </w:pPr>
      <w:r>
        <w:rPr>
          <w:rFonts w:eastAsia="inter" w:cs="inter" w:ascii="inter" w:hAnsi="inter"/>
          <w:color w:val="000000"/>
        </w:rPr>
        <w:t xml:space="preserve">Advanced economies demonstrate lower income elasticity:</w:t>
      </w:r>
    </w:p>
    <w:p>
      <w:pPr>
        <w:numPr>
          <w:ilvl w:val="0"/>
          <w:numId w:val="57"/>
        </w:numPr>
        <w:spacing w:line="360" w:before="105" w:after="105" w:lineRule="auto"/>
      </w:pPr>
      <w:r>
        <w:rPr>
          <w:rFonts w:eastAsia="inter" w:cs="inter" w:ascii="inter" w:hAnsi="inter"/>
          <w:color w:val="000000"/>
          <w:sz w:val="21"/>
        </w:rPr>
        <w:t xml:space="preserve">Estimated εᵧ: +0.4 to +0.8 (necessity good)</w:t>
      </w:r>
      <w:bookmarkStart w:id="721" w:name="fnref26_2"/>
      <w:bookmarkEnd w:id="721"/>
      <w:hyperlink w:anchor="fn26">
        <w:r>
          <w:rPr>
            <w:rFonts w:eastAsia="inter" w:cs="inter" w:ascii="inter" w:hAnsi="inter"/>
            <w:color w:val="#000"/>
            <w:sz w:val="21"/>
            <w:u w:val="single"/>
            <w:vertAlign w:val="superscript"/>
          </w:rPr>
          <w:t xml:space="preserve">[26]</w:t>
        </w:r>
      </w:hyperlink>
      <w:bookmarkStart w:id="722" w:name="fnref84_18"/>
      <w:bookmarkEnd w:id="722"/>
      <w:hyperlink w:anchor="fn84">
        <w:r>
          <w:rPr>
            <w:rFonts w:eastAsia="inter" w:cs="inter" w:ascii="inter" w:hAnsi="inter"/>
            <w:color w:val="#000"/>
            <w:sz w:val="21"/>
            <w:u w:val="single"/>
            <w:vertAlign w:val="superscript"/>
          </w:rPr>
          <w:t xml:space="preserve">[84]</w:t>
        </w:r>
      </w:hyperlink>
    </w:p>
    <w:p>
      <w:pPr>
        <w:numPr>
          <w:ilvl w:val="0"/>
          <w:numId w:val="57"/>
        </w:numPr>
        <w:spacing w:line="360" w:before="105" w:after="105" w:lineRule="auto"/>
      </w:pPr>
      <w:r>
        <w:rPr>
          <w:rFonts w:eastAsia="inter" w:cs="inter" w:ascii="inter" w:hAnsi="inter"/>
          <w:color w:val="000000"/>
          <w:sz w:val="21"/>
        </w:rPr>
        <w:t xml:space="preserve">Interpretation: 10% income increase raises demand by 4-8%</w:t>
      </w:r>
      <w:bookmarkStart w:id="723" w:name="fnref26_3"/>
      <w:bookmarkEnd w:id="723"/>
      <w:hyperlink w:anchor="fn26">
        <w:r>
          <w:rPr>
            <w:rFonts w:eastAsia="inter" w:cs="inter" w:ascii="inter" w:hAnsi="inter"/>
            <w:color w:val="#000"/>
            <w:sz w:val="21"/>
            <w:u w:val="single"/>
            <w:vertAlign w:val="superscript"/>
          </w:rPr>
          <w:t xml:space="preserve">[26]</w:t>
        </w:r>
      </w:hyperlink>
    </w:p>
    <w:p>
      <w:pPr>
        <w:spacing w:line="360" w:after="210" w:lineRule="auto"/>
      </w:pPr>
      <w:r>
        <w:rPr>
          <w:rFonts w:eastAsia="inter" w:cs="inter" w:ascii="inter" w:hAnsi="inter"/>
          <w:color w:val="000000"/>
        </w:rPr>
        <w:t xml:space="preserve">Lower elasticity stems from:</w:t>
      </w:r>
    </w:p>
    <w:p>
      <w:pPr>
        <w:numPr>
          <w:ilvl w:val="0"/>
          <w:numId w:val="58"/>
        </w:numPr>
        <w:spacing w:line="360" w:before="105" w:after="105" w:lineRule="auto"/>
      </w:pPr>
      <w:r>
        <w:rPr>
          <w:rFonts w:eastAsia="inter" w:cs="inter" w:ascii="inter" w:hAnsi="inter"/>
          <w:b/>
          <w:color w:val="000000"/>
          <w:sz w:val="21"/>
        </w:rPr>
        <w:t xml:space="preserve">High baseline ownership</w:t>
      </w:r>
      <w:r>
        <w:rPr>
          <w:rFonts w:eastAsia="inter" w:cs="inter" w:ascii="inter" w:hAnsi="inter"/>
          <w:color w:val="000000"/>
          <w:sz w:val="21"/>
        </w:rPr>
        <w:t xml:space="preserve">: 40-50% ownership rates limit new adoption potential</w:t>
      </w:r>
      <w:bookmarkStart w:id="724" w:name="fnref25_22"/>
      <w:bookmarkEnd w:id="724"/>
      <w:hyperlink w:anchor="fn25">
        <w:r>
          <w:rPr>
            <w:rFonts w:eastAsia="inter" w:cs="inter" w:ascii="inter" w:hAnsi="inter"/>
            <w:color w:val="#000"/>
            <w:sz w:val="21"/>
            <w:u w:val="single"/>
            <w:vertAlign w:val="superscript"/>
          </w:rPr>
          <w:t xml:space="preserve">[25]</w:t>
        </w:r>
      </w:hyperlink>
    </w:p>
    <w:p>
      <w:pPr>
        <w:numPr>
          <w:ilvl w:val="0"/>
          <w:numId w:val="58"/>
        </w:numPr>
        <w:spacing w:line="360" w:before="105" w:after="105" w:lineRule="auto"/>
      </w:pPr>
      <w:r>
        <w:rPr>
          <w:rFonts w:eastAsia="inter" w:cs="inter" w:ascii="inter" w:hAnsi="inter"/>
          <w:b/>
          <w:color w:val="000000"/>
          <w:sz w:val="21"/>
        </w:rPr>
        <w:t xml:space="preserve">Market saturation</w:t>
      </w:r>
      <w:r>
        <w:rPr>
          <w:rFonts w:eastAsia="inter" w:cs="inter" w:ascii="inter" w:hAnsi="inter"/>
          <w:color w:val="000000"/>
          <w:sz w:val="21"/>
        </w:rPr>
        <w:t xml:space="preserve">: Growth driven primarily by replacement cycles rather than first-time purchases</w:t>
      </w:r>
      <w:bookmarkStart w:id="725" w:name="fnref25_23"/>
      <w:bookmarkEnd w:id="725"/>
      <w:hyperlink w:anchor="fn25">
        <w:r>
          <w:rPr>
            <w:rFonts w:eastAsia="inter" w:cs="inter" w:ascii="inter" w:hAnsi="inter"/>
            <w:color w:val="#000"/>
            <w:sz w:val="21"/>
            <w:u w:val="single"/>
            <w:vertAlign w:val="superscript"/>
          </w:rPr>
          <w:t xml:space="preserve">[25]</w:t>
        </w:r>
      </w:hyperlink>
      <w:bookmarkStart w:id="726" w:name="fnref26_4"/>
      <w:bookmarkEnd w:id="726"/>
      <w:hyperlink w:anchor="fn26">
        <w:r>
          <w:rPr>
            <w:rFonts w:eastAsia="inter" w:cs="inter" w:ascii="inter" w:hAnsi="inter"/>
            <w:color w:val="#000"/>
            <w:sz w:val="21"/>
            <w:u w:val="single"/>
            <w:vertAlign w:val="superscript"/>
          </w:rPr>
          <w:t xml:space="preserve">[26]</w:t>
        </w:r>
      </w:hyperlink>
    </w:p>
    <w:p>
      <w:pPr>
        <w:numPr>
          <w:ilvl w:val="0"/>
          <w:numId w:val="58"/>
        </w:numPr>
        <w:spacing w:line="360" w:before="105" w:after="105" w:lineRule="auto"/>
      </w:pPr>
      <w:r>
        <w:rPr>
          <w:rFonts w:eastAsia="inter" w:cs="inter" w:ascii="inter" w:hAnsi="inter"/>
          <w:b/>
          <w:color w:val="000000"/>
          <w:sz w:val="21"/>
        </w:rPr>
        <w:t xml:space="preserve">Competing priorities</w:t>
      </w:r>
      <w:r>
        <w:rPr>
          <w:rFonts w:eastAsia="inter" w:cs="inter" w:ascii="inter" w:hAnsi="inter"/>
          <w:color w:val="000000"/>
          <w:sz w:val="21"/>
        </w:rPr>
        <w:t xml:space="preserve">: Discretionary income increases allocated across diverse consumption categories with diminishing marginal utility to additional styling tools</w:t>
      </w:r>
      <w:bookmarkStart w:id="727" w:name="fnref84_19"/>
      <w:bookmarkEnd w:id="727"/>
      <w:hyperlink w:anchor="fn84">
        <w:r>
          <w:rPr>
            <w:rFonts w:eastAsia="inter" w:cs="inter" w:ascii="inter" w:hAnsi="inter"/>
            <w:color w:val="#000"/>
            <w:sz w:val="21"/>
            <w:u w:val="single"/>
            <w:vertAlign w:val="superscript"/>
          </w:rPr>
          <w:t xml:space="preserve">[84]</w:t>
        </w:r>
      </w:hyperlink>
    </w:p>
    <w:p>
      <w:pPr>
        <w:spacing w:line="360" w:after="210" w:lineRule="auto"/>
      </w:pPr>
      <w:r>
        <w:rPr>
          <w:rFonts w:eastAsia="inter" w:cs="inter" w:ascii="inter" w:hAnsi="inter"/>
          <w:b/>
          <w:color w:val="000000"/>
        </w:rPr>
        <w:t xml:space="preserve">Implications for Market Forecasting</w:t>
      </w:r>
    </w:p>
    <w:p>
      <w:pPr>
        <w:spacing w:line="360" w:after="210" w:lineRule="auto"/>
      </w:pPr>
      <w:r>
        <w:rPr>
          <w:rFonts w:eastAsia="inter" w:cs="inter" w:ascii="inter" w:hAnsi="inter"/>
          <w:color w:val="000000"/>
        </w:rPr>
        <w:t xml:space="preserve">Income elasticity estimates enable demand projections under alternative economic growth scenarios:</w:t>
      </w:r>
    </w:p>
    <w:p>
      <w:pPr>
        <w:spacing w:line="360" w:after="210" w:lineRule="auto"/>
      </w:pPr>
      <w:r>
        <w:rPr>
          <w:rFonts w:eastAsia="inter" w:cs="inter" w:ascii="inter" w:hAnsi="inter"/>
          <w:b/>
          <w:color w:val="000000"/>
        </w:rPr>
        <w:t xml:space="preserve">India Scenario Analysis (2024-2033)</w:t>
      </w:r>
      <w:r>
        <w:rPr>
          <w:rFonts w:eastAsia="inter" w:cs="inter" w:ascii="inter" w:hAnsi="inter"/>
          <w:color w:val="000000"/>
        </w:rPr>
        <w:t xml:space="preserve">:</w:t>
      </w:r>
    </w:p>
    <w:tbl>
      <w:tblPr>
        <w:tblStyle w:val="TableGrid"/>
        <w:jc w:val="center"/>
        <w:tblCellSpacing w:w="0" w:type="dxa"/>
        <w:tblBorders>
          <w:top w:val="single" w:sz="2" w:space="0" w:color="000000"/>
          <w:left w:val="single" w:sz="2" w:space="0" w:color="000000"/>
          <w:bottom w:val="single" w:sz="2" w:space="0" w:color="000000"/>
          <w:right w:val="single" w:sz="2" w:space="0" w:color="000000"/>
        </w:tblBorders>
        <w:tblCellMar>
          <w:top w:type="dxa" w:w="80"/>
          <w:left w:type="dxa" w:w="160"/>
          <w:bottom w:type="dxa" w:w="80"/>
          <w:right w:type="dxa" w:w="160"/>
        </w:tblCellMar>
      </w:tblPr>
      <w:tblGrid>
        <w:gridCol w:w="2378"/>
        <w:gridCol w:w="2378"/>
        <w:gridCol w:w="2378"/>
        <w:gridCol w:w="2378"/>
      </w:tblGrid>
      <w:tr>
        <w:trPr>
          <w:cantSplit/>
        </w:trPr>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GDP Growth Scenario</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Per-Capita Income Growth</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Projected Demand CAGR</w:t>
            </w:r>
          </w:p>
        </w:tc>
        <w:tc>
          <w:tcPr>
            <w:tcBorders>
              <w:top w:val="single" w:sz="1" w:space="0" w:color="000000"/>
              <w:bottom w:val="single" w:sz="1" w:space="0" w:color="000000"/>
            </w:tcBorders>
          </w:tcPr>
          <w:p>
            <w:pPr>
              <w:spacing w:line="360" w:lineRule="auto"/>
            </w:pPr>
            <w:r>
              <w:rPr>
                <w:rFonts w:eastAsia="inter" w:cs="inter" w:ascii="inter" w:hAnsi="inter"/>
                <w:color w:val="000000"/>
                <w:sz w:val="17"/>
              </w:rPr>
              <w:t xml:space="preserve">2033 Market Size</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Conservative (4-5%)</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3.5-4.5%</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5.6-7.2%</w:t>
            </w:r>
          </w:p>
        </w:tc>
        <w:tc>
          <w:tcPr>
            <w:tcBorders>
              <w:top w:val="single" w:sz="1" w:space="0" w:color="000000"/>
              <w:bottom w:val="single" w:sz="1" w:space="0" w:color="000000"/>
            </w:tcBorders>
          </w:tcPr>
          <w:p>
            <w:pPr>
              <w:spacing w:line="360" w:lineRule="auto"/>
            </w:pPr>
            <w:r>
              <w:rPr>
                <w:rFonts w:eastAsia="inter" w:cs="inter" w:ascii="inter" w:hAnsi="inter"/>
                <w:color w:val="000000"/>
                <w:sz w:val="17"/>
              </w:rPr>
              <w:t xml:space="preserve">USD 28-30 million</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Base Case (6-7%)</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5.0-6.0%</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8.0-10.0%</w:t>
            </w:r>
          </w:p>
        </w:tc>
        <w:tc>
          <w:tcPr>
            <w:tcBorders>
              <w:top w:val="single" w:sz="1" w:space="0" w:color="000000"/>
              <w:bottom w:val="single" w:sz="1" w:space="0" w:color="000000"/>
            </w:tcBorders>
          </w:tcPr>
          <w:p>
            <w:pPr>
              <w:spacing w:line="360" w:lineRule="auto"/>
            </w:pPr>
            <w:r>
              <w:rPr>
                <w:rFonts w:eastAsia="inter" w:cs="inter" w:ascii="inter" w:hAnsi="inter"/>
                <w:color w:val="000000"/>
                <w:sz w:val="17"/>
              </w:rPr>
              <w:t xml:space="preserve">USD 32-35 million</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Optimistic (7-8%)</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6.0-7.0%</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9.6-12.6%</w:t>
            </w:r>
          </w:p>
        </w:tc>
        <w:tc>
          <w:tcPr>
            <w:tcBorders>
              <w:top w:val="single" w:sz="1" w:space="0" w:color="000000"/>
              <w:bottom w:val="single" w:sz="1" w:space="0" w:color="000000"/>
            </w:tcBorders>
          </w:tcPr>
          <w:p>
            <w:pPr>
              <w:spacing w:line="360" w:lineRule="auto"/>
            </w:pPr>
            <w:r>
              <w:rPr>
                <w:rFonts w:eastAsia="inter" w:cs="inter" w:ascii="inter" w:hAnsi="inter"/>
                <w:color w:val="000000"/>
                <w:sz w:val="17"/>
              </w:rPr>
              <w:t xml:space="preserve">USD 35-40 million</w:t>
            </w:r>
          </w:p>
        </w:tc>
      </w:tr>
    </w:tbl>
    <w:p>
      <w:pPr>
        <w:spacing w:lineRule="auto"/>
      </w:pPr>
    </w:p>
    <w:p>
      <w:pPr>
        <w:spacing w:line="360" w:after="210" w:lineRule="auto"/>
      </w:pPr>
      <w:r>
        <w:rPr>
          <w:rFonts w:eastAsia="inter" w:cs="inter" w:ascii="inter" w:hAnsi="inter"/>
          <w:color w:val="000000"/>
        </w:rPr>
        <w:t xml:space="preserve">(Using base income elasticity of +1.8; adjusting for ownership rate saturation effects)</w:t>
      </w:r>
    </w:p>
    <w:p>
      <w:pPr>
        <w:spacing w:line="360" w:after="210" w:lineRule="auto"/>
      </w:pPr>
      <w:r>
        <w:rPr>
          <w:rFonts w:eastAsia="inter" w:cs="inter" w:ascii="inter" w:hAnsi="inter"/>
          <w:color w:val="000000"/>
        </w:rPr>
        <w:t xml:space="preserve">These projections indicate market size depends critically on macroeconomic performance, with 40% variation between conservative and optimistic scenarios.</w:t>
      </w:r>
      <w:bookmarkStart w:id="728" w:name="fnref82_5"/>
      <w:bookmarkEnd w:id="728"/>
      <w:hyperlink w:anchor="fn82">
        <w:r>
          <w:rPr>
            <w:rFonts w:eastAsia="inter" w:cs="inter" w:ascii="inter" w:hAnsi="inter"/>
            <w:color w:val="#000"/>
            <w:u w:val="single"/>
            <w:vertAlign w:val="superscript"/>
          </w:rPr>
          <w:t xml:space="preserve">[82]</w:t>
        </w:r>
      </w:hyperlink>
      <w:bookmarkStart w:id="729" w:name="fnref6_46"/>
      <w:bookmarkEnd w:id="729"/>
      <w:hyperlink w:anchor="fn6">
        <w:r>
          <w:rPr>
            <w:rFonts w:eastAsia="inter" w:cs="inter" w:ascii="inter" w:hAnsi="inter"/>
            <w:color w:val="#000"/>
            <w:u w:val="single"/>
            <w:vertAlign w:val="superscript"/>
          </w:rPr>
          <w:t xml:space="preserve">[6]</w:t>
        </w:r>
      </w:hyperlink>
    </w:p>
    <w:p>
      <w:pPr>
        <w:spacing w:line="360" w:after="210" w:lineRule="auto"/>
      </w:pPr>
      <w:r>
        <w:rPr>
          <w:rFonts w:eastAsia="inter" w:cs="inter" w:ascii="inter" w:hAnsi="inter"/>
          <w:b/>
          <w:color w:val="000000"/>
        </w:rPr>
        <w:t xml:space="preserve">Global Market Projections</w:t>
      </w:r>
      <w:r>
        <w:rPr>
          <w:rFonts w:eastAsia="inter" w:cs="inter" w:ascii="inter" w:hAnsi="inter"/>
          <w:color w:val="000000"/>
        </w:rPr>
        <w:t xml:space="preserve">:</w:t>
      </w:r>
    </w:p>
    <w:p>
      <w:pPr>
        <w:spacing w:line="360" w:after="210" w:lineRule="auto"/>
      </w:pPr>
      <w:r>
        <w:rPr>
          <w:rFonts w:eastAsia="inter" w:cs="inter" w:ascii="inter" w:hAnsi="inter"/>
          <w:color w:val="000000"/>
        </w:rPr>
        <w:t xml:space="preserve">Developed markets with lower income elasticity exhibit more stable, predictable growth (3-4% CAGR) driven by population growth and replacement cycles rather than penetration expansion. Emerging markets contribute disproportionately to global growth—India, China, Southeast Asia projected to account for 60-70% of incremental demand 2024-2033 despite comprising only 35-40% of current market.</w:t>
      </w:r>
      <w:bookmarkStart w:id="730" w:name="fnref3_1"/>
      <w:bookmarkEnd w:id="730"/>
      <w:hyperlink w:anchor="fn3">
        <w:r>
          <w:rPr>
            <w:rFonts w:eastAsia="inter" w:cs="inter" w:ascii="inter" w:hAnsi="inter"/>
            <w:color w:val="#000"/>
            <w:u w:val="single"/>
            <w:vertAlign w:val="superscript"/>
          </w:rPr>
          <w:t xml:space="preserve">[3]</w:t>
        </w:r>
      </w:hyperlink>
      <w:bookmarkStart w:id="731" w:name="fnref81_9"/>
      <w:bookmarkEnd w:id="731"/>
      <w:hyperlink w:anchor="fn81">
        <w:r>
          <w:rPr>
            <w:rFonts w:eastAsia="inter" w:cs="inter" w:ascii="inter" w:hAnsi="inter"/>
            <w:color w:val="#000"/>
            <w:u w:val="single"/>
            <w:vertAlign w:val="superscript"/>
          </w:rPr>
          <w:t xml:space="preserve">[81]</w:t>
        </w:r>
      </w:hyperlink>
      <w:bookmarkStart w:id="732" w:name="fnref26_5"/>
      <w:bookmarkEnd w:id="732"/>
      <w:hyperlink w:anchor="fn26">
        <w:r>
          <w:rPr>
            <w:rFonts w:eastAsia="inter" w:cs="inter" w:ascii="inter" w:hAnsi="inter"/>
            <w:color w:val="#000"/>
            <w:u w:val="single"/>
            <w:vertAlign w:val="superscript"/>
          </w:rPr>
          <w:t xml:space="preserve">[26]</w:t>
        </w:r>
      </w:hyperlink>
      <w:bookmarkStart w:id="733" w:name="fnref82_6"/>
      <w:bookmarkEnd w:id="733"/>
      <w:hyperlink w:anchor="fn82">
        <w:r>
          <w:rPr>
            <w:rFonts w:eastAsia="inter" w:cs="inter" w:ascii="inter" w:hAnsi="inter"/>
            <w:color w:val="#000"/>
            <w:u w:val="single"/>
            <w:vertAlign w:val="superscript"/>
          </w:rPr>
          <w:t xml:space="preserve">[82]</w:t>
        </w:r>
      </w:hyperlink>
      <w:bookmarkStart w:id="734" w:name="fnref6_47"/>
      <w:bookmarkEnd w:id="734"/>
      <w:hyperlink w:anchor="fn6">
        <w:r>
          <w:rPr>
            <w:rFonts w:eastAsia="inter" w:cs="inter" w:ascii="inter" w:hAnsi="inter"/>
            <w:color w:val="#000"/>
            <w:u w:val="single"/>
            <w:vertAlign w:val="superscript"/>
          </w:rPr>
          <w:t xml:space="preserve">[6]</w:t>
        </w:r>
      </w:hyperlink>
    </w:p>
    <w:p>
      <w:pPr>
        <w:spacing w:line="360" w:before="315" w:after="105" w:lineRule="auto"/>
        <w:ind w:left="-30"/>
        <w:jc w:val="left"/>
      </w:pPr>
      <w:bookmarkStart w:id="735" w:name="cross_price_elasticity_substitute_81dd85"/>
      <w:r>
        <w:rPr>
          <w:rFonts w:eastAsia="inter" w:cs="inter" w:ascii="inter" w:hAnsi="inter"/>
          <w:b/>
          <w:color w:val="000000"/>
          <w:sz w:val="24"/>
        </w:rPr>
        <w:t xml:space="preserve">Cross-Price Elasticity: Substitutes and Complements</w:t>
      </w:r>
      <w:bookmarkEnd w:id="735"/>
    </w:p>
    <w:p>
      <w:pPr>
        <w:spacing w:line="360" w:after="210" w:lineRule="auto"/>
      </w:pPr>
      <w:r>
        <w:rPr>
          <w:rFonts w:eastAsia="inter" w:cs="inter" w:ascii="inter" w:hAnsi="inter"/>
          <w:color w:val="000000"/>
        </w:rPr>
        <w:t xml:space="preserve">Cross-price elasticity (XED) measures how demand for one product responds to price changes of related products:</w:t>
      </w:r>
      <w:bookmarkStart w:id="736" w:name="fnref91_5"/>
      <w:bookmarkEnd w:id="736"/>
      <w:hyperlink w:anchor="fn91">
        <w:r>
          <w:rPr>
            <w:rFonts w:eastAsia="inter" w:cs="inter" w:ascii="inter" w:hAnsi="inter"/>
            <w:color w:val="#000"/>
            <w:u w:val="single"/>
            <w:vertAlign w:val="superscript"/>
          </w:rPr>
          <w:t xml:space="preserve">[91]</w:t>
        </w:r>
      </w:hyperlink>
      <w:bookmarkStart w:id="737" w:name="fnref85_1"/>
      <w:bookmarkEnd w:id="737"/>
      <w:hyperlink w:anchor="fn85">
        <w:r>
          <w:rPr>
            <w:rFonts w:eastAsia="inter" w:cs="inter" w:ascii="inter" w:hAnsi="inter"/>
            <w:color w:val="#000"/>
            <w:u w:val="single"/>
            <w:vertAlign w:val="superscript"/>
          </w:rPr>
          <w:t xml:space="preserve">[85]</w:t>
        </w:r>
      </w:hyperlink>
    </w:p>
    <w:p>
      <w:pPr>
        <w:spacing w:line="360" w:after="210" w:lineRule="auto"/>
      </w:pPr>
      <w:r>
        <w:rPr>
          <w:rFonts w:eastAsia="inter" w:cs="inter" w:ascii="inter" w:hAnsi="inter"/>
          <w:b/>
          <w:color w:val="000000"/>
        </w:rPr>
        <w:t xml:space="preserve">εₓᵧ = (% ΔQdₓ) / (% ΔPᵧ)</w:t>
      </w:r>
    </w:p>
    <w:p>
      <w:pPr>
        <w:spacing w:line="360" w:after="210" w:lineRule="auto"/>
      </w:pPr>
      <w:r>
        <w:rPr>
          <w:rFonts w:eastAsia="inter" w:cs="inter" w:ascii="inter" w:hAnsi="inter"/>
          <w:color w:val="000000"/>
        </w:rPr>
        <w:t xml:space="preserve">For hair straightening brushes, cross-price relationships illuminate competitive dynamics and strategic positioning.</w:t>
      </w:r>
      <w:bookmarkStart w:id="738" w:name="fnref85_2"/>
      <w:bookmarkEnd w:id="738"/>
      <w:hyperlink w:anchor="fn85">
        <w:r>
          <w:rPr>
            <w:rFonts w:eastAsia="inter" w:cs="inter" w:ascii="inter" w:hAnsi="inter"/>
            <w:color w:val="#000"/>
            <w:u w:val="single"/>
            <w:vertAlign w:val="superscript"/>
          </w:rPr>
          <w:t xml:space="preserve">[85]</w:t>
        </w:r>
      </w:hyperlink>
      <w:bookmarkStart w:id="739" w:name="fnref94"/>
      <w:bookmarkEnd w:id="739"/>
      <w:hyperlink w:anchor="fn94">
        <w:r>
          <w:rPr>
            <w:rFonts w:eastAsia="inter" w:cs="inter" w:ascii="inter" w:hAnsi="inter"/>
            <w:color w:val="#000"/>
            <w:u w:val="single"/>
            <w:vertAlign w:val="superscript"/>
          </w:rPr>
          <w:t xml:space="preserve">[94]</w:t>
        </w:r>
      </w:hyperlink>
    </w:p>
    <w:p>
      <w:pPr>
        <w:spacing w:line="360" w:after="210" w:lineRule="auto"/>
      </w:pPr>
      <w:r>
        <w:rPr>
          <w:rFonts w:eastAsia="inter" w:cs="inter" w:ascii="inter" w:hAnsi="inter"/>
          <w:b/>
          <w:color w:val="000000"/>
        </w:rPr>
        <w:t xml:space="preserve">Substitute Products (Positive XED)</w:t>
      </w:r>
    </w:p>
    <w:p>
      <w:pPr>
        <w:spacing w:line="360" w:after="210" w:lineRule="auto"/>
      </w:pPr>
      <w:r>
        <w:rPr>
          <w:rFonts w:eastAsia="inter" w:cs="inter" w:ascii="inter" w:hAnsi="inter"/>
          <w:i/>
          <w:color w:val="000000"/>
        </w:rPr>
        <w:t xml:space="preserve">Traditional Flat Irons</w:t>
      </w:r>
      <w:r>
        <w:rPr>
          <w:rFonts w:eastAsia="inter" w:cs="inter" w:ascii="inter" w:hAnsi="inter"/>
          <w:color w:val="000000"/>
        </w:rPr>
        <w:t xml:space="preserve">:</w:t>
      </w:r>
    </w:p>
    <w:p>
      <w:pPr>
        <w:numPr>
          <w:ilvl w:val="0"/>
          <w:numId w:val="59"/>
        </w:numPr>
        <w:spacing w:line="360" w:before="105" w:after="105" w:lineRule="auto"/>
      </w:pPr>
      <w:r>
        <w:rPr>
          <w:rFonts w:eastAsia="inter" w:cs="inter" w:ascii="inter" w:hAnsi="inter"/>
          <w:color w:val="000000"/>
          <w:sz w:val="21"/>
        </w:rPr>
        <w:t xml:space="preserve">Estimated XED: +0.4 to +0.6</w:t>
      </w:r>
      <w:bookmarkStart w:id="740" w:name="fnref94_1"/>
      <w:bookmarkEnd w:id="740"/>
      <w:hyperlink w:anchor="fn94">
        <w:r>
          <w:rPr>
            <w:rFonts w:eastAsia="inter" w:cs="inter" w:ascii="inter" w:hAnsi="inter"/>
            <w:color w:val="#000"/>
            <w:sz w:val="21"/>
            <w:u w:val="single"/>
            <w:vertAlign w:val="superscript"/>
          </w:rPr>
          <w:t xml:space="preserve">[94]</w:t>
        </w:r>
      </w:hyperlink>
      <w:bookmarkStart w:id="741" w:name="fnref85_3"/>
      <w:bookmarkEnd w:id="741"/>
      <w:hyperlink w:anchor="fn85">
        <w:r>
          <w:rPr>
            <w:rFonts w:eastAsia="inter" w:cs="inter" w:ascii="inter" w:hAnsi="inter"/>
            <w:color w:val="#000"/>
            <w:sz w:val="21"/>
            <w:u w:val="single"/>
            <w:vertAlign w:val="superscript"/>
          </w:rPr>
          <w:t xml:space="preserve">[85]</w:t>
        </w:r>
      </w:hyperlink>
    </w:p>
    <w:p>
      <w:pPr>
        <w:numPr>
          <w:ilvl w:val="0"/>
          <w:numId w:val="59"/>
        </w:numPr>
        <w:spacing w:line="360" w:before="105" w:after="105" w:lineRule="auto"/>
      </w:pPr>
      <w:r>
        <w:rPr>
          <w:rFonts w:eastAsia="inter" w:cs="inter" w:ascii="inter" w:hAnsi="inter"/>
          <w:color w:val="000000"/>
          <w:sz w:val="21"/>
        </w:rPr>
        <w:t xml:space="preserve">Interpretation: 10% flat iron price increase raises straightening brush demand by 4-6%</w:t>
      </w:r>
      <w:bookmarkStart w:id="742" w:name="fnref85_4"/>
      <w:bookmarkEnd w:id="742"/>
      <w:hyperlink w:anchor="fn85">
        <w:r>
          <w:rPr>
            <w:rFonts w:eastAsia="inter" w:cs="inter" w:ascii="inter" w:hAnsi="inter"/>
            <w:color w:val="#000"/>
            <w:sz w:val="21"/>
            <w:u w:val="single"/>
            <w:vertAlign w:val="superscript"/>
          </w:rPr>
          <w:t xml:space="preserve">[85]</w:t>
        </w:r>
      </w:hyperlink>
    </w:p>
    <w:p>
      <w:pPr>
        <w:spacing w:line="360" w:after="210" w:lineRule="auto"/>
      </w:pPr>
      <w:r>
        <w:rPr>
          <w:rFonts w:eastAsia="inter" w:cs="inter" w:ascii="inter" w:hAnsi="inter"/>
          <w:color w:val="000000"/>
        </w:rPr>
        <w:t xml:space="preserve">This moderate positive elasticity indicates imperfect substitution. While functionally similar (both straighten hair), meaningful differentiation exists:</w:t>
      </w:r>
    </w:p>
    <w:p>
      <w:pPr>
        <w:numPr>
          <w:ilvl w:val="0"/>
          <w:numId w:val="60"/>
        </w:numPr>
        <w:spacing w:line="360" w:before="105" w:after="105" w:lineRule="auto"/>
      </w:pPr>
      <w:r>
        <w:rPr>
          <w:rFonts w:eastAsia="inter" w:cs="inter" w:ascii="inter" w:hAnsi="inter"/>
          <w:b/>
          <w:color w:val="000000"/>
          <w:sz w:val="21"/>
        </w:rPr>
        <w:t xml:space="preserve">Usage experience</w:t>
      </w:r>
      <w:r>
        <w:rPr>
          <w:rFonts w:eastAsia="inter" w:cs="inter" w:ascii="inter" w:hAnsi="inter"/>
          <w:color w:val="000000"/>
          <w:sz w:val="21"/>
        </w:rPr>
        <w:t xml:space="preserve">: Brushes require less technique, appealing to novices</w:t>
      </w:r>
      <w:bookmarkStart w:id="743" w:name="fnref1_6"/>
      <w:bookmarkEnd w:id="743"/>
      <w:hyperlink w:anchor="fn1">
        <w:r>
          <w:rPr>
            <w:rFonts w:eastAsia="inter" w:cs="inter" w:ascii="inter" w:hAnsi="inter"/>
            <w:color w:val="#000"/>
            <w:sz w:val="21"/>
            <w:u w:val="single"/>
            <w:vertAlign w:val="superscript"/>
          </w:rPr>
          <w:t xml:space="preserve">[1]</w:t>
        </w:r>
      </w:hyperlink>
      <w:bookmarkStart w:id="744" w:name="fnref25_24"/>
      <w:bookmarkEnd w:id="744"/>
      <w:hyperlink w:anchor="fn25">
        <w:r>
          <w:rPr>
            <w:rFonts w:eastAsia="inter" w:cs="inter" w:ascii="inter" w:hAnsi="inter"/>
            <w:color w:val="#000"/>
            <w:sz w:val="21"/>
            <w:u w:val="single"/>
            <w:vertAlign w:val="superscript"/>
          </w:rPr>
          <w:t xml:space="preserve">[25]</w:t>
        </w:r>
      </w:hyperlink>
    </w:p>
    <w:p>
      <w:pPr>
        <w:numPr>
          <w:ilvl w:val="0"/>
          <w:numId w:val="60"/>
        </w:numPr>
        <w:spacing w:line="360" w:before="105" w:after="105" w:lineRule="auto"/>
      </w:pPr>
      <w:r>
        <w:rPr>
          <w:rFonts w:eastAsia="inter" w:cs="inter" w:ascii="inter" w:hAnsi="inter"/>
          <w:b/>
          <w:color w:val="000000"/>
          <w:sz w:val="21"/>
        </w:rPr>
        <w:t xml:space="preserve">Speed</w:t>
      </w:r>
      <w:r>
        <w:rPr>
          <w:rFonts w:eastAsia="inter" w:cs="inter" w:ascii="inter" w:hAnsi="inter"/>
          <w:color w:val="000000"/>
          <w:sz w:val="21"/>
        </w:rPr>
        <w:t xml:space="preserve">: Brushes combine brushing and straightening, reducing styling time 25-35%</w:t>
      </w:r>
      <w:bookmarkStart w:id="745" w:name="fnref25_25"/>
      <w:bookmarkEnd w:id="745"/>
      <w:hyperlink w:anchor="fn25">
        <w:r>
          <w:rPr>
            <w:rFonts w:eastAsia="inter" w:cs="inter" w:ascii="inter" w:hAnsi="inter"/>
            <w:color w:val="#000"/>
            <w:sz w:val="21"/>
            <w:u w:val="single"/>
            <w:vertAlign w:val="superscript"/>
          </w:rPr>
          <w:t xml:space="preserve">[25]</w:t>
        </w:r>
      </w:hyperlink>
      <w:bookmarkStart w:id="746" w:name="fnref1_7"/>
      <w:bookmarkEnd w:id="746"/>
      <w:hyperlink w:anchor="fn1">
        <w:r>
          <w:rPr>
            <w:rFonts w:eastAsia="inter" w:cs="inter" w:ascii="inter" w:hAnsi="inter"/>
            <w:color w:val="#000"/>
            <w:sz w:val="21"/>
            <w:u w:val="single"/>
            <w:vertAlign w:val="superscript"/>
          </w:rPr>
          <w:t xml:space="preserve">[1]</w:t>
        </w:r>
      </w:hyperlink>
    </w:p>
    <w:p>
      <w:pPr>
        <w:numPr>
          <w:ilvl w:val="0"/>
          <w:numId w:val="60"/>
        </w:numPr>
        <w:spacing w:line="360" w:before="105" w:after="105" w:lineRule="auto"/>
      </w:pPr>
      <w:r>
        <w:rPr>
          <w:rFonts w:eastAsia="inter" w:cs="inter" w:ascii="inter" w:hAnsi="inter"/>
          <w:b/>
          <w:color w:val="000000"/>
          <w:sz w:val="21"/>
        </w:rPr>
        <w:t xml:space="preserve">Damage profile</w:t>
      </w:r>
      <w:r>
        <w:rPr>
          <w:rFonts w:eastAsia="inter" w:cs="inter" w:ascii="inter" w:hAnsi="inter"/>
          <w:color w:val="000000"/>
          <w:sz w:val="21"/>
        </w:rPr>
        <w:t xml:space="preserve">: Brushes distribute heat across more contact points, perceived as gentler</w:t>
      </w:r>
      <w:bookmarkStart w:id="747" w:name="fnref1_8"/>
      <w:bookmarkEnd w:id="747"/>
      <w:hyperlink w:anchor="fn1">
        <w:r>
          <w:rPr>
            <w:rFonts w:eastAsia="inter" w:cs="inter" w:ascii="inter" w:hAnsi="inter"/>
            <w:color w:val="#000"/>
            <w:sz w:val="21"/>
            <w:u w:val="single"/>
            <w:vertAlign w:val="superscript"/>
          </w:rPr>
          <w:t xml:space="preserve">[1]</w:t>
        </w:r>
      </w:hyperlink>
    </w:p>
    <w:p>
      <w:pPr>
        <w:spacing w:line="360" w:after="210" w:lineRule="auto"/>
      </w:pPr>
      <w:r>
        <w:rPr>
          <w:rFonts w:eastAsia="inter" w:cs="inter" w:ascii="inter" w:hAnsi="inter"/>
          <w:color w:val="000000"/>
        </w:rPr>
        <w:t xml:space="preserve">Consumer segments differ in substitution propensity. Budget-conscious consumers exhibit higher cross-elasticity (more willing to switch based on price), while premium segment buyers view products as complements rather than substitutes (owning multiple styling tools).</w:t>
      </w:r>
      <w:bookmarkStart w:id="748" w:name="fnref95"/>
      <w:bookmarkEnd w:id="748"/>
      <w:hyperlink w:anchor="fn95">
        <w:r>
          <w:rPr>
            <w:rFonts w:eastAsia="inter" w:cs="inter" w:ascii="inter" w:hAnsi="inter"/>
            <w:color w:val="#000"/>
            <w:u w:val="single"/>
            <w:vertAlign w:val="superscript"/>
          </w:rPr>
          <w:t xml:space="preserve">[95]</w:t>
        </w:r>
      </w:hyperlink>
      <w:bookmarkStart w:id="749" w:name="fnref25_26"/>
      <w:bookmarkEnd w:id="749"/>
      <w:hyperlink w:anchor="fn25">
        <w:r>
          <w:rPr>
            <w:rFonts w:eastAsia="inter" w:cs="inter" w:ascii="inter" w:hAnsi="inter"/>
            <w:color w:val="#000"/>
            <w:u w:val="single"/>
            <w:vertAlign w:val="superscript"/>
          </w:rPr>
          <w:t xml:space="preserve">[25]</w:t>
        </w:r>
      </w:hyperlink>
    </w:p>
    <w:p>
      <w:pPr>
        <w:spacing w:line="360" w:after="210" w:lineRule="auto"/>
      </w:pPr>
      <w:r>
        <w:rPr>
          <w:rFonts w:eastAsia="inter" w:cs="inter" w:ascii="inter" w:hAnsi="inter"/>
          <w:i/>
          <w:color w:val="000000"/>
        </w:rPr>
        <w:t xml:space="preserve">Blow Dryers + Round Brushes</w:t>
      </w:r>
      <w:r>
        <w:rPr>
          <w:rFonts w:eastAsia="inter" w:cs="inter" w:ascii="inter" w:hAnsi="inter"/>
          <w:color w:val="000000"/>
        </w:rPr>
        <w:t xml:space="preserve">:</w:t>
      </w:r>
    </w:p>
    <w:p>
      <w:pPr>
        <w:numPr>
          <w:ilvl w:val="0"/>
          <w:numId w:val="61"/>
        </w:numPr>
        <w:spacing w:line="360" w:before="105" w:after="105" w:lineRule="auto"/>
      </w:pPr>
      <w:r>
        <w:rPr>
          <w:rFonts w:eastAsia="inter" w:cs="inter" w:ascii="inter" w:hAnsi="inter"/>
          <w:color w:val="000000"/>
          <w:sz w:val="21"/>
        </w:rPr>
        <w:t xml:space="preserve">Estimated XED: +0.2 to +0.3</w:t>
      </w:r>
      <w:bookmarkStart w:id="750" w:name="fnref96"/>
      <w:bookmarkEnd w:id="750"/>
      <w:hyperlink w:anchor="fn96">
        <w:r>
          <w:rPr>
            <w:rFonts w:eastAsia="inter" w:cs="inter" w:ascii="inter" w:hAnsi="inter"/>
            <w:color w:val="#000"/>
            <w:sz w:val="21"/>
            <w:u w:val="single"/>
            <w:vertAlign w:val="superscript"/>
          </w:rPr>
          <w:t xml:space="preserve">[96]</w:t>
        </w:r>
      </w:hyperlink>
      <w:bookmarkStart w:id="751" w:name="fnref94_2"/>
      <w:bookmarkEnd w:id="751"/>
      <w:hyperlink w:anchor="fn94">
        <w:r>
          <w:rPr>
            <w:rFonts w:eastAsia="inter" w:cs="inter" w:ascii="inter" w:hAnsi="inter"/>
            <w:color w:val="#000"/>
            <w:sz w:val="21"/>
            <w:u w:val="single"/>
            <w:vertAlign w:val="superscript"/>
          </w:rPr>
          <w:t xml:space="preserve">[94]</w:t>
        </w:r>
      </w:hyperlink>
    </w:p>
    <w:p>
      <w:pPr>
        <w:numPr>
          <w:ilvl w:val="0"/>
          <w:numId w:val="61"/>
        </w:numPr>
        <w:spacing w:line="360" w:before="105" w:after="105" w:lineRule="auto"/>
      </w:pPr>
      <w:r>
        <w:rPr>
          <w:rFonts w:eastAsia="inter" w:cs="inter" w:ascii="inter" w:hAnsi="inter"/>
          <w:color w:val="000000"/>
          <w:sz w:val="21"/>
        </w:rPr>
        <w:t xml:space="preserve">Lower elasticity than flat irons reflects greater functional differentiation—blow-drying achieves volume and texture versus straight sleekness</w:t>
      </w:r>
      <w:bookmarkStart w:id="752" w:name="fnref86_1"/>
      <w:bookmarkEnd w:id="752"/>
      <w:hyperlink w:anchor="fn86">
        <w:r>
          <w:rPr>
            <w:rFonts w:eastAsia="inter" w:cs="inter" w:ascii="inter" w:hAnsi="inter"/>
            <w:color w:val="#000"/>
            <w:sz w:val="21"/>
            <w:u w:val="single"/>
            <w:vertAlign w:val="superscript"/>
          </w:rPr>
          <w:t xml:space="preserve">[86]</w:t>
        </w:r>
      </w:hyperlink>
      <w:bookmarkStart w:id="753" w:name="fnref94_3"/>
      <w:bookmarkEnd w:id="753"/>
      <w:hyperlink w:anchor="fn94">
        <w:r>
          <w:rPr>
            <w:rFonts w:eastAsia="inter" w:cs="inter" w:ascii="inter" w:hAnsi="inter"/>
            <w:color w:val="#000"/>
            <w:sz w:val="21"/>
            <w:u w:val="single"/>
            <w:vertAlign w:val="superscript"/>
          </w:rPr>
          <w:t xml:space="preserve">[94]</w:t>
        </w:r>
      </w:hyperlink>
    </w:p>
    <w:p>
      <w:pPr>
        <w:spacing w:line="360" w:after="210" w:lineRule="auto"/>
      </w:pPr>
      <w:r>
        <w:rPr>
          <w:rFonts w:eastAsia="inter" w:cs="inter" w:ascii="inter" w:hAnsi="inter"/>
          <w:i/>
          <w:color w:val="000000"/>
        </w:rPr>
        <w:t xml:space="preserve">Chemical Straightening Treatments</w:t>
      </w:r>
      <w:r>
        <w:rPr>
          <w:rFonts w:eastAsia="inter" w:cs="inter" w:ascii="inter" w:hAnsi="inter"/>
          <w:color w:val="000000"/>
        </w:rPr>
        <w:t xml:space="preserve">:</w:t>
      </w:r>
    </w:p>
    <w:p>
      <w:pPr>
        <w:numPr>
          <w:ilvl w:val="0"/>
          <w:numId w:val="62"/>
        </w:numPr>
        <w:spacing w:line="360" w:before="105" w:after="105" w:lineRule="auto"/>
      </w:pPr>
      <w:r>
        <w:rPr>
          <w:rFonts w:eastAsia="inter" w:cs="inter" w:ascii="inter" w:hAnsi="inter"/>
          <w:color w:val="000000"/>
          <w:sz w:val="21"/>
        </w:rPr>
        <w:t xml:space="preserve">Estimated XED: +0.3 to +0.5</w:t>
      </w:r>
      <w:bookmarkStart w:id="754" w:name="fnref85_5"/>
      <w:bookmarkEnd w:id="754"/>
      <w:hyperlink w:anchor="fn85">
        <w:r>
          <w:rPr>
            <w:rFonts w:eastAsia="inter" w:cs="inter" w:ascii="inter" w:hAnsi="inter"/>
            <w:color w:val="#000"/>
            <w:sz w:val="21"/>
            <w:u w:val="single"/>
            <w:vertAlign w:val="superscript"/>
          </w:rPr>
          <w:t xml:space="preserve">[85]</w:t>
        </w:r>
      </w:hyperlink>
    </w:p>
    <w:p>
      <w:pPr>
        <w:numPr>
          <w:ilvl w:val="0"/>
          <w:numId w:val="62"/>
        </w:numPr>
        <w:spacing w:line="360" w:before="105" w:after="105" w:lineRule="auto"/>
      </w:pPr>
      <w:r>
        <w:rPr>
          <w:rFonts w:eastAsia="inter" w:cs="inter" w:ascii="inter" w:hAnsi="inter"/>
          <w:color w:val="000000"/>
          <w:sz w:val="21"/>
        </w:rPr>
        <w:t xml:space="preserve">Chemical treatments offer long-duration (3-6 months) straightening at ₹3,000-8,000 per treatment. Price increases for chemical services shift some consumers toward at-home electrical straightening</w:t>
      </w:r>
      <w:bookmarkStart w:id="755" w:name="fnref90_1"/>
      <w:bookmarkEnd w:id="755"/>
      <w:hyperlink w:anchor="fn90">
        <w:r>
          <w:rPr>
            <w:rFonts w:eastAsia="inter" w:cs="inter" w:ascii="inter" w:hAnsi="inter"/>
            <w:color w:val="#000"/>
            <w:sz w:val="21"/>
            <w:u w:val="single"/>
            <w:vertAlign w:val="superscript"/>
          </w:rPr>
          <w:t xml:space="preserve">[90]</w:t>
        </w:r>
      </w:hyperlink>
      <w:bookmarkStart w:id="756" w:name="fnref85_6"/>
      <w:bookmarkEnd w:id="756"/>
      <w:hyperlink w:anchor="fn85">
        <w:r>
          <w:rPr>
            <w:rFonts w:eastAsia="inter" w:cs="inter" w:ascii="inter" w:hAnsi="inter"/>
            <w:color w:val="#000"/>
            <w:sz w:val="21"/>
            <w:u w:val="single"/>
            <w:vertAlign w:val="superscript"/>
          </w:rPr>
          <w:t xml:space="preserve">[85]</w:t>
        </w:r>
      </w:hyperlink>
    </w:p>
    <w:p>
      <w:pPr>
        <w:spacing w:line="360" w:after="210" w:lineRule="auto"/>
      </w:pPr>
      <w:r>
        <w:rPr>
          <w:rFonts w:eastAsia="inter" w:cs="inter" w:ascii="inter" w:hAnsi="inter"/>
          <w:b/>
          <w:color w:val="000000"/>
        </w:rPr>
        <w:t xml:space="preserve">Complementary Products (Negative XED)</w:t>
      </w:r>
    </w:p>
    <w:p>
      <w:pPr>
        <w:spacing w:line="360" w:after="210" w:lineRule="auto"/>
      </w:pPr>
      <w:r>
        <w:rPr>
          <w:rFonts w:eastAsia="inter" w:cs="inter" w:ascii="inter" w:hAnsi="inter"/>
          <w:i/>
          <w:color w:val="000000"/>
        </w:rPr>
        <w:t xml:space="preserve">Heat Protectant Sprays</w:t>
      </w:r>
      <w:r>
        <w:rPr>
          <w:rFonts w:eastAsia="inter" w:cs="inter" w:ascii="inter" w:hAnsi="inter"/>
          <w:color w:val="000000"/>
        </w:rPr>
        <w:t xml:space="preserve">:</w:t>
      </w:r>
    </w:p>
    <w:p>
      <w:pPr>
        <w:numPr>
          <w:ilvl w:val="0"/>
          <w:numId w:val="63"/>
        </w:numPr>
        <w:spacing w:line="360" w:before="105" w:after="105" w:lineRule="auto"/>
      </w:pPr>
      <w:r>
        <w:rPr>
          <w:rFonts w:eastAsia="inter" w:cs="inter" w:ascii="inter" w:hAnsi="inter"/>
          <w:color w:val="000000"/>
          <w:sz w:val="21"/>
        </w:rPr>
        <w:t xml:space="preserve">Estimated XED: -0.8 to -1.2</w:t>
      </w:r>
      <w:bookmarkStart w:id="757" w:name="fnref85_7"/>
      <w:bookmarkEnd w:id="757"/>
      <w:hyperlink w:anchor="fn85">
        <w:r>
          <w:rPr>
            <w:rFonts w:eastAsia="inter" w:cs="inter" w:ascii="inter" w:hAnsi="inter"/>
            <w:color w:val="#000"/>
            <w:sz w:val="21"/>
            <w:u w:val="single"/>
            <w:vertAlign w:val="superscript"/>
          </w:rPr>
          <w:t xml:space="preserve">[85]</w:t>
        </w:r>
      </w:hyperlink>
    </w:p>
    <w:p>
      <w:pPr>
        <w:numPr>
          <w:ilvl w:val="0"/>
          <w:numId w:val="63"/>
        </w:numPr>
        <w:spacing w:line="360" w:before="105" w:after="105" w:lineRule="auto"/>
      </w:pPr>
      <w:r>
        <w:rPr>
          <w:rFonts w:eastAsia="inter" w:cs="inter" w:ascii="inter" w:hAnsi="inter"/>
          <w:color w:val="000000"/>
          <w:sz w:val="21"/>
        </w:rPr>
        <w:t xml:space="preserve">Strong negative elasticity indicates complementarity—straightening brush price reductions increase heat protectant demand as more consumers adopt hot tools</w:t>
      </w:r>
      <w:bookmarkStart w:id="758" w:name="fnref85_8"/>
      <w:bookmarkEnd w:id="758"/>
      <w:hyperlink w:anchor="fn85">
        <w:r>
          <w:rPr>
            <w:rFonts w:eastAsia="inter" w:cs="inter" w:ascii="inter" w:hAnsi="inter"/>
            <w:color w:val="#000"/>
            <w:sz w:val="21"/>
            <w:u w:val="single"/>
            <w:vertAlign w:val="superscript"/>
          </w:rPr>
          <w:t xml:space="preserve">[85]</w:t>
        </w:r>
      </w:hyperlink>
    </w:p>
    <w:p>
      <w:pPr>
        <w:spacing w:line="360" w:after="210" w:lineRule="auto"/>
      </w:pPr>
      <w:r>
        <w:rPr>
          <w:rFonts w:eastAsia="inter" w:cs="inter" w:ascii="inter" w:hAnsi="inter"/>
          <w:color w:val="000000"/>
        </w:rPr>
        <w:t xml:space="preserve">Manufacturers recognize this complementarity through bundling strategies. Premium brands include heat protectant samples with straightener purchases, creating switching costs (consumers accustomed to matched systems resist changing).</w:t>
      </w:r>
      <w:bookmarkStart w:id="759" w:name="fnref15_74"/>
      <w:bookmarkEnd w:id="759"/>
      <w:hyperlink w:anchor="fn15">
        <w:r>
          <w:rPr>
            <w:rFonts w:eastAsia="inter" w:cs="inter" w:ascii="inter" w:hAnsi="inter"/>
            <w:color w:val="#000"/>
            <w:u w:val="single"/>
            <w:vertAlign w:val="superscript"/>
          </w:rPr>
          <w:t xml:space="preserve">[15]</w:t>
        </w:r>
      </w:hyperlink>
    </w:p>
    <w:p>
      <w:pPr>
        <w:spacing w:line="360" w:after="210" w:lineRule="auto"/>
      </w:pPr>
      <w:r>
        <w:rPr>
          <w:rFonts w:eastAsia="inter" w:cs="inter" w:ascii="inter" w:hAnsi="inter"/>
          <w:i/>
          <w:color w:val="000000"/>
        </w:rPr>
        <w:t xml:space="preserve">Hair Care Products</w:t>
      </w:r>
      <w:r>
        <w:rPr>
          <w:rFonts w:eastAsia="inter" w:cs="inter" w:ascii="inter" w:hAnsi="inter"/>
          <w:color w:val="000000"/>
        </w:rPr>
        <w:t xml:space="preserve"> (Shampoos, Conditioners, Serums):</w:t>
      </w:r>
    </w:p>
    <w:p>
      <w:pPr>
        <w:numPr>
          <w:ilvl w:val="0"/>
          <w:numId w:val="64"/>
        </w:numPr>
        <w:spacing w:line="360" w:before="105" w:after="105" w:lineRule="auto"/>
      </w:pPr>
      <w:r>
        <w:rPr>
          <w:rFonts w:eastAsia="inter" w:cs="inter" w:ascii="inter" w:hAnsi="inter"/>
          <w:color w:val="000000"/>
          <w:sz w:val="21"/>
        </w:rPr>
        <w:t xml:space="preserve">Estimated XED: -0.3 to -0.5</w:t>
      </w:r>
      <w:bookmarkStart w:id="760" w:name="fnref85_9"/>
      <w:bookmarkEnd w:id="760"/>
      <w:hyperlink w:anchor="fn85">
        <w:r>
          <w:rPr>
            <w:rFonts w:eastAsia="inter" w:cs="inter" w:ascii="inter" w:hAnsi="inter"/>
            <w:color w:val="#000"/>
            <w:sz w:val="21"/>
            <w:u w:val="single"/>
            <w:vertAlign w:val="superscript"/>
          </w:rPr>
          <w:t xml:space="preserve">[85]</w:t>
        </w:r>
      </w:hyperlink>
    </w:p>
    <w:p>
      <w:pPr>
        <w:numPr>
          <w:ilvl w:val="0"/>
          <w:numId w:val="64"/>
        </w:numPr>
        <w:spacing w:line="360" w:before="105" w:after="105" w:lineRule="auto"/>
      </w:pPr>
      <w:r>
        <w:rPr>
          <w:rFonts w:eastAsia="inter" w:cs="inter" w:ascii="inter" w:hAnsi="inter"/>
          <w:color w:val="000000"/>
          <w:sz w:val="21"/>
        </w:rPr>
        <w:t xml:space="preserve">Moderate complementarity—frequent heat styling increases demand for reparative hair care products</w:t>
      </w:r>
      <w:bookmarkStart w:id="761" w:name="fnref85_10"/>
      <w:bookmarkEnd w:id="761"/>
      <w:hyperlink w:anchor="fn85">
        <w:r>
          <w:rPr>
            <w:rFonts w:eastAsia="inter" w:cs="inter" w:ascii="inter" w:hAnsi="inter"/>
            <w:color w:val="#000"/>
            <w:sz w:val="21"/>
            <w:u w:val="single"/>
            <w:vertAlign w:val="superscript"/>
          </w:rPr>
          <w:t xml:space="preserve">[85]</w:t>
        </w:r>
      </w:hyperlink>
    </w:p>
    <w:p>
      <w:pPr>
        <w:spacing w:line="360" w:after="210" w:lineRule="auto"/>
      </w:pPr>
      <w:r>
        <w:rPr>
          <w:rFonts w:eastAsia="inter" w:cs="inter" w:ascii="inter" w:hAnsi="inter"/>
          <w:color w:val="000000"/>
        </w:rPr>
        <w:t xml:space="preserve">Salon brands leverage this relationship through cross-selling: stylists using professional straighteners recommend specific product lines, capturing complementary product revenue.</w:t>
      </w:r>
      <w:bookmarkStart w:id="762" w:name="fnref79_6"/>
      <w:bookmarkEnd w:id="762"/>
      <w:hyperlink w:anchor="fn79">
        <w:r>
          <w:rPr>
            <w:rFonts w:eastAsia="inter" w:cs="inter" w:ascii="inter" w:hAnsi="inter"/>
            <w:color w:val="#000"/>
            <w:u w:val="single"/>
            <w:vertAlign w:val="superscript"/>
          </w:rPr>
          <w:t xml:space="preserve">[79]</w:t>
        </w:r>
      </w:hyperlink>
      <w:bookmarkStart w:id="763" w:name="fnref15_75"/>
      <w:bookmarkEnd w:id="763"/>
      <w:hyperlink w:anchor="fn15">
        <w:r>
          <w:rPr>
            <w:rFonts w:eastAsia="inter" w:cs="inter" w:ascii="inter" w:hAnsi="inter"/>
            <w:color w:val="#000"/>
            <w:u w:val="single"/>
            <w:vertAlign w:val="superscript"/>
          </w:rPr>
          <w:t xml:space="preserve">[15]</w:t>
        </w:r>
      </w:hyperlink>
    </w:p>
    <w:p>
      <w:pPr>
        <w:spacing w:line="360" w:after="210" w:lineRule="auto"/>
      </w:pPr>
      <w:r>
        <w:rPr>
          <w:rFonts w:eastAsia="inter" w:cs="inter" w:ascii="inter" w:hAnsi="inter"/>
          <w:b/>
          <w:color w:val="000000"/>
        </w:rPr>
        <w:t xml:space="preserve">Strategic Implications of Cross-Price Elasticity</w:t>
      </w:r>
    </w:p>
    <w:p>
      <w:pPr>
        <w:spacing w:line="360" w:after="210" w:lineRule="auto"/>
      </w:pPr>
      <w:r>
        <w:rPr>
          <w:rFonts w:eastAsia="inter" w:cs="inter" w:ascii="inter" w:hAnsi="inter"/>
          <w:color w:val="000000"/>
        </w:rPr>
        <w:t xml:space="preserve">Understanding cross-price relationships informs competitive strategy:</w:t>
      </w:r>
    </w:p>
    <w:p>
      <w:pPr>
        <w:spacing w:line="360" w:after="210" w:lineRule="auto"/>
      </w:pPr>
      <w:r>
        <w:rPr>
          <w:rFonts w:eastAsia="inter" w:cs="inter" w:ascii="inter" w:hAnsi="inter"/>
          <w:i/>
          <w:color w:val="000000"/>
        </w:rPr>
        <w:t xml:space="preserve">Competitive pricing</w:t>
      </w:r>
      <w:r>
        <w:rPr>
          <w:rFonts w:eastAsia="inter" w:cs="inter" w:ascii="inter" w:hAnsi="inter"/>
          <w:color w:val="000000"/>
        </w:rPr>
        <w:t xml:space="preserve">: Moderate positive XED with flat irons suggests straightening brush price reductions can steal market share from traditional straighteners. However, limited elasticity magnitude indicates repositioning as distinct product categories (brushes for convenience; flat irons for professional precision) may be more effective than direct price competition.</w:t>
      </w:r>
      <w:bookmarkStart w:id="764" w:name="fnref52_19"/>
      <w:bookmarkEnd w:id="764"/>
      <w:hyperlink w:anchor="fn52">
        <w:r>
          <w:rPr>
            <w:rFonts w:eastAsia="inter" w:cs="inter" w:ascii="inter" w:hAnsi="inter"/>
            <w:color w:val="#000"/>
            <w:u w:val="single"/>
            <w:vertAlign w:val="superscript"/>
          </w:rPr>
          <w:t xml:space="preserve">[52]</w:t>
        </w:r>
      </w:hyperlink>
      <w:bookmarkStart w:id="765" w:name="fnref15_76"/>
      <w:bookmarkEnd w:id="765"/>
      <w:hyperlink w:anchor="fn15">
        <w:r>
          <w:rPr>
            <w:rFonts w:eastAsia="inter" w:cs="inter" w:ascii="inter" w:hAnsi="inter"/>
            <w:color w:val="#000"/>
            <w:u w:val="single"/>
            <w:vertAlign w:val="superscript"/>
          </w:rPr>
          <w:t xml:space="preserve">[15]</w:t>
        </w:r>
      </w:hyperlink>
    </w:p>
    <w:p>
      <w:pPr>
        <w:spacing w:line="360" w:after="210" w:lineRule="auto"/>
      </w:pPr>
      <w:r>
        <w:rPr>
          <w:rFonts w:eastAsia="inter" w:cs="inter" w:ascii="inter" w:hAnsi="inter"/>
          <w:i/>
          <w:color w:val="000000"/>
        </w:rPr>
        <w:t xml:space="preserve">Product bundling</w:t>
      </w:r>
      <w:r>
        <w:rPr>
          <w:rFonts w:eastAsia="inter" w:cs="inter" w:ascii="inter" w:hAnsi="inter"/>
          <w:color w:val="000000"/>
        </w:rPr>
        <w:t xml:space="preserve">: Strong negative XED with heat protectants justifies bundled offerings (straightener + protectant spray) priced below separate purchase sums. This captures complementary product revenues and creates ecosystem lock-in.</w:t>
      </w:r>
      <w:bookmarkStart w:id="766" w:name="fnref15_77"/>
      <w:bookmarkEnd w:id="766"/>
      <w:hyperlink w:anchor="fn15">
        <w:r>
          <w:rPr>
            <w:rFonts w:eastAsia="inter" w:cs="inter" w:ascii="inter" w:hAnsi="inter"/>
            <w:color w:val="#000"/>
            <w:u w:val="single"/>
            <w:vertAlign w:val="superscript"/>
          </w:rPr>
          <w:t xml:space="preserve">[15]</w:t>
        </w:r>
      </w:hyperlink>
    </w:p>
    <w:p>
      <w:pPr>
        <w:spacing w:line="360" w:after="210" w:lineRule="auto"/>
      </w:pPr>
      <w:r>
        <w:rPr>
          <w:rFonts w:eastAsia="inter" w:cs="inter" w:ascii="inter" w:hAnsi="inter"/>
          <w:i/>
          <w:color w:val="000000"/>
        </w:rPr>
        <w:t xml:space="preserve">Portfolio management</w:t>
      </w:r>
      <w:r>
        <w:rPr>
          <w:rFonts w:eastAsia="inter" w:cs="inter" w:ascii="inter" w:hAnsi="inter"/>
          <w:color w:val="000000"/>
        </w:rPr>
        <w:t xml:space="preserve">: Multi-product manufacturers (Philips, Conair offering flat irons, brushes, dryers) must consider portfolio cannibalization. Introducing new straightening brush models cannibalizes flat iron sales by +0.4-0.6 elasticity factor. However, total category share gains may exceed intra-brand cannibalization if new products better match consumer preferences.</w:t>
      </w:r>
      <w:bookmarkStart w:id="767" w:name="fnref3_2"/>
      <w:bookmarkEnd w:id="767"/>
      <w:hyperlink w:anchor="fn3">
        <w:r>
          <w:rPr>
            <w:rFonts w:eastAsia="inter" w:cs="inter" w:ascii="inter" w:hAnsi="inter"/>
            <w:color w:val="#000"/>
            <w:u w:val="single"/>
            <w:vertAlign w:val="superscript"/>
          </w:rPr>
          <w:t xml:space="preserve">[3]</w:t>
        </w:r>
      </w:hyperlink>
      <w:bookmarkStart w:id="768" w:name="fnref15_78"/>
      <w:bookmarkEnd w:id="768"/>
      <w:hyperlink w:anchor="fn15">
        <w:r>
          <w:rPr>
            <w:rFonts w:eastAsia="inter" w:cs="inter" w:ascii="inter" w:hAnsi="inter"/>
            <w:color w:val="#000"/>
            <w:u w:val="single"/>
            <w:vertAlign w:val="superscript"/>
          </w:rPr>
          <w:t xml:space="preserve">[15]</w:t>
        </w:r>
      </w:hyperlink>
    </w:p>
    <w:p>
      <w:pPr>
        <w:spacing w:line="360" w:after="210" w:lineRule="auto"/>
      </w:pPr>
      <w:r>
        <w:rPr>
          <w:rFonts w:eastAsia="inter" w:cs="inter" w:ascii="inter" w:hAnsi="inter"/>
          <w:i/>
          <w:color w:val="000000"/>
        </w:rPr>
        <w:t xml:space="preserve">Market expansion versus share competition</w:t>
      </w:r>
      <w:r>
        <w:rPr>
          <w:rFonts w:eastAsia="inter" w:cs="inter" w:ascii="inter" w:hAnsi="inter"/>
          <w:color w:val="000000"/>
        </w:rPr>
        <w:t xml:space="preserve">: Positive but modest XED suggests markets not yet zero-sum. Total styling appliance category expands as consumers accumulate multiple tools rather than replacing. This "collection building" behavior favors strategies expanding category consumption versus solely fighting for share.</w:t>
      </w:r>
      <w:bookmarkStart w:id="769" w:name="fnref25_27"/>
      <w:bookmarkEnd w:id="769"/>
      <w:hyperlink w:anchor="fn25">
        <w:r>
          <w:rPr>
            <w:rFonts w:eastAsia="inter" w:cs="inter" w:ascii="inter" w:hAnsi="inter"/>
            <w:color w:val="#000"/>
            <w:u w:val="single"/>
            <w:vertAlign w:val="superscript"/>
          </w:rPr>
          <w:t xml:space="preserve">[25]</w:t>
        </w:r>
      </w:hyperlink>
      <w:bookmarkStart w:id="770" w:name="fnref95_1"/>
      <w:bookmarkEnd w:id="770"/>
      <w:hyperlink w:anchor="fn95">
        <w:r>
          <w:rPr>
            <w:rFonts w:eastAsia="inter" w:cs="inter" w:ascii="inter" w:hAnsi="inter"/>
            <w:color w:val="#000"/>
            <w:u w:val="single"/>
            <w:vertAlign w:val="superscript"/>
          </w:rPr>
          <w:t xml:space="preserve">[95]</w:t>
        </w:r>
      </w:hyperlink>
    </w:p>
    <w:p>
      <w:pPr>
        <w:spacing w:line="360" w:before="315" w:after="105" w:lineRule="auto"/>
        <w:ind w:left="-30"/>
        <w:jc w:val="left"/>
      </w:pPr>
      <w:bookmarkStart w:id="771" w:name="price_discrimination_and_dynamic_pricing"/>
      <w:r>
        <w:rPr>
          <w:rFonts w:eastAsia="inter" w:cs="inter" w:ascii="inter" w:hAnsi="inter"/>
          <w:b/>
          <w:color w:val="000000"/>
          <w:sz w:val="24"/>
        </w:rPr>
        <w:t xml:space="preserve">Price Discrimination and Dynamic Pricing</w:t>
      </w:r>
      <w:bookmarkEnd w:id="771"/>
    </w:p>
    <w:p>
      <w:pPr>
        <w:spacing w:line="360" w:after="210" w:lineRule="auto"/>
      </w:pPr>
      <w:r>
        <w:rPr>
          <w:rFonts w:eastAsia="inter" w:cs="inter" w:ascii="inter" w:hAnsi="inter"/>
          <w:color w:val="000000"/>
        </w:rPr>
        <w:t xml:space="preserve">Observed price dispersion for functionally similar hair straightening brushes (ranging from ₹300 to ₹45,000 in India) reflects imperfect competition and opportunities for price discrimination.</w:t>
      </w:r>
      <w:bookmarkStart w:id="772" w:name="fnref15_79"/>
      <w:bookmarkEnd w:id="772"/>
      <w:hyperlink w:anchor="fn15">
        <w:r>
          <w:rPr>
            <w:rFonts w:eastAsia="inter" w:cs="inter" w:ascii="inter" w:hAnsi="inter"/>
            <w:color w:val="#000"/>
            <w:u w:val="single"/>
            <w:vertAlign w:val="superscript"/>
          </w:rPr>
          <w:t xml:space="preserve">[15]</w:t>
        </w:r>
      </w:hyperlink>
      <w:bookmarkStart w:id="773" w:name="fnref52_20"/>
      <w:bookmarkEnd w:id="773"/>
      <w:hyperlink w:anchor="fn52">
        <w:r>
          <w:rPr>
            <w:rFonts w:eastAsia="inter" w:cs="inter" w:ascii="inter" w:hAnsi="inter"/>
            <w:color w:val="#000"/>
            <w:u w:val="single"/>
            <w:vertAlign w:val="superscript"/>
          </w:rPr>
          <w:t xml:space="preserve">[52]</w:t>
        </w:r>
      </w:hyperlink>
    </w:p>
    <w:p>
      <w:pPr>
        <w:spacing w:line="360" w:after="0" w:lineRule="auto"/>
        <w:jc w:val="center"/>
      </w:pPr>
      <w:r>
        <w:rPr>
          <w:rFonts w:eastAsia="inter" w:cs="inter" w:ascii="inter" w:hAnsi="inter"/>
          <w:color w:val="000000"/>
        </w:rPr>
        <w:drawing>
          <wp:inline distB="0" distL="0" distR="0" distT="0">
            <wp:extent cx="952500" cy="952500"/>
            <wp:effectExtent b="0" l="0" r="0" t="0"/>
            <wp:docPr id="3" name="image-not-found.png" descr="The Indian hair straightener market exhibits clear segmentation with premium brands (Dyson, GHD) commanding 10-40x price premiums over budget options through superior technology and brand positioning, while mid-range players (Philips, Vega, Havells) compete on the balance of features and affordability."/>
            <a:graphic>
              <a:graphicData uri="http://schemas.openxmlformats.org/drawingml/2006/picture">
                <pic:pic>
                  <pic:nvPicPr>
                    <pic:cNvPr id="3" name="image-not-found.png" descr="The Indian hair straightener market exhibits clear segmentation with premium brands (Dyson, GHD) commanding 10-40x price premiums over budget options through superior technology and brand positioning, while mid-range players (Philips, Vega, Havells) compete on the balance of features and affordability."/>
                    <pic:cNvPicPr/>
                  </pic:nvPicPr>
                  <pic:blipFill>
                    <a:blip r:embed="rId6" cstate="print"/>
                    <a:srcRect b="0" l="0" r="0" t="0"/>
                    <a:stretch>
                      <a:fillRect/>
                    </a:stretch>
                  </pic:blipFill>
                  <pic:spPr>
                    <a:xfrm>
                      <a:off x="0" y="0"/>
                      <a:ext cx="952500" cy="952500"/>
                    </a:xfrm>
                    <a:prstGeom prst="rect"/>
                  </pic:spPr>
                </pic:pic>
              </a:graphicData>
            </a:graphic>
          </wp:inline>
        </w:drawing>
      </w:r>
    </w:p>
    <w:p>
      <w:pPr>
        <w:spacing w:line="360" w:after="210" w:lineRule="auto"/>
      </w:pPr>
      <w:r>
        <w:rPr>
          <w:rFonts w:eastAsia="inter" w:cs="inter" w:ascii="inter" w:hAnsi="inter"/>
          <w:color w:val="000000"/>
        </w:rPr>
        <w:t xml:space="preserve">The Indian hair straightener market exhibits clear segmentation with premium brands (Dyson, GHD) commanding 10-40x price premiums over budget options through superior technology and brand positioning, while mid-range players (Philips, Vega, Havells) compete on the balance of features and affordability.</w:t>
      </w:r>
    </w:p>
    <w:p>
      <w:pPr>
        <w:spacing w:line="360" w:after="210" w:lineRule="auto"/>
      </w:pPr>
      <w:r>
        <w:rPr>
          <w:rFonts w:eastAsia="inter" w:cs="inter" w:ascii="inter" w:hAnsi="inter"/>
          <w:b/>
          <w:color w:val="000000"/>
        </w:rPr>
        <w:t xml:space="preserve">Third-Degree Price Discrimination</w:t>
      </w:r>
    </w:p>
    <w:p>
      <w:pPr>
        <w:spacing w:line="360" w:after="210" w:lineRule="auto"/>
      </w:pPr>
      <w:r>
        <w:rPr>
          <w:rFonts w:eastAsia="inter" w:cs="inter" w:ascii="inter" w:hAnsi="inter"/>
          <w:color w:val="000000"/>
        </w:rPr>
        <w:t xml:space="preserve">Manufacturers segment markets and charge different prices to distinct consumer groups with varying elasticities:</w:t>
      </w:r>
      <w:bookmarkStart w:id="774" w:name="fnref15_80"/>
      <w:bookmarkEnd w:id="774"/>
      <w:hyperlink w:anchor="fn15">
        <w:r>
          <w:rPr>
            <w:rFonts w:eastAsia="inter" w:cs="inter" w:ascii="inter" w:hAnsi="inter"/>
            <w:color w:val="#000"/>
            <w:u w:val="single"/>
            <w:vertAlign w:val="superscript"/>
          </w:rPr>
          <w:t xml:space="preserve">[15]</w:t>
        </w:r>
      </w:hyperlink>
      <w:bookmarkStart w:id="775" w:name="fnref52_21"/>
      <w:bookmarkEnd w:id="775"/>
      <w:hyperlink w:anchor="fn52">
        <w:r>
          <w:rPr>
            <w:rFonts w:eastAsia="inter" w:cs="inter" w:ascii="inter" w:hAnsi="inter"/>
            <w:color w:val="#000"/>
            <w:u w:val="single"/>
            <w:vertAlign w:val="superscript"/>
          </w:rPr>
          <w:t xml:space="preserve">[52]</w:t>
        </w:r>
      </w:hyperlink>
    </w:p>
    <w:p>
      <w:pPr>
        <w:spacing w:line="360" w:after="210" w:lineRule="auto"/>
      </w:pPr>
      <w:r>
        <w:rPr>
          <w:rFonts w:eastAsia="inter" w:cs="inter" w:ascii="inter" w:hAnsi="inter"/>
          <w:i/>
          <w:color w:val="000000"/>
        </w:rPr>
        <w:t xml:space="preserve">Geographic discrimination</w:t>
      </w:r>
      <w:r>
        <w:rPr>
          <w:rFonts w:eastAsia="inter" w:cs="inter" w:ascii="inter" w:hAnsi="inter"/>
          <w:color w:val="000000"/>
        </w:rPr>
        <w:t xml:space="preserve">: Identical products priced 20-30% higher in India versus China reflects higher Indian import duties and lower competitive intensity. This arbitrage opportunity is limited by parallel imports and e-commerce cross-border purchasing.</w:t>
      </w:r>
      <w:bookmarkStart w:id="776" w:name="fnref6_48"/>
      <w:bookmarkEnd w:id="776"/>
      <w:hyperlink w:anchor="fn6">
        <w:r>
          <w:rPr>
            <w:rFonts w:eastAsia="inter" w:cs="inter" w:ascii="inter" w:hAnsi="inter"/>
            <w:color w:val="#000"/>
            <w:u w:val="single"/>
            <w:vertAlign w:val="superscript"/>
          </w:rPr>
          <w:t xml:space="preserve">[6]</w:t>
        </w:r>
      </w:hyperlink>
      <w:bookmarkStart w:id="777" w:name="fnref58_6"/>
      <w:bookmarkEnd w:id="777"/>
      <w:hyperlink w:anchor="fn58">
        <w:r>
          <w:rPr>
            <w:rFonts w:eastAsia="inter" w:cs="inter" w:ascii="inter" w:hAnsi="inter"/>
            <w:color w:val="#000"/>
            <w:u w:val="single"/>
            <w:vertAlign w:val="superscript"/>
          </w:rPr>
          <w:t xml:space="preserve">[58]</w:t>
        </w:r>
      </w:hyperlink>
      <w:bookmarkStart w:id="778" w:name="fnref15_81"/>
      <w:bookmarkEnd w:id="778"/>
      <w:hyperlink w:anchor="fn15">
        <w:r>
          <w:rPr>
            <w:rFonts w:eastAsia="inter" w:cs="inter" w:ascii="inter" w:hAnsi="inter"/>
            <w:color w:val="#000"/>
            <w:u w:val="single"/>
            <w:vertAlign w:val="superscript"/>
          </w:rPr>
          <w:t xml:space="preserve">[15]</w:t>
        </w:r>
      </w:hyperlink>
    </w:p>
    <w:p>
      <w:pPr>
        <w:spacing w:line="360" w:after="210" w:lineRule="auto"/>
      </w:pPr>
      <w:r>
        <w:rPr>
          <w:rFonts w:eastAsia="inter" w:cs="inter" w:ascii="inter" w:hAnsi="inter"/>
          <w:i/>
          <w:color w:val="000000"/>
        </w:rPr>
        <w:t xml:space="preserve">Temporal discrimination</w:t>
      </w:r>
      <w:r>
        <w:rPr>
          <w:rFonts w:eastAsia="inter" w:cs="inter" w:ascii="inter" w:hAnsi="inter"/>
          <w:color w:val="000000"/>
        </w:rPr>
        <w:t xml:space="preserve">: New product launches at premium prices (₹15,000-20,000) declining 30-40% after 12-18 months as newer models release. This inter-temporal discrimination extracts maximum willingness-to-pay from early adopters (lower elasticity) before expanding to price-sensitive segments.</w:t>
      </w:r>
      <w:bookmarkStart w:id="779" w:name="fnref52_22"/>
      <w:bookmarkEnd w:id="779"/>
      <w:hyperlink w:anchor="fn52">
        <w:r>
          <w:rPr>
            <w:rFonts w:eastAsia="inter" w:cs="inter" w:ascii="inter" w:hAnsi="inter"/>
            <w:color w:val="#000"/>
            <w:u w:val="single"/>
            <w:vertAlign w:val="superscript"/>
          </w:rPr>
          <w:t xml:space="preserve">[52]</w:t>
        </w:r>
      </w:hyperlink>
      <w:bookmarkStart w:id="780" w:name="fnref15_82"/>
      <w:bookmarkEnd w:id="780"/>
      <w:hyperlink w:anchor="fn15">
        <w:r>
          <w:rPr>
            <w:rFonts w:eastAsia="inter" w:cs="inter" w:ascii="inter" w:hAnsi="inter"/>
            <w:color w:val="#000"/>
            <w:u w:val="single"/>
            <w:vertAlign w:val="superscript"/>
          </w:rPr>
          <w:t xml:space="preserve">[15]</w:t>
        </w:r>
      </w:hyperlink>
    </w:p>
    <w:p>
      <w:pPr>
        <w:spacing w:line="360" w:after="210" w:lineRule="auto"/>
      </w:pPr>
      <w:r>
        <w:rPr>
          <w:rFonts w:eastAsia="inter" w:cs="inter" w:ascii="inter" w:hAnsi="inter"/>
          <w:i/>
          <w:color w:val="000000"/>
        </w:rPr>
        <w:t xml:space="preserve">Channel-based discrimination</w:t>
      </w:r>
      <w:r>
        <w:rPr>
          <w:rFonts w:eastAsia="inter" w:cs="inter" w:ascii="inter" w:hAnsi="inter"/>
          <w:color w:val="000000"/>
        </w:rPr>
        <w:t xml:space="preserve">: Professional salon versions priced 25-35% above functionally identical consumer models. Salons exhibit lower price elasticity due to:</w:t>
      </w:r>
      <w:bookmarkStart w:id="781" w:name="fnref79_7"/>
      <w:bookmarkEnd w:id="781"/>
      <w:hyperlink w:anchor="fn79">
        <w:r>
          <w:rPr>
            <w:rFonts w:eastAsia="inter" w:cs="inter" w:ascii="inter" w:hAnsi="inter"/>
            <w:color w:val="#000"/>
            <w:u w:val="single"/>
            <w:vertAlign w:val="superscript"/>
          </w:rPr>
          <w:t xml:space="preserve">[79]</w:t>
        </w:r>
      </w:hyperlink>
      <w:bookmarkStart w:id="782" w:name="fnref15_83"/>
      <w:bookmarkEnd w:id="782"/>
      <w:hyperlink w:anchor="fn15">
        <w:r>
          <w:rPr>
            <w:rFonts w:eastAsia="inter" w:cs="inter" w:ascii="inter" w:hAnsi="inter"/>
            <w:color w:val="#000"/>
            <w:u w:val="single"/>
            <w:vertAlign w:val="superscript"/>
          </w:rPr>
          <w:t xml:space="preserve">[15]</w:t>
        </w:r>
      </w:hyperlink>
    </w:p>
    <w:p>
      <w:pPr>
        <w:numPr>
          <w:ilvl w:val="0"/>
          <w:numId w:val="65"/>
        </w:numPr>
        <w:spacing w:line="360" w:before="105" w:after="105" w:lineRule="auto"/>
      </w:pPr>
      <w:r>
        <w:rPr>
          <w:rFonts w:eastAsia="inter" w:cs="inter" w:ascii="inter" w:hAnsi="inter"/>
          <w:color w:val="000000"/>
          <w:sz w:val="21"/>
        </w:rPr>
        <w:t xml:space="preserve">Ability to pass costs to clients in service prices</w:t>
      </w:r>
      <w:bookmarkStart w:id="783" w:name="fnref79_8"/>
      <w:bookmarkEnd w:id="783"/>
      <w:hyperlink w:anchor="fn79">
        <w:r>
          <w:rPr>
            <w:rFonts w:eastAsia="inter" w:cs="inter" w:ascii="inter" w:hAnsi="inter"/>
            <w:color w:val="#000"/>
            <w:sz w:val="21"/>
            <w:u w:val="single"/>
            <w:vertAlign w:val="superscript"/>
          </w:rPr>
          <w:t xml:space="preserve">[79]</w:t>
        </w:r>
      </w:hyperlink>
    </w:p>
    <w:p>
      <w:pPr>
        <w:numPr>
          <w:ilvl w:val="0"/>
          <w:numId w:val="65"/>
        </w:numPr>
        <w:spacing w:line="360" w:before="105" w:after="105" w:lineRule="auto"/>
      </w:pPr>
      <w:r>
        <w:rPr>
          <w:rFonts w:eastAsia="inter" w:cs="inter" w:ascii="inter" w:hAnsi="inter"/>
          <w:color w:val="000000"/>
          <w:sz w:val="21"/>
        </w:rPr>
        <w:t xml:space="preserve">Tax deductibility of business equipment purchases</w:t>
      </w:r>
      <w:bookmarkStart w:id="784" w:name="fnref79_9"/>
      <w:bookmarkEnd w:id="784"/>
      <w:hyperlink w:anchor="fn79">
        <w:r>
          <w:rPr>
            <w:rFonts w:eastAsia="inter" w:cs="inter" w:ascii="inter" w:hAnsi="inter"/>
            <w:color w:val="#000"/>
            <w:sz w:val="21"/>
            <w:u w:val="single"/>
            <w:vertAlign w:val="superscript"/>
          </w:rPr>
          <w:t xml:space="preserve">[79]</w:t>
        </w:r>
      </w:hyperlink>
    </w:p>
    <w:p>
      <w:pPr>
        <w:numPr>
          <w:ilvl w:val="0"/>
          <w:numId w:val="65"/>
        </w:numPr>
        <w:spacing w:line="360" w:before="105" w:after="105" w:lineRule="auto"/>
      </w:pPr>
      <w:r>
        <w:rPr>
          <w:rFonts w:eastAsia="inter" w:cs="inter" w:ascii="inter" w:hAnsi="inter"/>
          <w:color w:val="000000"/>
          <w:sz w:val="21"/>
        </w:rPr>
        <w:t xml:space="preserve">Preference for "professional" branding signaling quality to clients</w:t>
      </w:r>
      <w:bookmarkStart w:id="785" w:name="fnref79_10"/>
      <w:bookmarkEnd w:id="785"/>
      <w:hyperlink w:anchor="fn79">
        <w:r>
          <w:rPr>
            <w:rFonts w:eastAsia="inter" w:cs="inter" w:ascii="inter" w:hAnsi="inter"/>
            <w:color w:val="#000"/>
            <w:sz w:val="21"/>
            <w:u w:val="single"/>
            <w:vertAlign w:val="superscript"/>
          </w:rPr>
          <w:t xml:space="preserve">[79]</w:t>
        </w:r>
      </w:hyperlink>
    </w:p>
    <w:p>
      <w:pPr>
        <w:spacing w:line="360" w:after="210" w:lineRule="auto"/>
      </w:pPr>
      <w:r>
        <w:rPr>
          <w:rFonts w:eastAsia="inter" w:cs="inter" w:ascii="inter" w:hAnsi="inter"/>
          <w:b/>
          <w:color w:val="000000"/>
        </w:rPr>
        <w:t xml:space="preserve">Versioning and Quality-Price Menus</w:t>
      </w:r>
    </w:p>
    <w:p>
      <w:pPr>
        <w:spacing w:line="360" w:after="210" w:lineRule="auto"/>
      </w:pPr>
      <w:r>
        <w:rPr>
          <w:rFonts w:eastAsia="inter" w:cs="inter" w:ascii="inter" w:hAnsi="inter"/>
          <w:color w:val="000000"/>
        </w:rPr>
        <w:t xml:space="preserve">Manufacturers offer tiered product lines enabling self-selection:</w:t>
      </w:r>
      <w:bookmarkStart w:id="786" w:name="fnref15_84"/>
      <w:bookmarkEnd w:id="786"/>
      <w:hyperlink w:anchor="fn15">
        <w:r>
          <w:rPr>
            <w:rFonts w:eastAsia="inter" w:cs="inter" w:ascii="inter" w:hAnsi="inter"/>
            <w:color w:val="#000"/>
            <w:u w:val="single"/>
            <w:vertAlign w:val="superscript"/>
          </w:rPr>
          <w:t xml:space="preserve">[15]</w:t>
        </w:r>
      </w:hyperlink>
      <w:bookmarkStart w:id="787" w:name="fnref52_23"/>
      <w:bookmarkEnd w:id="787"/>
      <w:hyperlink w:anchor="fn52">
        <w:r>
          <w:rPr>
            <w:rFonts w:eastAsia="inter" w:cs="inter" w:ascii="inter" w:hAnsi="inter"/>
            <w:color w:val="#000"/>
            <w:u w:val="single"/>
            <w:vertAlign w:val="superscript"/>
          </w:rPr>
          <w:t xml:space="preserve">[52]</w:t>
        </w:r>
      </w:hyperlink>
    </w:p>
    <w:tbl>
      <w:tblPr>
        <w:tblStyle w:val="TableGrid"/>
        <w:jc w:val="center"/>
        <w:tblCellSpacing w:w="0" w:type="dxa"/>
        <w:tblBorders>
          <w:top w:val="single" w:sz="2" w:space="0" w:color="000000"/>
          <w:left w:val="single" w:sz="2" w:space="0" w:color="000000"/>
          <w:bottom w:val="single" w:sz="2" w:space="0" w:color="000000"/>
          <w:right w:val="single" w:sz="2" w:space="0" w:color="000000"/>
        </w:tblBorders>
        <w:tblCellMar>
          <w:top w:type="dxa" w:w="80"/>
          <w:left w:type="dxa" w:w="160"/>
          <w:bottom w:type="dxa" w:w="80"/>
          <w:right w:type="dxa" w:w="160"/>
        </w:tblCellMar>
      </w:tblPr>
      <w:tblGrid>
        <w:gridCol w:w="2378"/>
        <w:gridCol w:w="2378"/>
        <w:gridCol w:w="2378"/>
        <w:gridCol w:w="2378"/>
      </w:tblGrid>
      <w:tr>
        <w:trPr>
          <w:cantSplit/>
        </w:trPr>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Tier</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Price Range (India)</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Target PED</w:t>
            </w:r>
          </w:p>
        </w:tc>
        <w:tc>
          <w:tcPr>
            <w:tcBorders>
              <w:top w:val="single" w:sz="1" w:space="0" w:color="000000"/>
              <w:bottom w:val="single" w:sz="1" w:space="0" w:color="000000"/>
            </w:tcBorders>
          </w:tcPr>
          <w:p>
            <w:pPr>
              <w:spacing w:line="360" w:lineRule="auto"/>
            </w:pPr>
            <w:r>
              <w:rPr>
                <w:rFonts w:eastAsia="inter" w:cs="inter" w:ascii="inter" w:hAnsi="inter"/>
                <w:color w:val="000000"/>
                <w:sz w:val="17"/>
              </w:rPr>
              <w:t xml:space="preserve">Features</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Budget</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₹300-1,200</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-2.0 to -2.5</w:t>
            </w:r>
          </w:p>
        </w:tc>
        <w:tc>
          <w:tcPr>
            <w:tcBorders>
              <w:top w:val="single" w:sz="1" w:space="0" w:color="000000"/>
              <w:bottom w:val="single" w:sz="1" w:space="0" w:color="000000"/>
            </w:tcBorders>
          </w:tcPr>
          <w:p>
            <w:pPr>
              <w:spacing w:line="360" w:lineRule="auto"/>
            </w:pPr>
            <w:r>
              <w:rPr>
                <w:rFonts w:eastAsia="inter" w:cs="inter" w:ascii="inter" w:hAnsi="inter"/>
                <w:color w:val="000000"/>
                <w:sz w:val="17"/>
              </w:rPr>
              <w:t xml:space="preserve">Basic aluminum plates, fixed temp</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Mid-Range</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₹1,500-4,000</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-1.0 to -1.4</w:t>
            </w:r>
          </w:p>
        </w:tc>
        <w:tc>
          <w:tcPr>
            <w:tcBorders>
              <w:top w:val="single" w:sz="1" w:space="0" w:color="000000"/>
              <w:bottom w:val="single" w:sz="1" w:space="0" w:color="000000"/>
            </w:tcBorders>
          </w:tcPr>
          <w:p>
            <w:pPr>
              <w:spacing w:line="360" w:lineRule="auto"/>
            </w:pPr>
            <w:r>
              <w:rPr>
                <w:rFonts w:eastAsia="inter" w:cs="inter" w:ascii="inter" w:hAnsi="inter"/>
                <w:color w:val="000000"/>
                <w:sz w:val="17"/>
              </w:rPr>
              <w:t xml:space="preserve">Ceramic plates, 2-3 temp settings, ionic</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Premium</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₹8,000-20,000</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-0.5 to -0.8</w:t>
            </w:r>
          </w:p>
        </w:tc>
        <w:tc>
          <w:tcPr>
            <w:tcBorders>
              <w:top w:val="single" w:sz="1" w:space="0" w:color="000000"/>
              <w:bottom w:val="single" w:sz="1" w:space="0" w:color="000000"/>
            </w:tcBorders>
          </w:tcPr>
          <w:p>
            <w:pPr>
              <w:spacing w:line="360" w:lineRule="auto"/>
            </w:pPr>
            <w:r>
              <w:rPr>
                <w:rFonts w:eastAsia="inter" w:cs="inter" w:ascii="inter" w:hAnsi="inter"/>
                <w:color w:val="000000"/>
                <w:sz w:val="17"/>
              </w:rPr>
              <w:t xml:space="preserve">Titanium plates, digital control, rapid heat</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Super-Premium</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₹20,000-45,000</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-0.3 to -0.5</w:t>
            </w:r>
          </w:p>
        </w:tc>
        <w:tc>
          <w:tcPr>
            <w:tcBorders>
              <w:top w:val="single" w:sz="1" w:space="0" w:color="000000"/>
              <w:bottom w:val="single" w:sz="1" w:space="0" w:color="000000"/>
            </w:tcBorders>
          </w:tcPr>
          <w:p>
            <w:pPr>
              <w:spacing w:line="360" w:lineRule="auto"/>
            </w:pPr>
            <w:r>
              <w:rPr>
                <w:rFonts w:eastAsia="inter" w:cs="inter" w:ascii="inter" w:hAnsi="inter"/>
                <w:color w:val="000000"/>
                <w:sz w:val="17"/>
              </w:rPr>
              <w:t xml:space="preserve">Advanced tech (Dyson air), smart features</w:t>
            </w:r>
          </w:p>
        </w:tc>
      </w:tr>
    </w:tbl>
    <w:p>
      <w:pPr>
        <w:spacing w:lineRule="auto"/>
      </w:pPr>
    </w:p>
    <w:p>
      <w:pPr>
        <w:spacing w:line="360" w:after="210" w:lineRule="auto"/>
      </w:pPr>
      <w:r>
        <w:rPr>
          <w:rFonts w:eastAsia="inter" w:cs="inter" w:ascii="inter" w:hAnsi="inter"/>
          <w:color w:val="000000"/>
        </w:rPr>
        <w:t xml:space="preserve">This menu enables extracting consumer surplus from each segment: high-elasticity consumers select budget options (still profitable at volume); low-elasticity consumers pay premiums for superior features, capturing their higher willingness-to-pay.</w:t>
      </w:r>
      <w:bookmarkStart w:id="788" w:name="fnref52_24"/>
      <w:bookmarkEnd w:id="788"/>
      <w:hyperlink w:anchor="fn52">
        <w:r>
          <w:rPr>
            <w:rFonts w:eastAsia="inter" w:cs="inter" w:ascii="inter" w:hAnsi="inter"/>
            <w:color w:val="#000"/>
            <w:u w:val="single"/>
            <w:vertAlign w:val="superscript"/>
          </w:rPr>
          <w:t xml:space="preserve">[52]</w:t>
        </w:r>
      </w:hyperlink>
      <w:bookmarkStart w:id="789" w:name="fnref15_85"/>
      <w:bookmarkEnd w:id="789"/>
      <w:hyperlink w:anchor="fn15">
        <w:r>
          <w:rPr>
            <w:rFonts w:eastAsia="inter" w:cs="inter" w:ascii="inter" w:hAnsi="inter"/>
            <w:color w:val="#000"/>
            <w:u w:val="single"/>
            <w:vertAlign w:val="superscript"/>
          </w:rPr>
          <w:t xml:space="preserve">[15]</w:t>
        </w:r>
      </w:hyperlink>
    </w:p>
    <w:p>
      <w:pPr>
        <w:spacing w:line="360" w:after="210" w:lineRule="auto"/>
      </w:pPr>
      <w:r>
        <w:rPr>
          <w:rFonts w:eastAsia="inter" w:cs="inter" w:ascii="inter" w:hAnsi="inter"/>
          <w:b/>
          <w:color w:val="000000"/>
        </w:rPr>
        <w:t xml:space="preserve">Dynamic Pricing in E-Commerce</w:t>
      </w:r>
    </w:p>
    <w:p>
      <w:pPr>
        <w:spacing w:line="360" w:after="210" w:lineRule="auto"/>
      </w:pPr>
      <w:r>
        <w:rPr>
          <w:rFonts w:eastAsia="inter" w:cs="inter" w:ascii="inter" w:hAnsi="inter"/>
          <w:color w:val="000000"/>
        </w:rPr>
        <w:t xml:space="preserve">Online platforms employ algorithmic pricing adjusting to demand signals:</w:t>
      </w:r>
    </w:p>
    <w:p>
      <w:pPr>
        <w:numPr>
          <w:ilvl w:val="0"/>
          <w:numId w:val="66"/>
        </w:numPr>
        <w:spacing w:line="360" w:before="105" w:after="105" w:lineRule="auto"/>
      </w:pPr>
      <w:r>
        <w:rPr>
          <w:rFonts w:eastAsia="inter" w:cs="inter" w:ascii="inter" w:hAnsi="inter"/>
          <w:color w:val="000000"/>
          <w:sz w:val="21"/>
        </w:rPr>
        <w:t xml:space="preserve">Surge pricing during high-demand periods (festival seasons, wedding months)</w:t>
      </w:r>
      <w:bookmarkStart w:id="790" w:name="fnref15_86"/>
      <w:bookmarkEnd w:id="790"/>
      <w:hyperlink w:anchor="fn15">
        <w:r>
          <w:rPr>
            <w:rFonts w:eastAsia="inter" w:cs="inter" w:ascii="inter" w:hAnsi="inter"/>
            <w:color w:val="#000"/>
            <w:sz w:val="21"/>
            <w:u w:val="single"/>
            <w:vertAlign w:val="superscript"/>
          </w:rPr>
          <w:t xml:space="preserve">[15]</w:t>
        </w:r>
      </w:hyperlink>
    </w:p>
    <w:p>
      <w:pPr>
        <w:numPr>
          <w:ilvl w:val="0"/>
          <w:numId w:val="66"/>
        </w:numPr>
        <w:spacing w:line="360" w:before="105" w:after="105" w:lineRule="auto"/>
      </w:pPr>
      <w:r>
        <w:rPr>
          <w:rFonts w:eastAsia="inter" w:cs="inter" w:ascii="inter" w:hAnsi="inter"/>
          <w:color w:val="000000"/>
          <w:sz w:val="21"/>
        </w:rPr>
        <w:t xml:space="preserve">Personalized pricing based on browsing history and location (more aggressive in emerging markets)</w:t>
      </w:r>
      <w:bookmarkStart w:id="791" w:name="fnref15_87"/>
      <w:bookmarkEnd w:id="791"/>
      <w:hyperlink w:anchor="fn15">
        <w:r>
          <w:rPr>
            <w:rFonts w:eastAsia="inter" w:cs="inter" w:ascii="inter" w:hAnsi="inter"/>
            <w:color w:val="#000"/>
            <w:sz w:val="21"/>
            <w:u w:val="single"/>
            <w:vertAlign w:val="superscript"/>
          </w:rPr>
          <w:t xml:space="preserve">[15]</w:t>
        </w:r>
      </w:hyperlink>
    </w:p>
    <w:p>
      <w:pPr>
        <w:numPr>
          <w:ilvl w:val="0"/>
          <w:numId w:val="66"/>
        </w:numPr>
        <w:spacing w:line="360" w:before="105" w:after="105" w:lineRule="auto"/>
      </w:pPr>
      <w:r>
        <w:rPr>
          <w:rFonts w:eastAsia="inter" w:cs="inter" w:ascii="inter" w:hAnsi="inter"/>
          <w:color w:val="000000"/>
          <w:sz w:val="21"/>
        </w:rPr>
        <w:t xml:space="preserve">Promotional cycles targeting price-sensitive consumers while preserving full-price sales to inelastic segments</w:t>
      </w:r>
      <w:bookmarkStart w:id="792" w:name="fnref15_88"/>
      <w:bookmarkEnd w:id="792"/>
      <w:hyperlink w:anchor="fn15">
        <w:r>
          <w:rPr>
            <w:rFonts w:eastAsia="inter" w:cs="inter" w:ascii="inter" w:hAnsi="inter"/>
            <w:color w:val="#000"/>
            <w:sz w:val="21"/>
            <w:u w:val="single"/>
            <w:vertAlign w:val="superscript"/>
          </w:rPr>
          <w:t xml:space="preserve">[15]</w:t>
        </w:r>
      </w:hyperlink>
    </w:p>
    <w:p>
      <w:pPr>
        <w:spacing w:line="360" w:after="210" w:lineRule="auto"/>
      </w:pPr>
      <w:r>
        <w:rPr>
          <w:rFonts w:eastAsia="inter" w:cs="inter" w:ascii="inter" w:hAnsi="inter"/>
          <w:color w:val="000000"/>
        </w:rPr>
        <w:t xml:space="preserve">These practices approach perfect price discrimination ideals, extracting maximum revenue from heterogeneous consumer populations. However, transparency and competitive pressure limit discrimination extent—excessive price dispersion triggers consumer search and arbitrage.</w:t>
      </w:r>
      <w:bookmarkStart w:id="793" w:name="fnref15_89"/>
      <w:bookmarkEnd w:id="793"/>
      <w:hyperlink w:anchor="fn15">
        <w:r>
          <w:rPr>
            <w:rFonts w:eastAsia="inter" w:cs="inter" w:ascii="inter" w:hAnsi="inter"/>
            <w:color w:val="#000"/>
            <w:u w:val="single"/>
            <w:vertAlign w:val="superscript"/>
          </w:rPr>
          <w:t xml:space="preserve">[15]</w:t>
        </w:r>
      </w:hyperlink>
    </w:p>
    <w:p>
      <w:pPr>
        <w:spacing w:line="360" w:after="210" w:lineRule="auto"/>
      </w:pPr>
      <w:r>
        <w:rPr>
          <w:rFonts w:eastAsia="inter" w:cs="inter" w:ascii="inter" w:hAnsi="inter"/>
          <w:color w:val="000000"/>
        </w:rPr>
        <w:t xml:space="preserve">The elasticity analysis demonstrates that hair straightening brush demand responsiveness to price, income, and cross-product prices varies substantially across market segments and product tiers. Understanding these elasticities enables manufacturers to optimize pricing, product positioning, and marketing strategies to maximize revenues and profits given heterogeneous consumer preferences and willingness-to-pay.</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794" w:name="market_structure_pricing_strategies"/>
      <w:r>
        <w:rPr>
          <w:rFonts w:eastAsia="inter" w:cs="inter" w:ascii="inter" w:hAnsi="inter"/>
          <w:b/>
          <w:color w:val="000000"/>
          <w:sz w:val="24"/>
        </w:rPr>
        <w:t xml:space="preserve">MARKET STRUCTURE &amp; PRICING STRATEGIES</w:t>
      </w:r>
      <w:bookmarkEnd w:id="794"/>
    </w:p>
    <w:p>
      <w:pPr>
        <w:spacing w:line="360" w:before="315" w:after="105" w:lineRule="auto"/>
        <w:ind w:left="-30"/>
        <w:jc w:val="left"/>
      </w:pPr>
      <w:bookmarkStart w:id="795" w:name="competitive_landscape_market_stru_a45f25"/>
      <w:r>
        <w:rPr>
          <w:rFonts w:eastAsia="inter" w:cs="inter" w:ascii="inter" w:hAnsi="inter"/>
          <w:b/>
          <w:color w:val="000000"/>
          <w:sz w:val="24"/>
        </w:rPr>
        <w:t xml:space="preserve">Competitive Landscape: Market Structure Analysis</w:t>
      </w:r>
      <w:bookmarkEnd w:id="795"/>
    </w:p>
    <w:p>
      <w:pPr>
        <w:spacing w:line="360" w:after="210" w:lineRule="auto"/>
      </w:pPr>
      <w:r>
        <w:rPr>
          <w:rFonts w:eastAsia="inter" w:cs="inter" w:ascii="inter" w:hAnsi="inter"/>
          <w:color w:val="000000"/>
        </w:rPr>
        <w:t xml:space="preserve">The global hair straightening brush market exhibits characteristics of monopolistic competition with oligopolistic tendencies in premium segments. This section applies industrial organization frameworks to analyze market structure and competitive dynamics.</w:t>
      </w:r>
      <w:bookmarkStart w:id="796" w:name="fnref29_8"/>
      <w:bookmarkEnd w:id="796"/>
      <w:hyperlink w:anchor="fn29">
        <w:r>
          <w:rPr>
            <w:rFonts w:eastAsia="inter" w:cs="inter" w:ascii="inter" w:hAnsi="inter"/>
            <w:color w:val="#000"/>
            <w:u w:val="single"/>
            <w:vertAlign w:val="superscript"/>
          </w:rPr>
          <w:t xml:space="preserve">[29]</w:t>
        </w:r>
      </w:hyperlink>
      <w:bookmarkStart w:id="797" w:name="fnref30_4"/>
      <w:bookmarkEnd w:id="797"/>
      <w:hyperlink w:anchor="fn30">
        <w:r>
          <w:rPr>
            <w:rFonts w:eastAsia="inter" w:cs="inter" w:ascii="inter" w:hAnsi="inter"/>
            <w:color w:val="#000"/>
            <w:u w:val="single"/>
            <w:vertAlign w:val="superscript"/>
          </w:rPr>
          <w:t xml:space="preserve">[30]</w:t>
        </w:r>
      </w:hyperlink>
      <w:bookmarkStart w:id="798" w:name="fnref49_2"/>
      <w:bookmarkEnd w:id="798"/>
      <w:hyperlink w:anchor="fn49">
        <w:r>
          <w:rPr>
            <w:rFonts w:eastAsia="inter" w:cs="inter" w:ascii="inter" w:hAnsi="inter"/>
            <w:color w:val="#000"/>
            <w:u w:val="single"/>
            <w:vertAlign w:val="superscript"/>
          </w:rPr>
          <w:t xml:space="preserve">[49]</w:t>
        </w:r>
      </w:hyperlink>
    </w:p>
    <w:p>
      <w:pPr>
        <w:spacing w:line="360" w:after="210" w:lineRule="auto"/>
      </w:pPr>
      <w:r>
        <w:rPr>
          <w:rFonts w:eastAsia="inter" w:cs="inter" w:ascii="inter" w:hAnsi="inter"/>
          <w:b/>
          <w:color w:val="000000"/>
        </w:rPr>
        <w:t xml:space="preserve">Market Concentration Metrics</w:t>
      </w:r>
    </w:p>
    <w:p>
      <w:pPr>
        <w:spacing w:line="360" w:after="210" w:lineRule="auto"/>
      </w:pPr>
      <w:r>
        <w:rPr>
          <w:rFonts w:eastAsia="inter" w:cs="inter" w:ascii="inter" w:hAnsi="inter"/>
          <w:color w:val="000000"/>
        </w:rPr>
        <w:t xml:space="preserve">Industry concentration can be quantified using standard measures:</w:t>
      </w:r>
    </w:p>
    <w:p>
      <w:pPr>
        <w:spacing w:line="360" w:after="210" w:lineRule="auto"/>
      </w:pPr>
      <w:r>
        <w:rPr>
          <w:rFonts w:eastAsia="inter" w:cs="inter" w:ascii="inter" w:hAnsi="inter"/>
          <w:i/>
          <w:color w:val="000000"/>
        </w:rPr>
        <w:t xml:space="preserve">Herfindahl-Hirschman Index (HHI)</w:t>
      </w:r>
      <w:r>
        <w:rPr>
          <w:rFonts w:eastAsia="inter" w:cs="inter" w:ascii="inter" w:hAnsi="inter"/>
          <w:color w:val="000000"/>
        </w:rPr>
        <w:t xml:space="preserve">: Sum of squared market shares</w:t>
      </w:r>
      <w:bookmarkStart w:id="799" w:name="fnref30_5"/>
      <w:bookmarkEnd w:id="799"/>
      <w:hyperlink w:anchor="fn30">
        <w:r>
          <w:rPr>
            <w:rFonts w:eastAsia="inter" w:cs="inter" w:ascii="inter" w:hAnsi="inter"/>
            <w:color w:val="#000"/>
            <w:u w:val="single"/>
            <w:vertAlign w:val="superscript"/>
          </w:rPr>
          <w:t xml:space="preserve">[30]</w:t>
        </w:r>
      </w:hyperlink>
    </w:p>
    <w:p>
      <w:pPr>
        <w:spacing w:line="360" w:after="210" w:lineRule="auto"/>
      </w:pPr>
      <w:r>
        <w:rPr>
          <w:rFonts w:eastAsia="inter" w:cs="inter" w:ascii="inter" w:hAnsi="inter"/>
          <w:b/>
          <w:color w:val="000000"/>
        </w:rPr>
        <w:t xml:space="preserve">HHI = Σ(sᵢ)²</w:t>
      </w:r>
    </w:p>
    <w:p>
      <w:pPr>
        <w:spacing w:line="360" w:after="210" w:lineRule="auto"/>
      </w:pPr>
      <w:r>
        <w:rPr>
          <w:rFonts w:eastAsia="inter" w:cs="inter" w:ascii="inter" w:hAnsi="inter"/>
          <w:color w:val="000000"/>
        </w:rPr>
        <w:t xml:space="preserve">Where sᵢ represents firm i's market share percentage.</w:t>
      </w:r>
    </w:p>
    <w:p>
      <w:pPr>
        <w:spacing w:line="360" w:after="210" w:lineRule="auto"/>
      </w:pPr>
      <w:r>
        <w:rPr>
          <w:rFonts w:eastAsia="inter" w:cs="inter" w:ascii="inter" w:hAnsi="inter"/>
          <w:color w:val="000000"/>
        </w:rPr>
        <w:t xml:space="preserve">For the global market, estimated HHI ≈ 800-1,000 (moderately concentrated):</w:t>
      </w:r>
      <w:bookmarkStart w:id="800" w:name="fnref29_9"/>
      <w:bookmarkEnd w:id="800"/>
      <w:hyperlink w:anchor="fn29">
        <w:r>
          <w:rPr>
            <w:rFonts w:eastAsia="inter" w:cs="inter" w:ascii="inter" w:hAnsi="inter"/>
            <w:color w:val="#000"/>
            <w:u w:val="single"/>
            <w:vertAlign w:val="superscript"/>
          </w:rPr>
          <w:t xml:space="preserve">[29]</w:t>
        </w:r>
      </w:hyperlink>
      <w:bookmarkStart w:id="801" w:name="fnref30_6"/>
      <w:bookmarkEnd w:id="801"/>
      <w:hyperlink w:anchor="fn30">
        <w:r>
          <w:rPr>
            <w:rFonts w:eastAsia="inter" w:cs="inter" w:ascii="inter" w:hAnsi="inter"/>
            <w:color w:val="#000"/>
            <w:u w:val="single"/>
            <w:vertAlign w:val="superscript"/>
          </w:rPr>
          <w:t xml:space="preserve">[30]</w:t>
        </w:r>
      </w:hyperlink>
    </w:p>
    <w:p>
      <w:pPr>
        <w:numPr>
          <w:ilvl w:val="0"/>
          <w:numId w:val="67"/>
        </w:numPr>
        <w:spacing w:line="360" w:before="105" w:after="105" w:lineRule="auto"/>
      </w:pPr>
      <w:r>
        <w:rPr>
          <w:rFonts w:eastAsia="inter" w:cs="inter" w:ascii="inter" w:hAnsi="inter"/>
          <w:color w:val="000000"/>
          <w:sz w:val="21"/>
        </w:rPr>
        <w:t xml:space="preserve">Top-5 firms: ~42% combined share</w:t>
      </w:r>
      <w:bookmarkStart w:id="802" w:name="fnref29_10"/>
      <w:bookmarkEnd w:id="802"/>
      <w:hyperlink w:anchor="fn29">
        <w:r>
          <w:rPr>
            <w:rFonts w:eastAsia="inter" w:cs="inter" w:ascii="inter" w:hAnsi="inter"/>
            <w:color w:val="#000"/>
            <w:sz w:val="21"/>
            <w:u w:val="single"/>
            <w:vertAlign w:val="superscript"/>
          </w:rPr>
          <w:t xml:space="preserve">[29]</w:t>
        </w:r>
      </w:hyperlink>
    </w:p>
    <w:p>
      <w:pPr>
        <w:numPr>
          <w:ilvl w:val="0"/>
          <w:numId w:val="67"/>
        </w:numPr>
        <w:spacing w:line="360" w:before="105" w:after="105" w:lineRule="auto"/>
      </w:pPr>
      <w:r>
        <w:rPr>
          <w:rFonts w:eastAsia="inter" w:cs="inter" w:ascii="inter" w:hAnsi="inter"/>
          <w:color w:val="000000"/>
          <w:sz w:val="21"/>
        </w:rPr>
        <w:t xml:space="preserve">Top-10 firms: ~58% combined share</w:t>
      </w:r>
      <w:bookmarkStart w:id="803" w:name="fnref30_7"/>
      <w:bookmarkEnd w:id="803"/>
      <w:hyperlink w:anchor="fn30">
        <w:r>
          <w:rPr>
            <w:rFonts w:eastAsia="inter" w:cs="inter" w:ascii="inter" w:hAnsi="inter"/>
            <w:color w:val="#000"/>
            <w:sz w:val="21"/>
            <w:u w:val="single"/>
            <w:vertAlign w:val="superscript"/>
          </w:rPr>
          <w:t xml:space="preserve">[30]</w:t>
        </w:r>
      </w:hyperlink>
    </w:p>
    <w:p>
      <w:pPr>
        <w:numPr>
          <w:ilvl w:val="0"/>
          <w:numId w:val="67"/>
        </w:numPr>
        <w:spacing w:line="360" w:before="105" w:after="105" w:lineRule="auto"/>
      </w:pPr>
      <w:r>
        <w:rPr>
          <w:rFonts w:eastAsia="inter" w:cs="inter" w:ascii="inter" w:hAnsi="inter"/>
          <w:color w:val="000000"/>
          <w:sz w:val="21"/>
        </w:rPr>
        <w:t xml:space="preserve">Remaining 40%+ shared among 100+ smaller brands</w:t>
      </w:r>
      <w:bookmarkStart w:id="804" w:name="fnref29_11"/>
      <w:bookmarkEnd w:id="804"/>
      <w:hyperlink w:anchor="fn29">
        <w:r>
          <w:rPr>
            <w:rFonts w:eastAsia="inter" w:cs="inter" w:ascii="inter" w:hAnsi="inter"/>
            <w:color w:val="#000"/>
            <w:sz w:val="21"/>
            <w:u w:val="single"/>
            <w:vertAlign w:val="superscript"/>
          </w:rPr>
          <w:t xml:space="preserve">[29]</w:t>
        </w:r>
      </w:hyperlink>
    </w:p>
    <w:p>
      <w:pPr>
        <w:spacing w:line="360" w:after="210" w:lineRule="auto"/>
      </w:pPr>
      <w:r>
        <w:rPr>
          <w:rFonts w:eastAsia="inter" w:cs="inter" w:ascii="inter" w:hAnsi="inter"/>
          <w:color w:val="000000"/>
        </w:rPr>
        <w:t xml:space="preserve">Under DOJ/FTC merger guidelines:</w:t>
      </w:r>
    </w:p>
    <w:p>
      <w:pPr>
        <w:numPr>
          <w:ilvl w:val="0"/>
          <w:numId w:val="68"/>
        </w:numPr>
        <w:spacing w:line="360" w:before="105" w:after="105" w:lineRule="auto"/>
      </w:pPr>
      <w:r>
        <w:rPr>
          <w:rFonts w:eastAsia="inter" w:cs="inter" w:ascii="inter" w:hAnsi="inter"/>
          <w:color w:val="000000"/>
          <w:sz w:val="21"/>
        </w:rPr>
        <w:t xml:space="preserve">HHI &lt; 1,500: Unconcentrated market</w:t>
      </w:r>
    </w:p>
    <w:p>
      <w:pPr>
        <w:numPr>
          <w:ilvl w:val="0"/>
          <w:numId w:val="68"/>
        </w:numPr>
        <w:spacing w:line="360" w:before="105" w:after="105" w:lineRule="auto"/>
      </w:pPr>
      <w:r>
        <w:rPr>
          <w:rFonts w:eastAsia="inter" w:cs="inter" w:ascii="inter" w:hAnsi="inter"/>
          <w:color w:val="000000"/>
          <w:sz w:val="21"/>
        </w:rPr>
        <w:t xml:space="preserve">HHI 1,500-2,500: Moderately concentrated</w:t>
      </w:r>
    </w:p>
    <w:p>
      <w:pPr>
        <w:numPr>
          <w:ilvl w:val="0"/>
          <w:numId w:val="68"/>
        </w:numPr>
        <w:spacing w:line="360" w:before="105" w:after="105" w:lineRule="auto"/>
      </w:pPr>
      <w:r>
        <w:rPr>
          <w:rFonts w:eastAsia="inter" w:cs="inter" w:ascii="inter" w:hAnsi="inter"/>
          <w:color w:val="000000"/>
          <w:sz w:val="21"/>
        </w:rPr>
        <w:t xml:space="preserve">HHI &gt; 2,500: Highly concentrated</w:t>
      </w:r>
    </w:p>
    <w:p>
      <w:pPr>
        <w:spacing w:line="360" w:after="210" w:lineRule="auto"/>
      </w:pPr>
      <w:r>
        <w:rPr>
          <w:rFonts w:eastAsia="inter" w:cs="inter" w:ascii="inter" w:hAnsi="inter"/>
          <w:color w:val="000000"/>
        </w:rPr>
        <w:t xml:space="preserve">The hair straightener market's HHI below 1,500 indicates competitive markets with limited pricing power, though premium segments demonstrate higher concentration.</w:t>
      </w:r>
      <w:bookmarkStart w:id="805" w:name="fnref30_8"/>
      <w:bookmarkEnd w:id="805"/>
      <w:hyperlink w:anchor="fn30">
        <w:r>
          <w:rPr>
            <w:rFonts w:eastAsia="inter" w:cs="inter" w:ascii="inter" w:hAnsi="inter"/>
            <w:color w:val="#000"/>
            <w:u w:val="single"/>
            <w:vertAlign w:val="superscript"/>
          </w:rPr>
          <w:t xml:space="preserve">[30]</w:t>
        </w:r>
      </w:hyperlink>
      <w:bookmarkStart w:id="806" w:name="fnref29_12"/>
      <w:bookmarkEnd w:id="806"/>
      <w:hyperlink w:anchor="fn29">
        <w:r>
          <w:rPr>
            <w:rFonts w:eastAsia="inter" w:cs="inter" w:ascii="inter" w:hAnsi="inter"/>
            <w:color w:val="#000"/>
            <w:u w:val="single"/>
            <w:vertAlign w:val="superscript"/>
          </w:rPr>
          <w:t xml:space="preserve">[29]</w:t>
        </w:r>
      </w:hyperlink>
    </w:p>
    <w:p>
      <w:pPr>
        <w:spacing w:line="360" w:after="210" w:lineRule="auto"/>
      </w:pPr>
      <w:r>
        <w:rPr>
          <w:rFonts w:eastAsia="inter" w:cs="inter" w:ascii="inter" w:hAnsi="inter"/>
          <w:b/>
          <w:color w:val="000000"/>
        </w:rPr>
        <w:t xml:space="preserve">Market Structure Classification</w:t>
      </w:r>
    </w:p>
    <w:p>
      <w:pPr>
        <w:spacing w:line="360" w:after="210" w:lineRule="auto"/>
      </w:pPr>
      <w:r>
        <w:rPr>
          <w:rFonts w:eastAsia="inter" w:cs="inter" w:ascii="inter" w:hAnsi="inter"/>
          <w:color w:val="000000"/>
        </w:rPr>
        <w:t xml:space="preserve">The industry displays monopolistic competition characteristics:</w:t>
      </w:r>
      <w:bookmarkStart w:id="807" w:name="fnref49_3"/>
      <w:bookmarkEnd w:id="807"/>
      <w:hyperlink w:anchor="fn49">
        <w:r>
          <w:rPr>
            <w:rFonts w:eastAsia="inter" w:cs="inter" w:ascii="inter" w:hAnsi="inter"/>
            <w:color w:val="#000"/>
            <w:u w:val="single"/>
            <w:vertAlign w:val="superscript"/>
          </w:rPr>
          <w:t xml:space="preserve">[49]</w:t>
        </w:r>
      </w:hyperlink>
      <w:bookmarkStart w:id="808" w:name="fnref30_9"/>
      <w:bookmarkEnd w:id="808"/>
      <w:hyperlink w:anchor="fn30">
        <w:r>
          <w:rPr>
            <w:rFonts w:eastAsia="inter" w:cs="inter" w:ascii="inter" w:hAnsi="inter"/>
            <w:color w:val="#000"/>
            <w:u w:val="single"/>
            <w:vertAlign w:val="superscript"/>
          </w:rPr>
          <w:t xml:space="preserve">[30]</w:t>
        </w:r>
      </w:hyperlink>
    </w:p>
    <w:p>
      <w:pPr>
        <w:spacing w:line="360" w:after="210" w:lineRule="auto"/>
      </w:pPr>
      <w:r>
        <w:rPr>
          <w:rFonts w:eastAsia="inter" w:cs="inter" w:ascii="inter" w:hAnsi="inter"/>
          <w:i/>
          <w:color w:val="000000"/>
        </w:rPr>
        <w:t xml:space="preserve">Entry barriers</w:t>
      </w:r>
      <w:r>
        <w:rPr>
          <w:rFonts w:eastAsia="inter" w:cs="inter" w:ascii="inter" w:hAnsi="inter"/>
          <w:color w:val="000000"/>
        </w:rPr>
        <w:t xml:space="preserve">: Moderate</w:t>
      </w:r>
    </w:p>
    <w:p>
      <w:pPr>
        <w:numPr>
          <w:ilvl w:val="0"/>
          <w:numId w:val="69"/>
        </w:numPr>
        <w:spacing w:line="360" w:before="105" w:after="105" w:lineRule="auto"/>
      </w:pPr>
      <w:r>
        <w:rPr>
          <w:rFonts w:eastAsia="inter" w:cs="inter" w:ascii="inter" w:hAnsi="inter"/>
          <w:color w:val="000000"/>
          <w:sz w:val="21"/>
        </w:rPr>
        <w:t xml:space="preserve">Capital requirements: USD 1-3 million for viable manufacturing</w:t>
      </w:r>
      <w:bookmarkStart w:id="809" w:name="fnref34_27"/>
      <w:bookmarkEnd w:id="809"/>
      <w:hyperlink w:anchor="fn34">
        <w:r>
          <w:rPr>
            <w:rFonts w:eastAsia="inter" w:cs="inter" w:ascii="inter" w:hAnsi="inter"/>
            <w:color w:val="#000"/>
            <w:sz w:val="21"/>
            <w:u w:val="single"/>
            <w:vertAlign w:val="superscript"/>
          </w:rPr>
          <w:t xml:space="preserve">[34]</w:t>
        </w:r>
      </w:hyperlink>
    </w:p>
    <w:p>
      <w:pPr>
        <w:numPr>
          <w:ilvl w:val="0"/>
          <w:numId w:val="69"/>
        </w:numPr>
        <w:spacing w:line="360" w:before="105" w:after="105" w:lineRule="auto"/>
      </w:pPr>
      <w:r>
        <w:rPr>
          <w:rFonts w:eastAsia="inter" w:cs="inter" w:ascii="inter" w:hAnsi="inter"/>
          <w:color w:val="000000"/>
          <w:sz w:val="21"/>
        </w:rPr>
        <w:t xml:space="preserve">Economies of scale important but not prohibitive (MES at 500K-800K units)</w:t>
      </w:r>
      <w:bookmarkStart w:id="810" w:name="fnref41_35"/>
      <w:bookmarkEnd w:id="810"/>
      <w:hyperlink w:anchor="fn41">
        <w:r>
          <w:rPr>
            <w:rFonts w:eastAsia="inter" w:cs="inter" w:ascii="inter" w:hAnsi="inter"/>
            <w:color w:val="#000"/>
            <w:sz w:val="21"/>
            <w:u w:val="single"/>
            <w:vertAlign w:val="superscript"/>
          </w:rPr>
          <w:t xml:space="preserve">[41]</w:t>
        </w:r>
      </w:hyperlink>
      <w:bookmarkStart w:id="811" w:name="fnref54_18"/>
      <w:bookmarkEnd w:id="811"/>
      <w:hyperlink w:anchor="fn54">
        <w:r>
          <w:rPr>
            <w:rFonts w:eastAsia="inter" w:cs="inter" w:ascii="inter" w:hAnsi="inter"/>
            <w:color w:val="#000"/>
            <w:sz w:val="21"/>
            <w:u w:val="single"/>
            <w:vertAlign w:val="superscript"/>
          </w:rPr>
          <w:t xml:space="preserve">[54]</w:t>
        </w:r>
      </w:hyperlink>
    </w:p>
    <w:p>
      <w:pPr>
        <w:numPr>
          <w:ilvl w:val="0"/>
          <w:numId w:val="69"/>
        </w:numPr>
        <w:spacing w:line="360" w:before="105" w:after="105" w:lineRule="auto"/>
      </w:pPr>
      <w:r>
        <w:rPr>
          <w:rFonts w:eastAsia="inter" w:cs="inter" w:ascii="inter" w:hAnsi="inter"/>
          <w:color w:val="000000"/>
          <w:sz w:val="21"/>
        </w:rPr>
        <w:t xml:space="preserve">Product differentiation through branding creates intangible barriers</w:t>
      </w:r>
      <w:bookmarkStart w:id="812" w:name="fnref15_90"/>
      <w:bookmarkEnd w:id="812"/>
      <w:hyperlink w:anchor="fn15">
        <w:r>
          <w:rPr>
            <w:rFonts w:eastAsia="inter" w:cs="inter" w:ascii="inter" w:hAnsi="inter"/>
            <w:color w:val="#000"/>
            <w:sz w:val="21"/>
            <w:u w:val="single"/>
            <w:vertAlign w:val="superscript"/>
          </w:rPr>
          <w:t xml:space="preserve">[15]</w:t>
        </w:r>
      </w:hyperlink>
      <w:bookmarkStart w:id="813" w:name="fnref52_25"/>
      <w:bookmarkEnd w:id="813"/>
      <w:hyperlink w:anchor="fn52">
        <w:r>
          <w:rPr>
            <w:rFonts w:eastAsia="inter" w:cs="inter" w:ascii="inter" w:hAnsi="inter"/>
            <w:color w:val="#000"/>
            <w:sz w:val="21"/>
            <w:u w:val="single"/>
            <w:vertAlign w:val="superscript"/>
          </w:rPr>
          <w:t xml:space="preserve">[52]</w:t>
        </w:r>
      </w:hyperlink>
    </w:p>
    <w:p>
      <w:pPr>
        <w:numPr>
          <w:ilvl w:val="0"/>
          <w:numId w:val="69"/>
        </w:numPr>
        <w:spacing w:line="360" w:before="105" w:after="105" w:lineRule="auto"/>
      </w:pPr>
      <w:r>
        <w:rPr>
          <w:rFonts w:eastAsia="inter" w:cs="inter" w:ascii="inter" w:hAnsi="inter"/>
          <w:color w:val="000000"/>
          <w:sz w:val="21"/>
        </w:rPr>
        <w:t xml:space="preserve">Regulatory compliance (safety certifications) adds USD 50K-150K entry costs</w:t>
      </w:r>
      <w:bookmarkStart w:id="814" w:name="fnref55_4"/>
      <w:bookmarkEnd w:id="814"/>
      <w:hyperlink w:anchor="fn55">
        <w:r>
          <w:rPr>
            <w:rFonts w:eastAsia="inter" w:cs="inter" w:ascii="inter" w:hAnsi="inter"/>
            <w:color w:val="#000"/>
            <w:sz w:val="21"/>
            <w:u w:val="single"/>
            <w:vertAlign w:val="superscript"/>
          </w:rPr>
          <w:t xml:space="preserve">[55]</w:t>
        </w:r>
      </w:hyperlink>
      <w:bookmarkStart w:id="815" w:name="fnref56_3"/>
      <w:bookmarkEnd w:id="815"/>
      <w:hyperlink w:anchor="fn56">
        <w:r>
          <w:rPr>
            <w:rFonts w:eastAsia="inter" w:cs="inter" w:ascii="inter" w:hAnsi="inter"/>
            <w:color w:val="#000"/>
            <w:sz w:val="21"/>
            <w:u w:val="single"/>
            <w:vertAlign w:val="superscript"/>
          </w:rPr>
          <w:t xml:space="preserve">[56]</w:t>
        </w:r>
      </w:hyperlink>
    </w:p>
    <w:p>
      <w:pPr>
        <w:spacing w:line="360" w:after="210" w:lineRule="auto"/>
      </w:pPr>
      <w:r>
        <w:rPr>
          <w:rFonts w:eastAsia="inter" w:cs="inter" w:ascii="inter" w:hAnsi="inter"/>
          <w:i/>
          <w:color w:val="000000"/>
        </w:rPr>
        <w:t xml:space="preserve">Product differentiation</w:t>
      </w:r>
      <w:r>
        <w:rPr>
          <w:rFonts w:eastAsia="inter" w:cs="inter" w:ascii="inter" w:hAnsi="inter"/>
          <w:color w:val="000000"/>
        </w:rPr>
        <w:t xml:space="preserve">: Substantial</w:t>
      </w:r>
    </w:p>
    <w:p>
      <w:pPr>
        <w:numPr>
          <w:ilvl w:val="0"/>
          <w:numId w:val="70"/>
        </w:numPr>
        <w:spacing w:line="360" w:before="105" w:after="105" w:lineRule="auto"/>
      </w:pPr>
      <w:r>
        <w:rPr>
          <w:rFonts w:eastAsia="inter" w:cs="inter" w:ascii="inter" w:hAnsi="inter"/>
          <w:color w:val="000000"/>
          <w:sz w:val="21"/>
        </w:rPr>
        <w:t xml:space="preserve">Technology variations (ceramic, titanium, PTC, ionic)</w:t>
      </w:r>
      <w:bookmarkStart w:id="816" w:name="fnref13_28"/>
      <w:bookmarkEnd w:id="816"/>
      <w:hyperlink w:anchor="fn13">
        <w:r>
          <w:rPr>
            <w:rFonts w:eastAsia="inter" w:cs="inter" w:ascii="inter" w:hAnsi="inter"/>
            <w:color w:val="#000"/>
            <w:sz w:val="21"/>
            <w:u w:val="single"/>
            <w:vertAlign w:val="superscript"/>
          </w:rPr>
          <w:t xml:space="preserve">[13]</w:t>
        </w:r>
      </w:hyperlink>
      <w:bookmarkStart w:id="817" w:name="fnref15_91"/>
      <w:bookmarkEnd w:id="817"/>
      <w:hyperlink w:anchor="fn15">
        <w:r>
          <w:rPr>
            <w:rFonts w:eastAsia="inter" w:cs="inter" w:ascii="inter" w:hAnsi="inter"/>
            <w:color w:val="#000"/>
            <w:sz w:val="21"/>
            <w:u w:val="single"/>
            <w:vertAlign w:val="superscript"/>
          </w:rPr>
          <w:t xml:space="preserve">[15]</w:t>
        </w:r>
      </w:hyperlink>
    </w:p>
    <w:p>
      <w:pPr>
        <w:numPr>
          <w:ilvl w:val="0"/>
          <w:numId w:val="70"/>
        </w:numPr>
        <w:spacing w:line="360" w:before="105" w:after="105" w:lineRule="auto"/>
      </w:pPr>
      <w:r>
        <w:rPr>
          <w:rFonts w:eastAsia="inter" w:cs="inter" w:ascii="inter" w:hAnsi="inter"/>
          <w:color w:val="000000"/>
          <w:sz w:val="21"/>
        </w:rPr>
        <w:t xml:space="preserve">Brand positioning (premium, mid-range, budget)</w:t>
      </w:r>
      <w:bookmarkStart w:id="818" w:name="fnref52_26"/>
      <w:bookmarkEnd w:id="818"/>
      <w:hyperlink w:anchor="fn52">
        <w:r>
          <w:rPr>
            <w:rFonts w:eastAsia="inter" w:cs="inter" w:ascii="inter" w:hAnsi="inter"/>
            <w:color w:val="#000"/>
            <w:sz w:val="21"/>
            <w:u w:val="single"/>
            <w:vertAlign w:val="superscript"/>
          </w:rPr>
          <w:t xml:space="preserve">[52]</w:t>
        </w:r>
      </w:hyperlink>
      <w:bookmarkStart w:id="819" w:name="fnref15_92"/>
      <w:bookmarkEnd w:id="819"/>
      <w:hyperlink w:anchor="fn15">
        <w:r>
          <w:rPr>
            <w:rFonts w:eastAsia="inter" w:cs="inter" w:ascii="inter" w:hAnsi="inter"/>
            <w:color w:val="#000"/>
            <w:sz w:val="21"/>
            <w:u w:val="single"/>
            <w:vertAlign w:val="superscript"/>
          </w:rPr>
          <w:t xml:space="preserve">[15]</w:t>
        </w:r>
      </w:hyperlink>
    </w:p>
    <w:p>
      <w:pPr>
        <w:spacing w:line="360" w:after="0" w:lineRule="auto"/>
        <w:jc w:val="center"/>
      </w:pPr>
      <w:r>
        <w:rPr>
          <w:rFonts w:eastAsia="inter" w:cs="inter" w:ascii="inter" w:hAnsi="inter"/>
          <w:color w:val="000000"/>
        </w:rPr>
        <w:drawing>
          <wp:inline distB="0" distL="0" distR="0" distT="0">
            <wp:extent cx="952500" cy="952500"/>
            <wp:effectExtent b="0" l="0" r="0" t="0"/>
            <wp:docPr id="4" name="image-not-found.png" descr="The Indian hair straightener market exhibits clear segmentation with premium brands (Dyson, GHD) commanding 10-40x price premiums over budget options through superior technology and brand positioning, while mid-range players (Philips, Vega, Havells) compete on the balance of features and affordability."/>
            <a:graphic>
              <a:graphicData uri="http://schemas.openxmlformats.org/drawingml/2006/picture">
                <pic:pic>
                  <pic:nvPicPr>
                    <pic:cNvPr id="4" name="image-not-found.png" descr="The Indian hair straightener market exhibits clear segmentation with premium brands (Dyson, GHD) commanding 10-40x price premiums over budget options through superior technology and brand positioning, while mid-range players (Philips, Vega, Havells) compete on the balance of features and affordability."/>
                    <pic:cNvPicPr/>
                  </pic:nvPicPr>
                  <pic:blipFill>
                    <a:blip r:embed="rId6" cstate="print"/>
                    <a:srcRect b="0" l="0" r="0" t="0"/>
                    <a:stretch>
                      <a:fillRect/>
                    </a:stretch>
                  </pic:blipFill>
                  <pic:spPr>
                    <a:xfrm>
                      <a:off x="0" y="0"/>
                      <a:ext cx="952500" cy="952500"/>
                    </a:xfrm>
                    <a:prstGeom prst="rect"/>
                  </pic:spPr>
                </pic:pic>
              </a:graphicData>
            </a:graphic>
          </wp:inline>
        </w:drawing>
      </w:r>
    </w:p>
    <w:p>
      <w:pPr>
        <w:spacing w:line="360" w:after="210" w:lineRule="auto"/>
      </w:pPr>
      <w:r>
        <w:rPr>
          <w:rFonts w:eastAsia="inter" w:cs="inter" w:ascii="inter" w:hAnsi="inter"/>
          <w:color w:val="000000"/>
        </w:rPr>
        <w:t xml:space="preserve">The Indian hair straightener market exhibits clear segmentation with premium brands (Dyson, GHD) commanding 10-40x price premiums over budget options through superior technology and brand positioning, while mid-range players (Philips, Vega, Havells) compete on the balance of features and affordability.</w:t>
      </w:r>
    </w:p>
    <w:p>
      <w:pPr>
        <w:numPr>
          <w:ilvl w:val="0"/>
          <w:numId w:val="71"/>
        </w:numPr>
        <w:spacing w:line="360" w:before="105" w:after="105" w:lineRule="auto"/>
      </w:pPr>
      <w:r>
        <w:rPr>
          <w:rFonts w:eastAsia="inter" w:cs="inter" w:ascii="inter" w:hAnsi="inter"/>
          <w:color w:val="000000"/>
          <w:sz w:val="21"/>
        </w:rPr>
        <w:t xml:space="preserve">Design aesthetics (professional, consumer, travel)</w:t>
      </w:r>
      <w:bookmarkStart w:id="820" w:name="fnref15_93"/>
      <w:bookmarkEnd w:id="820"/>
      <w:hyperlink w:anchor="fn15">
        <w:r>
          <w:rPr>
            <w:rFonts w:eastAsia="inter" w:cs="inter" w:ascii="inter" w:hAnsi="inter"/>
            <w:color w:val="#000"/>
            <w:sz w:val="21"/>
            <w:u w:val="single"/>
            <w:vertAlign w:val="superscript"/>
          </w:rPr>
          <w:t xml:space="preserve">[15]</w:t>
        </w:r>
      </w:hyperlink>
      <w:bookmarkStart w:id="821" w:name="fnref78_1"/>
      <w:bookmarkEnd w:id="821"/>
      <w:hyperlink w:anchor="fn78">
        <w:r>
          <w:rPr>
            <w:rFonts w:eastAsia="inter" w:cs="inter" w:ascii="inter" w:hAnsi="inter"/>
            <w:color w:val="#000"/>
            <w:sz w:val="21"/>
            <w:u w:val="single"/>
            <w:vertAlign w:val="superscript"/>
          </w:rPr>
          <w:t xml:space="preserve">[78]</w:t>
        </w:r>
      </w:hyperlink>
    </w:p>
    <w:p>
      <w:pPr>
        <w:spacing w:line="360" w:after="210" w:lineRule="auto"/>
      </w:pPr>
      <w:r>
        <w:rPr>
          <w:rFonts w:eastAsia="inter" w:cs="inter" w:ascii="inter" w:hAnsi="inter"/>
          <w:i/>
          <w:color w:val="000000"/>
        </w:rPr>
        <w:t xml:space="preserve">Number of competitors</w:t>
      </w:r>
      <w:r>
        <w:rPr>
          <w:rFonts w:eastAsia="inter" w:cs="inter" w:ascii="inter" w:hAnsi="inter"/>
          <w:color w:val="000000"/>
        </w:rPr>
        <w:t xml:space="preserve">: Large</w:t>
      </w:r>
    </w:p>
    <w:p>
      <w:pPr>
        <w:numPr>
          <w:ilvl w:val="0"/>
          <w:numId w:val="72"/>
        </w:numPr>
        <w:spacing w:line="360" w:before="105" w:after="105" w:lineRule="auto"/>
      </w:pPr>
      <w:r>
        <w:rPr>
          <w:rFonts w:eastAsia="inter" w:cs="inter" w:ascii="inter" w:hAnsi="inter"/>
          <w:color w:val="000000"/>
          <w:sz w:val="21"/>
        </w:rPr>
        <w:t xml:space="preserve">Global manufacturers: 50-80 active brands</w:t>
      </w:r>
      <w:bookmarkStart w:id="822" w:name="fnref29_13"/>
      <w:bookmarkEnd w:id="822"/>
      <w:hyperlink w:anchor="fn29">
        <w:r>
          <w:rPr>
            <w:rFonts w:eastAsia="inter" w:cs="inter" w:ascii="inter" w:hAnsi="inter"/>
            <w:color w:val="#000"/>
            <w:sz w:val="21"/>
            <w:u w:val="single"/>
            <w:vertAlign w:val="superscript"/>
          </w:rPr>
          <w:t xml:space="preserve">[29]</w:t>
        </w:r>
      </w:hyperlink>
    </w:p>
    <w:p>
      <w:pPr>
        <w:numPr>
          <w:ilvl w:val="0"/>
          <w:numId w:val="72"/>
        </w:numPr>
        <w:spacing w:line="360" w:before="105" w:after="105" w:lineRule="auto"/>
      </w:pPr>
      <w:r>
        <w:rPr>
          <w:rFonts w:eastAsia="inter" w:cs="inter" w:ascii="inter" w:hAnsi="inter"/>
          <w:color w:val="000000"/>
          <w:sz w:val="21"/>
        </w:rPr>
        <w:t xml:space="preserve">Regional/local brands: 100+ especially in Asian markets</w:t>
      </w:r>
      <w:bookmarkStart w:id="823" w:name="fnref30_10"/>
      <w:bookmarkEnd w:id="823"/>
      <w:hyperlink w:anchor="fn30">
        <w:r>
          <w:rPr>
            <w:rFonts w:eastAsia="inter" w:cs="inter" w:ascii="inter" w:hAnsi="inter"/>
            <w:color w:val="#000"/>
            <w:sz w:val="21"/>
            <w:u w:val="single"/>
            <w:vertAlign w:val="superscript"/>
          </w:rPr>
          <w:t xml:space="preserve">[30]</w:t>
        </w:r>
      </w:hyperlink>
      <w:bookmarkStart w:id="824" w:name="fnref29_14"/>
      <w:bookmarkEnd w:id="824"/>
      <w:hyperlink w:anchor="fn29">
        <w:r>
          <w:rPr>
            <w:rFonts w:eastAsia="inter" w:cs="inter" w:ascii="inter" w:hAnsi="inter"/>
            <w:color w:val="#000"/>
            <w:sz w:val="21"/>
            <w:u w:val="single"/>
            <w:vertAlign w:val="superscript"/>
          </w:rPr>
          <w:t xml:space="preserve">[29]</w:t>
        </w:r>
      </w:hyperlink>
    </w:p>
    <w:p>
      <w:pPr>
        <w:spacing w:line="360" w:after="210" w:lineRule="auto"/>
      </w:pPr>
      <w:r>
        <w:rPr>
          <w:rFonts w:eastAsia="inter" w:cs="inter" w:ascii="inter" w:hAnsi="inter"/>
          <w:i/>
          <w:color w:val="000000"/>
        </w:rPr>
        <w:t xml:space="preserve">Price-setting ability</w:t>
      </w:r>
      <w:r>
        <w:rPr>
          <w:rFonts w:eastAsia="inter" w:cs="inter" w:ascii="inter" w:hAnsi="inter"/>
          <w:color w:val="000000"/>
        </w:rPr>
        <w:t xml:space="preserve">: Limited for budget/mid-range; moderate for premium</w:t>
      </w:r>
    </w:p>
    <w:p>
      <w:pPr>
        <w:numPr>
          <w:ilvl w:val="0"/>
          <w:numId w:val="73"/>
        </w:numPr>
        <w:spacing w:line="360" w:before="105" w:after="105" w:lineRule="auto"/>
      </w:pPr>
      <w:r>
        <w:rPr>
          <w:rFonts w:eastAsia="inter" w:cs="inter" w:ascii="inter" w:hAnsi="inter"/>
          <w:color w:val="000000"/>
          <w:sz w:val="21"/>
        </w:rPr>
        <w:t xml:space="preserve">Budget segment approaches price-taking due to intense competition</w:t>
      </w:r>
      <w:bookmarkStart w:id="825" w:name="fnref15_94"/>
      <w:bookmarkEnd w:id="825"/>
      <w:hyperlink w:anchor="fn15">
        <w:r>
          <w:rPr>
            <w:rFonts w:eastAsia="inter" w:cs="inter" w:ascii="inter" w:hAnsi="inter"/>
            <w:color w:val="#000"/>
            <w:sz w:val="21"/>
            <w:u w:val="single"/>
            <w:vertAlign w:val="superscript"/>
          </w:rPr>
          <w:t xml:space="preserve">[15]</w:t>
        </w:r>
      </w:hyperlink>
    </w:p>
    <w:p>
      <w:pPr>
        <w:numPr>
          <w:ilvl w:val="0"/>
          <w:numId w:val="73"/>
        </w:numPr>
        <w:spacing w:line="360" w:before="105" w:after="105" w:lineRule="auto"/>
      </w:pPr>
      <w:r>
        <w:rPr>
          <w:rFonts w:eastAsia="inter" w:cs="inter" w:ascii="inter" w:hAnsi="inter"/>
          <w:color w:val="000000"/>
          <w:sz w:val="21"/>
        </w:rPr>
        <w:t xml:space="preserve">Premium brands (Dyson, GHD) exercise pricing power through differentiation</w:t>
      </w:r>
      <w:bookmarkStart w:id="826" w:name="fnref52_27"/>
      <w:bookmarkEnd w:id="826"/>
      <w:hyperlink w:anchor="fn52">
        <w:r>
          <w:rPr>
            <w:rFonts w:eastAsia="inter" w:cs="inter" w:ascii="inter" w:hAnsi="inter"/>
            <w:color w:val="#000"/>
            <w:sz w:val="21"/>
            <w:u w:val="single"/>
            <w:vertAlign w:val="superscript"/>
          </w:rPr>
          <w:t xml:space="preserve">[52]</w:t>
        </w:r>
      </w:hyperlink>
      <w:bookmarkStart w:id="827" w:name="fnref31_6"/>
      <w:bookmarkEnd w:id="827"/>
      <w:hyperlink w:anchor="fn31">
        <w:r>
          <w:rPr>
            <w:rFonts w:eastAsia="inter" w:cs="inter" w:ascii="inter" w:hAnsi="inter"/>
            <w:color w:val="#000"/>
            <w:sz w:val="21"/>
            <w:u w:val="single"/>
            <w:vertAlign w:val="superscript"/>
          </w:rPr>
          <w:t xml:space="preserve">[31]</w:t>
        </w:r>
      </w:hyperlink>
      <w:bookmarkStart w:id="828" w:name="fnref29_15"/>
      <w:bookmarkEnd w:id="828"/>
      <w:hyperlink w:anchor="fn29">
        <w:r>
          <w:rPr>
            <w:rFonts w:eastAsia="inter" w:cs="inter" w:ascii="inter" w:hAnsi="inter"/>
            <w:color w:val="#000"/>
            <w:sz w:val="21"/>
            <w:u w:val="single"/>
            <w:vertAlign w:val="superscript"/>
          </w:rPr>
          <w:t xml:space="preserve">[29]</w:t>
        </w:r>
      </w:hyperlink>
    </w:p>
    <w:p>
      <w:pPr>
        <w:spacing w:line="360" w:after="210" w:lineRule="auto"/>
      </w:pPr>
      <w:r>
        <w:rPr>
          <w:rFonts w:eastAsia="inter" w:cs="inter" w:ascii="inter" w:hAnsi="inter"/>
          <w:b/>
          <w:color w:val="000000"/>
        </w:rPr>
        <w:t xml:space="preserve">Barriers to Entry and Exit</w:t>
      </w:r>
    </w:p>
    <w:p>
      <w:pPr>
        <w:spacing w:line="360" w:after="210" w:lineRule="auto"/>
      </w:pPr>
      <w:r>
        <w:rPr>
          <w:rFonts w:eastAsia="inter" w:cs="inter" w:ascii="inter" w:hAnsi="inter"/>
          <w:color w:val="000000"/>
        </w:rPr>
        <w:t xml:space="preserve">Entry barriers, while moderate overall, vary by market segment:</w:t>
      </w:r>
    </w:p>
    <w:p>
      <w:pPr>
        <w:spacing w:line="360" w:after="210" w:lineRule="auto"/>
      </w:pPr>
      <w:r>
        <w:rPr>
          <w:rFonts w:eastAsia="inter" w:cs="inter" w:ascii="inter" w:hAnsi="inter"/>
          <w:i/>
          <w:color w:val="000000"/>
        </w:rPr>
        <w:t xml:space="preserve">Capital and Scale Requirements</w:t>
      </w:r>
      <w:r>
        <w:rPr>
          <w:rFonts w:eastAsia="inter" w:cs="inter" w:ascii="inter" w:hAnsi="inter"/>
          <w:color w:val="000000"/>
        </w:rPr>
        <w:t xml:space="preserve">: New entrants typically start with contract manufacturing (ODPM model), reducing capital requirements to USD 200K-500K for branding, distribution, and inventory. However, building in-house manufacturing to capture production margins requires USD 2-5 million investments.</w:t>
      </w:r>
      <w:bookmarkStart w:id="829" w:name="fnref34_28"/>
      <w:bookmarkEnd w:id="829"/>
      <w:hyperlink w:anchor="fn34">
        <w:r>
          <w:rPr>
            <w:rFonts w:eastAsia="inter" w:cs="inter" w:ascii="inter" w:hAnsi="inter"/>
            <w:color w:val="#000"/>
            <w:u w:val="single"/>
            <w:vertAlign w:val="superscript"/>
          </w:rPr>
          <w:t xml:space="preserve">[34]</w:t>
        </w:r>
      </w:hyperlink>
      <w:bookmarkStart w:id="830" w:name="fnref41_36"/>
      <w:bookmarkEnd w:id="830"/>
      <w:hyperlink w:anchor="fn41">
        <w:r>
          <w:rPr>
            <w:rFonts w:eastAsia="inter" w:cs="inter" w:ascii="inter" w:hAnsi="inter"/>
            <w:color w:val="#000"/>
            <w:u w:val="single"/>
            <w:vertAlign w:val="superscript"/>
          </w:rPr>
          <w:t xml:space="preserve">[41]</w:t>
        </w:r>
      </w:hyperlink>
      <w:bookmarkStart w:id="831" w:name="fnref15_95"/>
      <w:bookmarkEnd w:id="831"/>
      <w:hyperlink w:anchor="fn15">
        <w:r>
          <w:rPr>
            <w:rFonts w:eastAsia="inter" w:cs="inter" w:ascii="inter" w:hAnsi="inter"/>
            <w:color w:val="#000"/>
            <w:u w:val="single"/>
            <w:vertAlign w:val="superscript"/>
          </w:rPr>
          <w:t xml:space="preserve">[15]</w:t>
        </w:r>
      </w:hyperlink>
    </w:p>
    <w:p>
      <w:pPr>
        <w:spacing w:line="360" w:after="210" w:lineRule="auto"/>
      </w:pPr>
      <w:r>
        <w:rPr>
          <w:rFonts w:eastAsia="inter" w:cs="inter" w:ascii="inter" w:hAnsi="inter"/>
          <w:i/>
          <w:color w:val="000000"/>
        </w:rPr>
        <w:t xml:space="preserve">Brand Establishment</w:t>
      </w:r>
      <w:r>
        <w:rPr>
          <w:rFonts w:eastAsia="inter" w:cs="inter" w:ascii="inter" w:hAnsi="inter"/>
          <w:color w:val="000000"/>
        </w:rPr>
        <w:t xml:space="preserve">: Acquiring consumer trust and distribution access poses significant challenges:</w:t>
      </w:r>
      <w:bookmarkStart w:id="832" w:name="fnref52_28"/>
      <w:bookmarkEnd w:id="832"/>
      <w:hyperlink w:anchor="fn52">
        <w:r>
          <w:rPr>
            <w:rFonts w:eastAsia="inter" w:cs="inter" w:ascii="inter" w:hAnsi="inter"/>
            <w:color w:val="#000"/>
            <w:u w:val="single"/>
            <w:vertAlign w:val="superscript"/>
          </w:rPr>
          <w:t xml:space="preserve">[52]</w:t>
        </w:r>
      </w:hyperlink>
      <w:bookmarkStart w:id="833" w:name="fnref15_96"/>
      <w:bookmarkEnd w:id="833"/>
      <w:hyperlink w:anchor="fn15">
        <w:r>
          <w:rPr>
            <w:rFonts w:eastAsia="inter" w:cs="inter" w:ascii="inter" w:hAnsi="inter"/>
            <w:color w:val="#000"/>
            <w:u w:val="single"/>
            <w:vertAlign w:val="superscript"/>
          </w:rPr>
          <w:t xml:space="preserve">[15]</w:t>
        </w:r>
      </w:hyperlink>
    </w:p>
    <w:p>
      <w:pPr>
        <w:numPr>
          <w:ilvl w:val="0"/>
          <w:numId w:val="74"/>
        </w:numPr>
        <w:spacing w:line="360" w:before="105" w:after="105" w:lineRule="auto"/>
      </w:pPr>
      <w:r>
        <w:rPr>
          <w:rFonts w:eastAsia="inter" w:cs="inter" w:ascii="inter" w:hAnsi="inter"/>
          <w:color w:val="000000"/>
          <w:sz w:val="21"/>
        </w:rPr>
        <w:t xml:space="preserve">Consumer acquisition costs: USD 15-35 per customer for digital marketing</w:t>
      </w:r>
      <w:bookmarkStart w:id="834" w:name="fnref15_97"/>
      <w:bookmarkEnd w:id="834"/>
      <w:hyperlink w:anchor="fn15">
        <w:r>
          <w:rPr>
            <w:rFonts w:eastAsia="inter" w:cs="inter" w:ascii="inter" w:hAnsi="inter"/>
            <w:color w:val="#000"/>
            <w:sz w:val="21"/>
            <w:u w:val="single"/>
            <w:vertAlign w:val="superscript"/>
          </w:rPr>
          <w:t xml:space="preserve">[15]</w:t>
        </w:r>
      </w:hyperlink>
    </w:p>
    <w:p>
      <w:pPr>
        <w:numPr>
          <w:ilvl w:val="0"/>
          <w:numId w:val="74"/>
        </w:numPr>
        <w:spacing w:line="360" w:before="105" w:after="105" w:lineRule="auto"/>
      </w:pPr>
      <w:r>
        <w:rPr>
          <w:rFonts w:eastAsia="inter" w:cs="inter" w:ascii="inter" w:hAnsi="inter"/>
          <w:color w:val="000000"/>
          <w:sz w:val="21"/>
        </w:rPr>
        <w:t xml:space="preserve">Distribution relationships: Established brands occupy limited shelf space in retail and premium placement online</w:t>
      </w:r>
      <w:bookmarkStart w:id="835" w:name="fnref15_98"/>
      <w:bookmarkEnd w:id="835"/>
      <w:hyperlink w:anchor="fn15">
        <w:r>
          <w:rPr>
            <w:rFonts w:eastAsia="inter" w:cs="inter" w:ascii="inter" w:hAnsi="inter"/>
            <w:color w:val="#000"/>
            <w:sz w:val="21"/>
            <w:u w:val="single"/>
            <w:vertAlign w:val="superscript"/>
          </w:rPr>
          <w:t xml:space="preserve">[15]</w:t>
        </w:r>
      </w:hyperlink>
    </w:p>
    <w:p>
      <w:pPr>
        <w:numPr>
          <w:ilvl w:val="0"/>
          <w:numId w:val="74"/>
        </w:numPr>
        <w:spacing w:line="360" w:before="105" w:after="105" w:lineRule="auto"/>
      </w:pPr>
      <w:r>
        <w:rPr>
          <w:rFonts w:eastAsia="inter" w:cs="inter" w:ascii="inter" w:hAnsi="inter"/>
          <w:color w:val="000000"/>
          <w:sz w:val="21"/>
        </w:rPr>
        <w:t xml:space="preserve">Product reviews: New products lack the 1,000+ review bases that consumers use for purchase decisions</w:t>
      </w:r>
      <w:bookmarkStart w:id="836" w:name="fnref80_22"/>
      <w:bookmarkEnd w:id="836"/>
      <w:hyperlink w:anchor="fn80">
        <w:r>
          <w:rPr>
            <w:rFonts w:eastAsia="inter" w:cs="inter" w:ascii="inter" w:hAnsi="inter"/>
            <w:color w:val="#000"/>
            <w:sz w:val="21"/>
            <w:u w:val="single"/>
            <w:vertAlign w:val="superscript"/>
          </w:rPr>
          <w:t xml:space="preserve">[80]</w:t>
        </w:r>
      </w:hyperlink>
      <w:bookmarkStart w:id="837" w:name="fnref25_28"/>
      <w:bookmarkEnd w:id="837"/>
      <w:hyperlink w:anchor="fn25">
        <w:r>
          <w:rPr>
            <w:rFonts w:eastAsia="inter" w:cs="inter" w:ascii="inter" w:hAnsi="inter"/>
            <w:color w:val="#000"/>
            <w:sz w:val="21"/>
            <w:u w:val="single"/>
            <w:vertAlign w:val="superscript"/>
          </w:rPr>
          <w:t xml:space="preserve">[25]</w:t>
        </w:r>
      </w:hyperlink>
    </w:p>
    <w:p>
      <w:pPr>
        <w:spacing w:line="360" w:after="210" w:lineRule="auto"/>
      </w:pPr>
      <w:r>
        <w:rPr>
          <w:rFonts w:eastAsia="inter" w:cs="inter" w:ascii="inter" w:hAnsi="inter"/>
          <w:i/>
          <w:color w:val="000000"/>
        </w:rPr>
        <w:t xml:space="preserve">Intellectual Property</w:t>
      </w:r>
      <w:r>
        <w:rPr>
          <w:rFonts w:eastAsia="inter" w:cs="inter" w:ascii="inter" w:hAnsi="inter"/>
          <w:color w:val="000000"/>
        </w:rPr>
        <w:t xml:space="preserve">: Patent protection on specific technologies (Dyson's air multiplier, GHD's heat monitoring) creates exclusivity periods (20-year patent terms). However, design-around opportunities limit patent effectiveness—manufacturers achieve similar performance through alternative technical approaches.</w:t>
      </w:r>
      <w:bookmarkStart w:id="838" w:name="fnref31_7"/>
      <w:bookmarkEnd w:id="838"/>
      <w:hyperlink w:anchor="fn31">
        <w:r>
          <w:rPr>
            <w:rFonts w:eastAsia="inter" w:cs="inter" w:ascii="inter" w:hAnsi="inter"/>
            <w:color w:val="#000"/>
            <w:u w:val="single"/>
            <w:vertAlign w:val="superscript"/>
          </w:rPr>
          <w:t xml:space="preserve">[31]</w:t>
        </w:r>
      </w:hyperlink>
      <w:bookmarkStart w:id="839" w:name="fnref52_29"/>
      <w:bookmarkEnd w:id="839"/>
      <w:hyperlink w:anchor="fn52">
        <w:r>
          <w:rPr>
            <w:rFonts w:eastAsia="inter" w:cs="inter" w:ascii="inter" w:hAnsi="inter"/>
            <w:color w:val="#000"/>
            <w:u w:val="single"/>
            <w:vertAlign w:val="superscript"/>
          </w:rPr>
          <w:t xml:space="preserve">[52]</w:t>
        </w:r>
      </w:hyperlink>
    </w:p>
    <w:p>
      <w:pPr>
        <w:spacing w:line="360" w:after="210" w:lineRule="auto"/>
      </w:pPr>
      <w:r>
        <w:rPr>
          <w:rFonts w:eastAsia="inter" w:cs="inter" w:ascii="inter" w:hAnsi="inter"/>
          <w:i/>
          <w:color w:val="000000"/>
        </w:rPr>
        <w:t xml:space="preserve">Regulatory Compliance</w:t>
      </w:r>
      <w:r>
        <w:rPr>
          <w:rFonts w:eastAsia="inter" w:cs="inter" w:ascii="inter" w:hAnsi="inter"/>
          <w:color w:val="000000"/>
        </w:rPr>
        <w:t xml:space="preserve">: Mandatory safety certifications (BIS in India, CE in Europe, UL in US) require 6-12 months testing and USD 40K-100K expenses. These represent sunk costs creating modest entry barriers.</w:t>
      </w:r>
      <w:bookmarkStart w:id="840" w:name="fnref55_5"/>
      <w:bookmarkEnd w:id="840"/>
      <w:hyperlink w:anchor="fn55">
        <w:r>
          <w:rPr>
            <w:rFonts w:eastAsia="inter" w:cs="inter" w:ascii="inter" w:hAnsi="inter"/>
            <w:color w:val="#000"/>
            <w:u w:val="single"/>
            <w:vertAlign w:val="superscript"/>
          </w:rPr>
          <w:t xml:space="preserve">[55]</w:t>
        </w:r>
      </w:hyperlink>
      <w:bookmarkStart w:id="841" w:name="fnref89_1"/>
      <w:bookmarkEnd w:id="841"/>
      <w:hyperlink w:anchor="fn89">
        <w:r>
          <w:rPr>
            <w:rFonts w:eastAsia="inter" w:cs="inter" w:ascii="inter" w:hAnsi="inter"/>
            <w:color w:val="#000"/>
            <w:u w:val="single"/>
            <w:vertAlign w:val="superscript"/>
          </w:rPr>
          <w:t xml:space="preserve">[89]</w:t>
        </w:r>
      </w:hyperlink>
      <w:bookmarkStart w:id="842" w:name="fnref56_4"/>
      <w:bookmarkEnd w:id="842"/>
      <w:hyperlink w:anchor="fn56">
        <w:r>
          <w:rPr>
            <w:rFonts w:eastAsia="inter" w:cs="inter" w:ascii="inter" w:hAnsi="inter"/>
            <w:color w:val="#000"/>
            <w:u w:val="single"/>
            <w:vertAlign w:val="superscript"/>
          </w:rPr>
          <w:t xml:space="preserve">[56]</w:t>
        </w:r>
      </w:hyperlink>
    </w:p>
    <w:p>
      <w:pPr>
        <w:spacing w:line="360" w:after="210" w:lineRule="auto"/>
      </w:pPr>
      <w:r>
        <w:rPr>
          <w:rFonts w:eastAsia="inter" w:cs="inter" w:ascii="inter" w:hAnsi="inter"/>
          <w:color w:val="000000"/>
        </w:rPr>
        <w:t xml:space="preserve">Exit barriers remain low:</w:t>
      </w:r>
    </w:p>
    <w:p>
      <w:pPr>
        <w:numPr>
          <w:ilvl w:val="0"/>
          <w:numId w:val="75"/>
        </w:numPr>
        <w:spacing w:line="360" w:before="105" w:after="105" w:lineRule="auto"/>
      </w:pPr>
      <w:r>
        <w:rPr>
          <w:rFonts w:eastAsia="inter" w:cs="inter" w:ascii="inter" w:hAnsi="inter"/>
          <w:color w:val="000000"/>
          <w:sz w:val="21"/>
        </w:rPr>
        <w:t xml:space="preserve">Equipment res</w:t>
      </w:r>
      <w:r>
        <w:rPr>
          <w:rFonts w:eastAsia="inter" w:cs="inter" w:ascii="inter" w:hAnsi="inter"/>
          <w:color w:val="000000"/>
          <w:sz w:val="21"/>
        </w:rPr>
        <w:br w:type="textWrapping"/>
      </w:r>
    </w:p>
    <w:p>
      <w:pPr>
        <w:spacing w:line="360" w:lineRule="auto"/>
      </w:pPr>
      <w:r>
        <w:rPr>
          <w:rFonts w:eastAsia="inter" w:cs="inter" w:ascii="inter" w:hAnsi="inter"/>
          <w:color w:val="000000"/>
        </w:rPr>
        <w:t xml:space="preserve">⁂</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bookmarkStart w:id="843" w:name="fn1"/>
    <w:bookmarkEnd w:id="843"/>
    <w:p>
      <w:pPr>
        <w:numPr>
          <w:ilvl w:val="0"/>
          <w:numId w:val="77"/>
        </w:numPr>
        <w:spacing w:line="360" w:after="210" w:lineRule="auto"/>
      </w:pPr>
      <w:hyperlink r:id="rId7">
        <w:r>
          <w:rPr>
            <w:rFonts w:eastAsia="inter" w:cs="inter" w:ascii="inter" w:hAnsi="inter"/>
            <w:color w:val="#000"/>
            <w:sz w:val="18"/>
            <w:u w:val="single"/>
          </w:rPr>
          <w:t xml:space="preserve">https://www.vega.co.in/personal-care-appliances/hair-straightening-brush.html</w:t>
        </w:r>
      </w:hyperlink>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p>
    <w:bookmarkStart w:id="844" w:name="fn2"/>
    <w:bookmarkEnd w:id="844"/>
    <w:p>
      <w:pPr>
        <w:numPr>
          <w:ilvl w:val="0"/>
          <w:numId w:val="77"/>
        </w:numPr>
        <w:spacing w:line="360" w:after="210" w:lineRule="auto"/>
      </w:pPr>
      <w:hyperlink r:id="rId8">
        <w:r>
          <w:rPr>
            <w:rFonts w:eastAsia="inter" w:cs="inter" w:ascii="inter" w:hAnsi="inter"/>
            <w:color w:val="#000"/>
            <w:sz w:val="18"/>
            <w:u w:val="single"/>
          </w:rPr>
          <w:t xml:space="preserve">https://urbanyog.com/products/makemeebold-3-in-1-hot-air-brush-frizz-free-straightening-brush</w:t>
        </w:r>
      </w:hyperlink>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p>
    <w:bookmarkStart w:id="845" w:name="fn3"/>
    <w:bookmarkEnd w:id="845"/>
    <w:p>
      <w:pPr>
        <w:numPr>
          <w:ilvl w:val="0"/>
          <w:numId w:val="77"/>
        </w:numPr>
        <w:spacing w:line="360" w:after="210" w:lineRule="auto"/>
      </w:pPr>
      <w:hyperlink r:id="rId9">
        <w:r>
          <w:rPr>
            <w:rFonts w:eastAsia="inter" w:cs="inter" w:ascii="inter" w:hAnsi="inter"/>
            <w:color w:val="#000"/>
            <w:sz w:val="18"/>
            <w:u w:val="single"/>
          </w:rPr>
          <w:t xml:space="preserve">https://www.fortunebusinessinsights.com/hair-styling-tools-market-103986</w:t>
        </w:r>
      </w:hyperlink>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p>
    <w:bookmarkStart w:id="846" w:name="fn4"/>
    <w:bookmarkEnd w:id="846"/>
    <w:p>
      <w:pPr>
        <w:numPr>
          <w:ilvl w:val="0"/>
          <w:numId w:val="77"/>
        </w:numPr>
        <w:spacing w:line="360" w:after="210" w:lineRule="auto"/>
      </w:pPr>
      <w:hyperlink r:id="rId10">
        <w:r>
          <w:rPr>
            <w:rFonts w:eastAsia="inter" w:cs="inter" w:ascii="inter" w:hAnsi="inter"/>
            <w:color w:val="#000"/>
            <w:sz w:val="18"/>
            <w:u w:val="single"/>
          </w:rPr>
          <w:t xml:space="preserve">https://datahorizzonresearch.com/hair-straightener-brush-market-51905</w:t>
        </w:r>
      </w:hyperlink>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p>
    <w:bookmarkStart w:id="847" w:name="fn5"/>
    <w:bookmarkEnd w:id="847"/>
    <w:p>
      <w:pPr>
        <w:numPr>
          <w:ilvl w:val="0"/>
          <w:numId w:val="77"/>
        </w:numPr>
        <w:spacing w:line="360" w:after="210" w:lineRule="auto"/>
      </w:pPr>
      <w:hyperlink r:id="rId11">
        <w:r>
          <w:rPr>
            <w:rFonts w:eastAsia="inter" w:cs="inter" w:ascii="inter" w:hAnsi="inter"/>
            <w:color w:val="#000"/>
            <w:sz w:val="18"/>
            <w:u w:val="single"/>
          </w:rPr>
          <w:t xml:space="preserve">https://www.proficientmarketinsights.com/market-reports/hair-brush-straighteners-market-1483</w:t>
        </w:r>
      </w:hyperlink>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p>
    <w:bookmarkStart w:id="848" w:name="fn6"/>
    <w:bookmarkEnd w:id="848"/>
    <w:p>
      <w:pPr>
        <w:numPr>
          <w:ilvl w:val="0"/>
          <w:numId w:val="77"/>
        </w:numPr>
        <w:spacing w:line="360" w:after="210" w:lineRule="auto"/>
      </w:pPr>
      <w:hyperlink r:id="rId12">
        <w:r>
          <w:rPr>
            <w:rFonts w:eastAsia="inter" w:cs="inter" w:ascii="inter" w:hAnsi="inter"/>
            <w:color w:val="#000"/>
            <w:sz w:val="18"/>
            <w:u w:val="single"/>
          </w:rPr>
          <w:t xml:space="preserve">https://www.imarcgroup.com/india-hair-straightener-market</w:t>
        </w:r>
      </w:hyperlink>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p>
    <w:bookmarkStart w:id="849" w:name="fn7"/>
    <w:bookmarkEnd w:id="849"/>
    <w:p>
      <w:pPr>
        <w:numPr>
          <w:ilvl w:val="0"/>
          <w:numId w:val="77"/>
        </w:numPr>
        <w:spacing w:line="360" w:after="210" w:lineRule="auto"/>
      </w:pPr>
      <w:hyperlink r:id="rId13">
        <w:r>
          <w:rPr>
            <w:rFonts w:eastAsia="inter" w:cs="inter" w:ascii="inter" w:hAnsi="inter"/>
            <w:color w:val="#000"/>
            <w:sz w:val="18"/>
            <w:u w:val="single"/>
          </w:rPr>
          <w:t xml:space="preserve">https://www.openpr.com/news/4029799/india-hair-straightener-market-to-reach-usd-33-32-million-by-2033</w:t>
        </w:r>
      </w:hyperlink>
      <w:r>
        <w:rPr>
          <w:rFonts w:eastAsia="inter" w:cs="inter" w:ascii="inter" w:hAnsi="inter"/>
          <w:color w:val="000000"/>
          <w:sz w:val="18"/>
        </w:rPr>
        <w:t xml:space="preserve"> </w:t>
      </w:r>
    </w:p>
    <w:bookmarkStart w:id="850" w:name="fn8"/>
    <w:bookmarkEnd w:id="850"/>
    <w:p>
      <w:pPr>
        <w:numPr>
          <w:ilvl w:val="0"/>
          <w:numId w:val="77"/>
        </w:numPr>
        <w:spacing w:line="360" w:after="210" w:lineRule="auto"/>
      </w:pPr>
      <w:hyperlink r:id="rId14">
        <w:r>
          <w:rPr>
            <w:rFonts w:eastAsia="inter" w:cs="inter" w:ascii="inter" w:hAnsi="inter"/>
            <w:color w:val="#000"/>
            <w:sz w:val="18"/>
            <w:u w:val="single"/>
          </w:rPr>
          <w:t xml:space="preserve">https://thebossmagazine.com/post/the-evolution-of-hair-styling-tools/</w:t>
        </w:r>
      </w:hyperlink>
      <w:r>
        <w:rPr>
          <w:rFonts w:eastAsia="inter" w:cs="inter" w:ascii="inter" w:hAnsi="inter"/>
          <w:color w:val="000000"/>
          <w:sz w:val="18"/>
        </w:rPr>
        <w:t xml:space="preserve"> </w:t>
      </w:r>
      <w:r>
        <w:rPr>
          <w:rFonts w:eastAsia="inter" w:cs="inter" w:ascii="inter" w:hAnsi="inter"/>
          <w:color w:val="000000"/>
          <w:sz w:val="18"/>
        </w:rPr>
        <w:t xml:space="preserve"> </w:t>
      </w:r>
    </w:p>
    <w:bookmarkStart w:id="851" w:name="fn9"/>
    <w:bookmarkEnd w:id="851"/>
    <w:p>
      <w:pPr>
        <w:numPr>
          <w:ilvl w:val="0"/>
          <w:numId w:val="77"/>
        </w:numPr>
        <w:spacing w:line="360" w:after="210" w:lineRule="auto"/>
      </w:pPr>
      <w:hyperlink r:id="rId15">
        <w:r>
          <w:rPr>
            <w:rFonts w:eastAsia="inter" w:cs="inter" w:ascii="inter" w:hAnsi="inter"/>
            <w:color w:val="#000"/>
            <w:sz w:val="18"/>
            <w:u w:val="single"/>
          </w:rPr>
          <w:t xml:space="preserve">https://www.pritechcare.com/blog/the-history-of-womens-hair-styling-tools/</w:t>
        </w:r>
      </w:hyperlink>
      <w:r>
        <w:rPr>
          <w:rFonts w:eastAsia="inter" w:cs="inter" w:ascii="inter" w:hAnsi="inter"/>
          <w:color w:val="000000"/>
          <w:sz w:val="18"/>
        </w:rPr>
        <w:t xml:space="preserve"> </w:t>
      </w:r>
    </w:p>
    <w:bookmarkStart w:id="852" w:name="fn10"/>
    <w:bookmarkEnd w:id="852"/>
    <w:p>
      <w:pPr>
        <w:numPr>
          <w:ilvl w:val="0"/>
          <w:numId w:val="77"/>
        </w:numPr>
        <w:spacing w:line="360" w:after="210" w:lineRule="auto"/>
      </w:pPr>
      <w:hyperlink r:id="rId16">
        <w:r>
          <w:rPr>
            <w:rFonts w:eastAsia="inter" w:cs="inter" w:ascii="inter" w:hAnsi="inter"/>
            <w:color w:val="#000"/>
            <w:sz w:val="18"/>
            <w:u w:val="single"/>
          </w:rPr>
          <w:t xml:space="preserve">https://naturtintusa.com/blogs/news/hair-styling-tools</w:t>
        </w:r>
      </w:hyperlink>
      <w:r>
        <w:rPr>
          <w:rFonts w:eastAsia="inter" w:cs="inter" w:ascii="inter" w:hAnsi="inter"/>
          <w:color w:val="000000"/>
          <w:sz w:val="18"/>
        </w:rPr>
        <w:t xml:space="preserve"> </w:t>
      </w:r>
    </w:p>
    <w:bookmarkStart w:id="853" w:name="fn11"/>
    <w:bookmarkEnd w:id="853"/>
    <w:p>
      <w:pPr>
        <w:numPr>
          <w:ilvl w:val="0"/>
          <w:numId w:val="77"/>
        </w:numPr>
        <w:spacing w:line="360" w:after="210" w:lineRule="auto"/>
      </w:pPr>
      <w:hyperlink r:id="rId17">
        <w:r>
          <w:rPr>
            <w:rFonts w:eastAsia="inter" w:cs="inter" w:ascii="inter" w:hAnsi="inter"/>
            <w:color w:val="#000"/>
            <w:sz w:val="18"/>
            <w:u w:val="single"/>
          </w:rPr>
          <w:t xml:space="preserve">https://thebossmagazine.com/the-evolution-of-hair-styling-tools/</w:t>
        </w:r>
      </w:hyperlink>
      <w:r>
        <w:rPr>
          <w:rFonts w:eastAsia="inter" w:cs="inter" w:ascii="inter" w:hAnsi="inter"/>
          <w:color w:val="000000"/>
          <w:sz w:val="18"/>
        </w:rPr>
        <w:t xml:space="preserve"> </w:t>
      </w:r>
    </w:p>
    <w:bookmarkStart w:id="854" w:name="fn12"/>
    <w:bookmarkEnd w:id="854"/>
    <w:p>
      <w:pPr>
        <w:numPr>
          <w:ilvl w:val="0"/>
          <w:numId w:val="77"/>
        </w:numPr>
        <w:spacing w:line="360" w:after="210" w:lineRule="auto"/>
      </w:pPr>
      <w:hyperlink r:id="rId18">
        <w:r>
          <w:rPr>
            <w:rFonts w:eastAsia="inter" w:cs="inter" w:ascii="inter" w:hAnsi="inter"/>
            <w:color w:val="#000"/>
            <w:sz w:val="18"/>
            <w:u w:val="single"/>
          </w:rPr>
          <w:t xml:space="preserve">https://dspace.mit.edu/bitstream/handle/1721.1/32779/57571289-MIT.pdf</w:t>
        </w:r>
      </w:hyperlink>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p>
    <w:bookmarkStart w:id="855" w:name="fn13"/>
    <w:bookmarkEnd w:id="855"/>
    <w:p>
      <w:pPr>
        <w:numPr>
          <w:ilvl w:val="0"/>
          <w:numId w:val="77"/>
        </w:numPr>
        <w:spacing w:line="360" w:after="210" w:lineRule="auto"/>
      </w:pPr>
      <w:hyperlink r:id="rId19">
        <w:r>
          <w:rPr>
            <w:rFonts w:eastAsia="inter" w:cs="inter" w:ascii="inter" w:hAnsi="inter"/>
            <w:color w:val="#000"/>
            <w:sz w:val="18"/>
            <w:u w:val="single"/>
          </w:rPr>
          <w:t xml:space="preserve">https://www.olayer.com/how-are-hair-straighteners-manufactured/</w:t>
        </w:r>
      </w:hyperlink>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p>
    <w:bookmarkStart w:id="856" w:name="fn14"/>
    <w:bookmarkEnd w:id="856"/>
    <w:p>
      <w:pPr>
        <w:numPr>
          <w:ilvl w:val="0"/>
          <w:numId w:val="77"/>
        </w:numPr>
        <w:spacing w:line="360" w:after="210" w:lineRule="auto"/>
      </w:pPr>
      <w:hyperlink r:id="rId20">
        <w:r>
          <w:rPr>
            <w:rFonts w:eastAsia="inter" w:cs="inter" w:ascii="inter" w:hAnsi="inter"/>
            <w:color w:val="#000"/>
            <w:sz w:val="18"/>
            <w:u w:val="single"/>
          </w:rPr>
          <w:t xml:space="preserve">https://www.pritechcare.com/blog/key-components-of-hair-straighteners/</w:t>
        </w:r>
      </w:hyperlink>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p>
    <w:bookmarkStart w:id="857" w:name="fn15"/>
    <w:bookmarkEnd w:id="857"/>
    <w:p>
      <w:pPr>
        <w:numPr>
          <w:ilvl w:val="0"/>
          <w:numId w:val="77"/>
        </w:numPr>
        <w:spacing w:line="360" w:after="210" w:lineRule="auto"/>
      </w:pPr>
      <w:hyperlink r:id="rId21">
        <w:r>
          <w:rPr>
            <w:rFonts w:eastAsia="inter" w:cs="inter" w:ascii="inter" w:hAnsi="inter"/>
            <w:color w:val="#000"/>
            <w:sz w:val="18"/>
            <w:u w:val="single"/>
          </w:rPr>
          <w:t xml:space="preserve">https://www.shelftrend.com/health-beauty/hair-straightener-market-analysis-seller-guide-profit-margins-2025</w:t>
        </w:r>
      </w:hyperlink>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p>
    <w:bookmarkStart w:id="858" w:name="fn16"/>
    <w:bookmarkEnd w:id="858"/>
    <w:p>
      <w:pPr>
        <w:numPr>
          <w:ilvl w:val="0"/>
          <w:numId w:val="77"/>
        </w:numPr>
        <w:spacing w:line="360" w:after="210" w:lineRule="auto"/>
      </w:pPr>
      <w:hyperlink r:id="rId22">
        <w:r>
          <w:rPr>
            <w:rFonts w:eastAsia="inter" w:cs="inter" w:ascii="inter" w:hAnsi="inter"/>
            <w:color w:val="#000"/>
            <w:sz w:val="18"/>
            <w:u w:val="single"/>
          </w:rPr>
          <w:t xml:space="preserve">https://www.glamot.com/blog/47446/hair-straighteners-with-minerals-innovation-for-healthy-and-shiny-hair</w:t>
        </w:r>
      </w:hyperlink>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p>
    <w:bookmarkStart w:id="859" w:name="fn17"/>
    <w:bookmarkEnd w:id="859"/>
    <w:p>
      <w:pPr>
        <w:numPr>
          <w:ilvl w:val="0"/>
          <w:numId w:val="77"/>
        </w:numPr>
        <w:spacing w:line="360" w:after="210" w:lineRule="auto"/>
      </w:pPr>
      <w:hyperlink r:id="rId23">
        <w:r>
          <w:rPr>
            <w:rFonts w:eastAsia="inter" w:cs="inter" w:ascii="inter" w:hAnsi="inter"/>
            <w:color w:val="#000"/>
            <w:sz w:val="18"/>
            <w:u w:val="single"/>
          </w:rPr>
          <w:t xml:space="preserve">https://en.wikipedia.org/wiki/Ceramic_heater</w:t>
        </w:r>
      </w:hyperlink>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p>
    <w:bookmarkStart w:id="860" w:name="fn18"/>
    <w:bookmarkEnd w:id="860"/>
    <w:p>
      <w:pPr>
        <w:numPr>
          <w:ilvl w:val="0"/>
          <w:numId w:val="77"/>
        </w:numPr>
        <w:spacing w:line="360" w:after="210" w:lineRule="auto"/>
      </w:pPr>
      <w:hyperlink r:id="rId24">
        <w:r>
          <w:rPr>
            <w:rFonts w:eastAsia="inter" w:cs="inter" w:ascii="inter" w:hAnsi="inter"/>
            <w:color w:val="#000"/>
            <w:sz w:val="18"/>
            <w:u w:val="single"/>
          </w:rPr>
          <w:t xml:space="preserve">https://www.youtube.com/watch?v=r_cdZvGvD44</w:t>
        </w:r>
      </w:hyperlink>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p>
    <w:bookmarkStart w:id="861" w:name="fn19"/>
    <w:bookmarkEnd w:id="861"/>
    <w:p>
      <w:pPr>
        <w:numPr>
          <w:ilvl w:val="0"/>
          <w:numId w:val="77"/>
        </w:numPr>
        <w:spacing w:line="360" w:after="210" w:lineRule="auto"/>
      </w:pPr>
      <w:hyperlink r:id="rId25">
        <w:r>
          <w:rPr>
            <w:rFonts w:eastAsia="inter" w:cs="inter" w:ascii="inter" w:hAnsi="inter"/>
            <w:color w:val="#000"/>
            <w:sz w:val="18"/>
            <w:u w:val="single"/>
          </w:rPr>
          <w:t xml:space="preserve">https://www.industrial-eu.dbk-group.com/news/allrounder-ptc</w:t>
        </w:r>
      </w:hyperlink>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p>
    <w:bookmarkStart w:id="862" w:name="fn20"/>
    <w:bookmarkEnd w:id="862"/>
    <w:p>
      <w:pPr>
        <w:numPr>
          <w:ilvl w:val="0"/>
          <w:numId w:val="77"/>
        </w:numPr>
        <w:spacing w:line="360" w:after="210" w:lineRule="auto"/>
      </w:pPr>
      <w:hyperlink r:id="rId26">
        <w:r>
          <w:rPr>
            <w:rFonts w:eastAsia="inter" w:cs="inter" w:ascii="inter" w:hAnsi="inter"/>
            <w:color w:val="#000"/>
            <w:sz w:val="18"/>
            <w:u w:val="single"/>
          </w:rPr>
          <w:t xml:space="preserve">https://www.salesforce.com/in/blog/product-life-cycle/</w:t>
        </w:r>
      </w:hyperlink>
      <w:r>
        <w:rPr>
          <w:rFonts w:eastAsia="inter" w:cs="inter" w:ascii="inter" w:hAnsi="inter"/>
          <w:color w:val="000000"/>
          <w:sz w:val="18"/>
        </w:rPr>
        <w:t xml:space="preserve"> </w:t>
      </w:r>
    </w:p>
    <w:bookmarkStart w:id="863" w:name="fn21"/>
    <w:bookmarkEnd w:id="863"/>
    <w:p>
      <w:pPr>
        <w:numPr>
          <w:ilvl w:val="0"/>
          <w:numId w:val="77"/>
        </w:numPr>
        <w:spacing w:line="360" w:after="210" w:lineRule="auto"/>
      </w:pPr>
      <w:hyperlink r:id="rId27">
        <w:r>
          <w:rPr>
            <w:rFonts w:eastAsia="inter" w:cs="inter" w:ascii="inter" w:hAnsi="inter"/>
            <w:color w:val="#000"/>
            <w:sz w:val="18"/>
            <w:u w:val="single"/>
          </w:rPr>
          <w:t xml:space="preserve">https://www.icagile.com/resources/the-4-stages-of-the-product-management-lifecycle</w:t>
        </w:r>
      </w:hyperlink>
      <w:r>
        <w:rPr>
          <w:rFonts w:eastAsia="inter" w:cs="inter" w:ascii="inter" w:hAnsi="inter"/>
          <w:color w:val="000000"/>
          <w:sz w:val="18"/>
        </w:rPr>
        <w:t xml:space="preserve"> </w:t>
      </w:r>
    </w:p>
    <w:bookmarkStart w:id="864" w:name="fn22"/>
    <w:bookmarkEnd w:id="864"/>
    <w:p>
      <w:pPr>
        <w:numPr>
          <w:ilvl w:val="0"/>
          <w:numId w:val="77"/>
        </w:numPr>
        <w:spacing w:line="360" w:after="210" w:lineRule="auto"/>
      </w:pPr>
      <w:hyperlink r:id="rId28">
        <w:r>
          <w:rPr>
            <w:rFonts w:eastAsia="inter" w:cs="inter" w:ascii="inter" w:hAnsi="inter"/>
            <w:color w:val="#000"/>
            <w:sz w:val="18"/>
            <w:u w:val="single"/>
          </w:rPr>
          <w:t xml:space="preserve">https://www.surveymonkey.com/market-research/resources/5-stages-of-product-life-cycle/</w:t>
        </w:r>
      </w:hyperlink>
      <w:r>
        <w:rPr>
          <w:rFonts w:eastAsia="inter" w:cs="inter" w:ascii="inter" w:hAnsi="inter"/>
          <w:color w:val="000000"/>
          <w:sz w:val="18"/>
        </w:rPr>
        <w:t xml:space="preserve"> </w:t>
      </w:r>
    </w:p>
    <w:bookmarkStart w:id="865" w:name="fn23"/>
    <w:bookmarkEnd w:id="865"/>
    <w:p>
      <w:pPr>
        <w:numPr>
          <w:ilvl w:val="0"/>
          <w:numId w:val="77"/>
        </w:numPr>
        <w:spacing w:line="360" w:after="210" w:lineRule="auto"/>
      </w:pPr>
      <w:hyperlink r:id="rId29">
        <w:r>
          <w:rPr>
            <w:rFonts w:eastAsia="inter" w:cs="inter" w:ascii="inter" w:hAnsi="inter"/>
            <w:color w:val="#000"/>
            <w:sz w:val="18"/>
            <w:u w:val="single"/>
          </w:rPr>
          <w:t xml:space="preserve">https://www.maximizemarketresearch.com/market-report/hair-straightener-market/194961/</w:t>
        </w:r>
      </w:hyperlink>
      <w:r>
        <w:rPr>
          <w:rFonts w:eastAsia="inter" w:cs="inter" w:ascii="inter" w:hAnsi="inter"/>
          <w:color w:val="000000"/>
          <w:sz w:val="18"/>
        </w:rPr>
        <w:t xml:space="preserve"> </w:t>
      </w:r>
      <w:r>
        <w:rPr>
          <w:rFonts w:eastAsia="inter" w:cs="inter" w:ascii="inter" w:hAnsi="inter"/>
          <w:color w:val="000000"/>
          <w:sz w:val="18"/>
        </w:rPr>
        <w:t xml:space="preserve"> </w:t>
      </w:r>
    </w:p>
    <w:bookmarkStart w:id="866" w:name="fn24"/>
    <w:bookmarkEnd w:id="866"/>
    <w:p>
      <w:pPr>
        <w:numPr>
          <w:ilvl w:val="0"/>
          <w:numId w:val="77"/>
        </w:numPr>
        <w:spacing w:line="360" w:after="210" w:lineRule="auto"/>
      </w:pPr>
      <w:hyperlink r:id="rId30">
        <w:r>
          <w:rPr>
            <w:rFonts w:eastAsia="inter" w:cs="inter" w:ascii="inter" w:hAnsi="inter"/>
            <w:color w:val="#000"/>
            <w:sz w:val="18"/>
            <w:u w:val="single"/>
          </w:rPr>
          <w:t xml:space="preserve">https://www.marketsandata.com/industry-reports/india-hair-straightener-market</w:t>
        </w:r>
      </w:hyperlink>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p>
    <w:bookmarkStart w:id="867" w:name="fn25"/>
    <w:bookmarkEnd w:id="867"/>
    <w:p>
      <w:pPr>
        <w:numPr>
          <w:ilvl w:val="0"/>
          <w:numId w:val="77"/>
        </w:numPr>
        <w:spacing w:line="360" w:after="210" w:lineRule="auto"/>
      </w:pPr>
      <w:hyperlink r:id="rId31">
        <w:r>
          <w:rPr>
            <w:rFonts w:eastAsia="inter" w:cs="inter" w:ascii="inter" w:hAnsi="inter"/>
            <w:color w:val="#000"/>
            <w:sz w:val="18"/>
            <w:u w:val="single"/>
          </w:rPr>
          <w:t xml:space="preserve">https://www.mintel.com/press-centre/hair-straighteners-making-waves-over-a-quarter-of-women-now-cant-live-without-them/</w:t>
        </w:r>
      </w:hyperlink>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p>
    <w:bookmarkStart w:id="868" w:name="fn26"/>
    <w:bookmarkEnd w:id="868"/>
    <w:p>
      <w:pPr>
        <w:numPr>
          <w:ilvl w:val="0"/>
          <w:numId w:val="77"/>
        </w:numPr>
        <w:spacing w:line="360" w:after="210" w:lineRule="auto"/>
      </w:pPr>
      <w:hyperlink r:id="rId32">
        <w:r>
          <w:rPr>
            <w:rFonts w:eastAsia="inter" w:cs="inter" w:ascii="inter" w:hAnsi="inter"/>
            <w:color w:val="#000"/>
            <w:sz w:val="18"/>
            <w:u w:val="single"/>
          </w:rPr>
          <w:t xml:space="preserve">https://www.technavio.com/report/hair-straightener-market-industry-analysis</w:t>
        </w:r>
      </w:hyperlink>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p>
    <w:bookmarkStart w:id="869" w:name="fn27"/>
    <w:bookmarkEnd w:id="869"/>
    <w:p>
      <w:pPr>
        <w:numPr>
          <w:ilvl w:val="0"/>
          <w:numId w:val="77"/>
        </w:numPr>
        <w:spacing w:line="360" w:after="210" w:lineRule="auto"/>
      </w:pPr>
      <w:hyperlink r:id="rId33">
        <w:r>
          <w:rPr>
            <w:rFonts w:eastAsia="inter" w:cs="inter" w:ascii="inter" w:hAnsi="inter"/>
            <w:color w:val="#000"/>
            <w:sz w:val="18"/>
            <w:u w:val="single"/>
          </w:rPr>
          <w:t xml:space="preserve">https://www.linkedin.com/pulse/revolutionizing-hair-care-future-smart-straighteners-jessica-ying-kwsje</w:t>
        </w:r>
      </w:hyperlink>
      <w:r>
        <w:rPr>
          <w:rFonts w:eastAsia="inter" w:cs="inter" w:ascii="inter" w:hAnsi="inter"/>
          <w:color w:val="000000"/>
          <w:sz w:val="18"/>
        </w:rPr>
        <w:t xml:space="preserve"> </w:t>
      </w:r>
      <w:r>
        <w:rPr>
          <w:rFonts w:eastAsia="inter" w:cs="inter" w:ascii="inter" w:hAnsi="inter"/>
          <w:color w:val="000000"/>
          <w:sz w:val="18"/>
        </w:rPr>
        <w:t xml:space="preserve"> </w:t>
      </w:r>
    </w:p>
    <w:bookmarkStart w:id="870" w:name="fn28"/>
    <w:bookmarkEnd w:id="870"/>
    <w:p>
      <w:pPr>
        <w:numPr>
          <w:ilvl w:val="0"/>
          <w:numId w:val="77"/>
        </w:numPr>
        <w:spacing w:line="360" w:after="210" w:lineRule="auto"/>
      </w:pPr>
      <w:hyperlink r:id="rId34">
        <w:r>
          <w:rPr>
            <w:rFonts w:eastAsia="inter" w:cs="inter" w:ascii="inter" w:hAnsi="inter"/>
            <w:color w:val="#000"/>
            <w:sz w:val="18"/>
            <w:u w:val="single"/>
          </w:rPr>
          <w:t xml:space="preserve">https://www.mexc.co/news/345236</w:t>
        </w:r>
      </w:hyperlink>
      <w:r>
        <w:rPr>
          <w:rFonts w:eastAsia="inter" w:cs="inter" w:ascii="inter" w:hAnsi="inter"/>
          <w:color w:val="000000"/>
          <w:sz w:val="18"/>
        </w:rPr>
        <w:t xml:space="preserve"> </w:t>
      </w:r>
    </w:p>
    <w:bookmarkStart w:id="871" w:name="fn29"/>
    <w:bookmarkEnd w:id="871"/>
    <w:p>
      <w:pPr>
        <w:numPr>
          <w:ilvl w:val="0"/>
          <w:numId w:val="77"/>
        </w:numPr>
        <w:spacing w:line="360" w:after="210" w:lineRule="auto"/>
      </w:pPr>
      <w:hyperlink r:id="rId35">
        <w:r>
          <w:rPr>
            <w:rFonts w:eastAsia="inter" w:cs="inter" w:ascii="inter" w:hAnsi="inter"/>
            <w:color w:val="#000"/>
            <w:sz w:val="18"/>
            <w:u w:val="single"/>
          </w:rPr>
          <w:t xml:space="preserve">https://www.alliedmarketresearch.com/hair-straightener-market</w:t>
        </w:r>
      </w:hyperlink>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p>
    <w:bookmarkStart w:id="872" w:name="fn30"/>
    <w:bookmarkEnd w:id="872"/>
    <w:p>
      <w:pPr>
        <w:numPr>
          <w:ilvl w:val="0"/>
          <w:numId w:val="77"/>
        </w:numPr>
        <w:spacing w:line="360" w:after="210" w:lineRule="auto"/>
      </w:pPr>
      <w:hyperlink r:id="rId36">
        <w:r>
          <w:rPr>
            <w:rFonts w:eastAsia="inter" w:cs="inter" w:ascii="inter" w:hAnsi="inter"/>
            <w:color w:val="#000"/>
            <w:sz w:val="18"/>
            <w:u w:val="single"/>
          </w:rPr>
          <w:t xml:space="preserve">https://www.marketsandata.com/industry-reports/hair-straightener-market</w:t>
        </w:r>
      </w:hyperlink>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p>
    <w:bookmarkStart w:id="873" w:name="fn31"/>
    <w:bookmarkEnd w:id="873"/>
    <w:p>
      <w:pPr>
        <w:numPr>
          <w:ilvl w:val="0"/>
          <w:numId w:val="77"/>
        </w:numPr>
        <w:spacing w:line="360" w:after="210" w:lineRule="auto"/>
      </w:pPr>
      <w:hyperlink r:id="rId37">
        <w:r>
          <w:rPr>
            <w:rFonts w:eastAsia="inter" w:cs="inter" w:ascii="inter" w:hAnsi="inter"/>
            <w:color w:val="#000"/>
            <w:sz w:val="18"/>
            <w:u w:val="single"/>
          </w:rPr>
          <w:t xml:space="preserve">https://www.dyson.co.uk/discover/news/press-releases/dyson-financial-results-2023</w:t>
        </w:r>
      </w:hyperlink>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p>
    <w:bookmarkStart w:id="874" w:name="fn32"/>
    <w:bookmarkEnd w:id="874"/>
    <w:p>
      <w:pPr>
        <w:numPr>
          <w:ilvl w:val="0"/>
          <w:numId w:val="77"/>
        </w:numPr>
        <w:spacing w:line="360" w:after="210" w:lineRule="auto"/>
      </w:pPr>
      <w:hyperlink r:id="rId38">
        <w:r>
          <w:rPr>
            <w:rFonts w:eastAsia="inter" w:cs="inter" w:ascii="inter" w:hAnsi="inter"/>
            <w:color w:val="#000"/>
            <w:sz w:val="18"/>
            <w:u w:val="single"/>
          </w:rPr>
          <w:t xml:space="preserve">https://www.cn-utrust.com/how-are-hair-straighteners-manufactured.html</w:t>
        </w:r>
      </w:hyperlink>
      <w:r>
        <w:rPr>
          <w:rFonts w:eastAsia="inter" w:cs="inter" w:ascii="inter" w:hAnsi="inter"/>
          <w:color w:val="000000"/>
          <w:sz w:val="18"/>
        </w:rPr>
        <w:t xml:space="preserve"> </w:t>
      </w:r>
    </w:p>
    <w:bookmarkStart w:id="875" w:name="fn33"/>
    <w:bookmarkEnd w:id="875"/>
    <w:p>
      <w:pPr>
        <w:numPr>
          <w:ilvl w:val="0"/>
          <w:numId w:val="77"/>
        </w:numPr>
        <w:spacing w:line="360" w:after="210" w:lineRule="auto"/>
      </w:pPr>
      <w:hyperlink r:id="rId39">
        <w:r>
          <w:rPr>
            <w:rFonts w:eastAsia="inter" w:cs="inter" w:ascii="inter" w:hAnsi="inter"/>
            <w:color w:val="#000"/>
            <w:sz w:val="18"/>
            <w:u w:val="single"/>
          </w:rPr>
          <w:t xml:space="preserve">https://www.sokany.com/a-how-are-hair-straighteners-made.html</w:t>
        </w:r>
      </w:hyperlink>
      <w:r>
        <w:rPr>
          <w:rFonts w:eastAsia="inter" w:cs="inter" w:ascii="inter" w:hAnsi="inter"/>
          <w:color w:val="000000"/>
          <w:sz w:val="18"/>
        </w:rPr>
        <w:t xml:space="preserve"> </w:t>
      </w:r>
    </w:p>
    <w:bookmarkStart w:id="876" w:name="fn34"/>
    <w:bookmarkEnd w:id="876"/>
    <w:p>
      <w:pPr>
        <w:numPr>
          <w:ilvl w:val="0"/>
          <w:numId w:val="77"/>
        </w:numPr>
        <w:spacing w:line="360" w:after="210" w:lineRule="auto"/>
      </w:pPr>
      <w:hyperlink r:id="rId40">
        <w:r>
          <w:rPr>
            <w:rFonts w:eastAsia="inter" w:cs="inter" w:ascii="inter" w:hAnsi="inter"/>
            <w:color w:val="#000"/>
            <w:sz w:val="18"/>
            <w:u w:val="single"/>
          </w:rPr>
          <w:t xml:space="preserve">https://www.imarcgroup.com/hair-straightener-manufacturing-plant-project-report</w:t>
        </w:r>
      </w:hyperlink>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p>
    <w:bookmarkStart w:id="877" w:name="fn35"/>
    <w:bookmarkEnd w:id="877"/>
    <w:p>
      <w:pPr>
        <w:numPr>
          <w:ilvl w:val="0"/>
          <w:numId w:val="77"/>
        </w:numPr>
        <w:spacing w:line="360" w:after="210" w:lineRule="auto"/>
      </w:pPr>
      <w:hyperlink r:id="rId41">
        <w:r>
          <w:rPr>
            <w:rFonts w:eastAsia="inter" w:cs="inter" w:ascii="inter" w:hAnsi="inter"/>
            <w:color w:val="#000"/>
            <w:sz w:val="18"/>
            <w:u w:val="single"/>
          </w:rPr>
          <w:t xml:space="preserve">https://www.screlektroniks.com/pages/products/preheating_test_setup_for_hair_straightener.php</w:t>
        </w:r>
      </w:hyperlink>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p>
    <w:bookmarkStart w:id="878" w:name="fn36"/>
    <w:bookmarkEnd w:id="878"/>
    <w:p>
      <w:pPr>
        <w:numPr>
          <w:ilvl w:val="0"/>
          <w:numId w:val="77"/>
        </w:numPr>
        <w:spacing w:line="360" w:after="210" w:lineRule="auto"/>
      </w:pPr>
      <w:hyperlink r:id="rId42">
        <w:r>
          <w:rPr>
            <w:rFonts w:eastAsia="inter" w:cs="inter" w:ascii="inter" w:hAnsi="inter"/>
            <w:color w:val="#000"/>
            <w:sz w:val="18"/>
            <w:u w:val="single"/>
          </w:rPr>
          <w:t xml:space="preserve">https://www.olayer.com/china-hair-straightener/</w:t>
        </w:r>
      </w:hyperlink>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p>
    <w:bookmarkStart w:id="879" w:name="fn37"/>
    <w:bookmarkEnd w:id="879"/>
    <w:p>
      <w:pPr>
        <w:numPr>
          <w:ilvl w:val="0"/>
          <w:numId w:val="77"/>
        </w:numPr>
        <w:spacing w:line="360" w:after="210" w:lineRule="auto"/>
      </w:pPr>
      <w:hyperlink r:id="rId43">
        <w:r>
          <w:rPr>
            <w:rFonts w:eastAsia="inter" w:cs="inter" w:ascii="inter" w:hAnsi="inter"/>
            <w:color w:val="#000"/>
            <w:sz w:val="18"/>
            <w:u w:val="single"/>
          </w:rPr>
          <w:t xml:space="preserve">https://www.linkedin.com/pulse/flat-iron-hair-straightener-market-strategy-supply-chain-8v3ef</w:t>
        </w:r>
      </w:hyperlink>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p>
    <w:bookmarkStart w:id="880" w:name="fn38"/>
    <w:bookmarkEnd w:id="880"/>
    <w:p>
      <w:pPr>
        <w:numPr>
          <w:ilvl w:val="0"/>
          <w:numId w:val="77"/>
        </w:numPr>
        <w:spacing w:line="360" w:after="210" w:lineRule="auto"/>
      </w:pPr>
      <w:hyperlink r:id="rId44">
        <w:r>
          <w:rPr>
            <w:rFonts w:eastAsia="inter" w:cs="inter" w:ascii="inter" w:hAnsi="inter"/>
            <w:color w:val="#000"/>
            <w:sz w:val="18"/>
            <w:u w:val="single"/>
          </w:rPr>
          <w:t xml:space="preserve">https://patents.google.com/patent/US4245146A/en</w:t>
        </w:r>
      </w:hyperlink>
      <w:r>
        <w:rPr>
          <w:rFonts w:eastAsia="inter" w:cs="inter" w:ascii="inter" w:hAnsi="inter"/>
          <w:color w:val="000000"/>
          <w:sz w:val="18"/>
        </w:rPr>
        <w:t xml:space="preserve"> </w:t>
      </w:r>
      <w:r>
        <w:rPr>
          <w:rFonts w:eastAsia="inter" w:cs="inter" w:ascii="inter" w:hAnsi="inter"/>
          <w:color w:val="000000"/>
          <w:sz w:val="18"/>
        </w:rPr>
        <w:t xml:space="preserve"> </w:t>
      </w:r>
    </w:p>
    <w:bookmarkStart w:id="881" w:name="fn39"/>
    <w:bookmarkEnd w:id="881"/>
    <w:p>
      <w:pPr>
        <w:numPr>
          <w:ilvl w:val="0"/>
          <w:numId w:val="77"/>
        </w:numPr>
        <w:spacing w:line="360" w:after="210" w:lineRule="auto"/>
      </w:pPr>
      <w:hyperlink r:id="rId45">
        <w:r>
          <w:rPr>
            <w:rFonts w:eastAsia="inter" w:cs="inter" w:ascii="inter" w:hAnsi="inter"/>
            <w:color w:val="#000"/>
            <w:sz w:val="18"/>
            <w:u w:val="single"/>
          </w:rPr>
          <w:t xml:space="preserve">https://www.fivepluscn.com/private-label-wholesale-flat-irons/</w:t>
        </w:r>
      </w:hyperlink>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p>
    <w:bookmarkStart w:id="882" w:name="fn40"/>
    <w:bookmarkEnd w:id="882"/>
    <w:p>
      <w:pPr>
        <w:numPr>
          <w:ilvl w:val="0"/>
          <w:numId w:val="77"/>
        </w:numPr>
        <w:spacing w:line="360" w:after="210" w:lineRule="auto"/>
      </w:pPr>
      <w:hyperlink r:id="rId46">
        <w:r>
          <w:rPr>
            <w:rFonts w:eastAsia="inter" w:cs="inter" w:ascii="inter" w:hAnsi="inter"/>
            <w:color w:val="#000"/>
            <w:sz w:val="18"/>
            <w:u w:val="single"/>
          </w:rPr>
          <w:t xml:space="preserve">https://www.youtube.com/watch?v=qFoErjMmwfA</w:t>
        </w:r>
      </w:hyperlink>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p>
    <w:bookmarkStart w:id="883" w:name="fn41"/>
    <w:bookmarkEnd w:id="883"/>
    <w:p>
      <w:pPr>
        <w:numPr>
          <w:ilvl w:val="0"/>
          <w:numId w:val="77"/>
        </w:numPr>
        <w:spacing w:line="360" w:after="210" w:lineRule="auto"/>
      </w:pPr>
      <w:hyperlink r:id="rId47">
        <w:r>
          <w:rPr>
            <w:rFonts w:eastAsia="inter" w:cs="inter" w:ascii="inter" w:hAnsi="inter"/>
            <w:color w:val="#000"/>
            <w:sz w:val="18"/>
            <w:u w:val="single"/>
          </w:rPr>
          <w:t xml:space="preserve">https://www.mddionline.com/manufacturing/economies-of-scale-electronics-manufacturing-services-bring-balance</w:t>
        </w:r>
      </w:hyperlink>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p>
    <w:bookmarkStart w:id="884" w:name="fn42"/>
    <w:bookmarkEnd w:id="884"/>
    <w:p>
      <w:pPr>
        <w:numPr>
          <w:ilvl w:val="0"/>
          <w:numId w:val="77"/>
        </w:numPr>
        <w:spacing w:line="360" w:after="210" w:lineRule="auto"/>
      </w:pPr>
      <w:hyperlink r:id="rId48">
        <w:r>
          <w:rPr>
            <w:rFonts w:eastAsia="inter" w:cs="inter" w:ascii="inter" w:hAnsi="inter"/>
            <w:color w:val="#000"/>
            <w:sz w:val="18"/>
            <w:u w:val="single"/>
          </w:rPr>
          <w:t xml:space="preserve">https://www.youtube.com/watch?v=MJx0ng6kWfM</w:t>
        </w:r>
      </w:hyperlink>
      <w:r>
        <w:rPr>
          <w:rFonts w:eastAsia="inter" w:cs="inter" w:ascii="inter" w:hAnsi="inter"/>
          <w:color w:val="000000"/>
          <w:sz w:val="18"/>
        </w:rPr>
        <w:t xml:space="preserve"> </w:t>
      </w:r>
    </w:p>
    <w:bookmarkStart w:id="885" w:name="fn43"/>
    <w:bookmarkEnd w:id="885"/>
    <w:p>
      <w:pPr>
        <w:numPr>
          <w:ilvl w:val="0"/>
          <w:numId w:val="77"/>
        </w:numPr>
        <w:spacing w:line="360" w:after="210" w:lineRule="auto"/>
      </w:pPr>
      <w:hyperlink r:id="rId49">
        <w:r>
          <w:rPr>
            <w:rFonts w:eastAsia="inter" w:cs="inter" w:ascii="inter" w:hAnsi="inter"/>
            <w:color w:val="#000"/>
            <w:sz w:val="18"/>
            <w:u w:val="single"/>
          </w:rPr>
          <w:t xml:space="preserve">https://patents.google.com/patent/EP3305129A1/en</w:t>
        </w:r>
      </w:hyperlink>
      <w:r>
        <w:rPr>
          <w:rFonts w:eastAsia="inter" w:cs="inter" w:ascii="inter" w:hAnsi="inter"/>
          <w:color w:val="000000"/>
          <w:sz w:val="18"/>
        </w:rPr>
        <w:t xml:space="preserve"> </w:t>
      </w:r>
    </w:p>
    <w:bookmarkStart w:id="886" w:name="fn44"/>
    <w:bookmarkEnd w:id="886"/>
    <w:p>
      <w:pPr>
        <w:numPr>
          <w:ilvl w:val="0"/>
          <w:numId w:val="77"/>
        </w:numPr>
        <w:spacing w:line="360" w:after="210" w:lineRule="auto"/>
      </w:pPr>
      <w:hyperlink r:id="rId50">
        <w:r>
          <w:rPr>
            <w:rFonts w:eastAsia="inter" w:cs="inter" w:ascii="inter" w:hAnsi="inter"/>
            <w:color w:val="#000"/>
            <w:sz w:val="18"/>
            <w:u w:val="single"/>
          </w:rPr>
          <w:t xml:space="preserve">https://www.pritechcare.com/blog/guide-to-the-industrial-sites-in-china-for-manufacturing-hair-straighteners-and-curlers/</w:t>
        </w:r>
      </w:hyperlink>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p>
    <w:bookmarkStart w:id="887" w:name="fn45"/>
    <w:bookmarkEnd w:id="887"/>
    <w:p>
      <w:pPr>
        <w:numPr>
          <w:ilvl w:val="0"/>
          <w:numId w:val="77"/>
        </w:numPr>
        <w:spacing w:line="360" w:after="210" w:lineRule="auto"/>
      </w:pPr>
      <w:hyperlink r:id="rId51">
        <w:r>
          <w:rPr>
            <w:rFonts w:eastAsia="inter" w:cs="inter" w:ascii="inter" w:hAnsi="inter"/>
            <w:color w:val="#000"/>
            <w:sz w:val="18"/>
            <w:u w:val="single"/>
          </w:rPr>
          <w:t xml:space="preserve">https://www.reddit.com/r/AskElectronics/comments/1aytcmb/how_is_is_that_assembled_electronics_are_so_cheap/</w:t>
        </w:r>
      </w:hyperlink>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p>
    <w:bookmarkStart w:id="888" w:name="fn46"/>
    <w:bookmarkEnd w:id="888"/>
    <w:p>
      <w:pPr>
        <w:numPr>
          <w:ilvl w:val="0"/>
          <w:numId w:val="77"/>
        </w:numPr>
        <w:spacing w:line="360" w:after="210" w:lineRule="auto"/>
      </w:pPr>
      <w:hyperlink r:id="rId52">
        <w:r>
          <w:rPr>
            <w:rFonts w:eastAsia="inter" w:cs="inter" w:ascii="inter" w:hAnsi="inter"/>
            <w:color w:val="#000"/>
            <w:sz w:val="18"/>
            <w:u w:val="single"/>
          </w:rPr>
          <w:t xml:space="preserve">https://shiyabeauty.goldsupplier.com</w:t>
        </w:r>
      </w:hyperlink>
      <w:r>
        <w:rPr>
          <w:rFonts w:eastAsia="inter" w:cs="inter" w:ascii="inter" w:hAnsi="inter"/>
          <w:color w:val="000000"/>
          <w:sz w:val="18"/>
        </w:rPr>
        <w:t xml:space="preserve"> </w:t>
      </w:r>
      <w:r>
        <w:rPr>
          <w:rFonts w:eastAsia="inter" w:cs="inter" w:ascii="inter" w:hAnsi="inter"/>
          <w:color w:val="000000"/>
          <w:sz w:val="18"/>
        </w:rPr>
        <w:t xml:space="preserve"> </w:t>
      </w:r>
    </w:p>
    <w:bookmarkStart w:id="889" w:name="fn47"/>
    <w:bookmarkEnd w:id="889"/>
    <w:p>
      <w:pPr>
        <w:numPr>
          <w:ilvl w:val="0"/>
          <w:numId w:val="77"/>
        </w:numPr>
        <w:spacing w:line="360" w:after="210" w:lineRule="auto"/>
      </w:pPr>
      <w:hyperlink r:id="rId53">
        <w:r>
          <w:rPr>
            <w:rFonts w:eastAsia="inter" w:cs="inter" w:ascii="inter" w:hAnsi="inter"/>
            <w:color w:val="#000"/>
            <w:sz w:val="18"/>
            <w:u w:val="single"/>
          </w:rPr>
          <w:t xml:space="preserve">https://aeno.com/blog/energy-efficient-blow-dryer-and-eco-friendly-hair-care-practices/</w:t>
        </w:r>
      </w:hyperlink>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p>
    <w:bookmarkStart w:id="890" w:name="fn48"/>
    <w:bookmarkEnd w:id="890"/>
    <w:p>
      <w:pPr>
        <w:numPr>
          <w:ilvl w:val="0"/>
          <w:numId w:val="77"/>
        </w:numPr>
        <w:spacing w:line="360" w:after="210" w:lineRule="auto"/>
      </w:pPr>
      <w:hyperlink r:id="rId54">
        <w:r>
          <w:rPr>
            <w:rFonts w:eastAsia="inter" w:cs="inter" w:ascii="inter" w:hAnsi="inter"/>
            <w:color w:val="#000"/>
            <w:sz w:val="18"/>
            <w:u w:val="single"/>
          </w:rPr>
          <w:t xml:space="preserve">https://sustainbeauty.co/blogs/sustainability/the-shocking-truth-about-energy-in-the-salon</w:t>
        </w:r>
      </w:hyperlink>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p>
    <w:bookmarkStart w:id="891" w:name="fn49"/>
    <w:bookmarkEnd w:id="891"/>
    <w:p>
      <w:pPr>
        <w:numPr>
          <w:ilvl w:val="0"/>
          <w:numId w:val="77"/>
        </w:numPr>
        <w:spacing w:line="360" w:after="210" w:lineRule="auto"/>
      </w:pPr>
      <w:hyperlink r:id="rId55">
        <w:r>
          <w:rPr>
            <w:rFonts w:eastAsia="inter" w:cs="inter" w:ascii="inter" w:hAnsi="inter"/>
            <w:color w:val="#000"/>
            <w:sz w:val="18"/>
            <w:u w:val="single"/>
          </w:rPr>
          <w:t xml:space="preserve">https://www.techsciresearch.com/report/hair-straightener-market/4272.html</w:t>
        </w:r>
      </w:hyperlink>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p>
    <w:bookmarkStart w:id="892" w:name="fn50"/>
    <w:bookmarkEnd w:id="892"/>
    <w:p>
      <w:pPr>
        <w:numPr>
          <w:ilvl w:val="0"/>
          <w:numId w:val="77"/>
        </w:numPr>
        <w:spacing w:line="360" w:after="210" w:lineRule="auto"/>
      </w:pPr>
      <w:hyperlink r:id="rId56">
        <w:r>
          <w:rPr>
            <w:rFonts w:eastAsia="inter" w:cs="inter" w:ascii="inter" w:hAnsi="inter"/>
            <w:color w:val="#000"/>
            <w:sz w:val="18"/>
            <w:u w:val="single"/>
          </w:rPr>
          <w:t xml:space="preserve">https://www.pelonistechnologies.com/blog/three-benefits-of-ptc-heating-technology</w:t>
        </w:r>
      </w:hyperlink>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p>
    <w:bookmarkStart w:id="893" w:name="fn51"/>
    <w:bookmarkEnd w:id="893"/>
    <w:p>
      <w:pPr>
        <w:numPr>
          <w:ilvl w:val="0"/>
          <w:numId w:val="77"/>
        </w:numPr>
        <w:spacing w:line="360" w:after="210" w:lineRule="auto"/>
      </w:pPr>
      <w:hyperlink r:id="rId57">
        <w:r>
          <w:rPr>
            <w:rFonts w:eastAsia="inter" w:cs="inter" w:ascii="inter" w:hAnsi="inter"/>
            <w:color w:val="#000"/>
            <w:sz w:val="18"/>
            <w:u w:val="single"/>
          </w:rPr>
          <w:t xml:space="preserve">https://www.pakeptc.com/productstags/ptc-ceramic-heater.html</w:t>
        </w:r>
      </w:hyperlink>
      <w:r>
        <w:rPr>
          <w:rFonts w:eastAsia="inter" w:cs="inter" w:ascii="inter" w:hAnsi="inter"/>
          <w:color w:val="000000"/>
          <w:sz w:val="18"/>
        </w:rPr>
        <w:t xml:space="preserve"> </w:t>
      </w:r>
    </w:p>
    <w:bookmarkStart w:id="894" w:name="fn52"/>
    <w:bookmarkEnd w:id="894"/>
    <w:p>
      <w:pPr>
        <w:numPr>
          <w:ilvl w:val="0"/>
          <w:numId w:val="77"/>
        </w:numPr>
        <w:spacing w:line="360" w:after="210" w:lineRule="auto"/>
      </w:pPr>
      <w:hyperlink r:id="rId58">
        <w:r>
          <w:rPr>
            <w:rFonts w:eastAsia="inter" w:cs="inter" w:ascii="inter" w:hAnsi="inter"/>
            <w:color w:val="#000"/>
            <w:sz w:val="18"/>
            <w:u w:val="single"/>
          </w:rPr>
          <w:t xml:space="preserve">https://www.researchandmarkets.com/reports/6070046/hair-straighteners-global-strategic-business</w:t>
        </w:r>
      </w:hyperlink>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p>
    <w:bookmarkStart w:id="895" w:name="fn53"/>
    <w:bookmarkEnd w:id="895"/>
    <w:p>
      <w:pPr>
        <w:numPr>
          <w:ilvl w:val="0"/>
          <w:numId w:val="77"/>
        </w:numPr>
        <w:spacing w:line="360" w:after="210" w:lineRule="auto"/>
      </w:pPr>
      <w:hyperlink r:id="rId59">
        <w:r>
          <w:rPr>
            <w:rFonts w:eastAsia="inter" w:cs="inter" w:ascii="inter" w:hAnsi="inter"/>
            <w:color w:val="#000"/>
            <w:sz w:val="18"/>
            <w:u w:val="single"/>
          </w:rPr>
          <w:t xml:space="preserve">https://assets.kpmg.com/content/dam/kpmg/xx/pdf/2022/12/how-strong-is-the-pricing-power-of-luxury-goods.pdf</w:t>
        </w:r>
      </w:hyperlink>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p>
    <w:bookmarkStart w:id="896" w:name="fn54"/>
    <w:bookmarkEnd w:id="896"/>
    <w:p>
      <w:pPr>
        <w:numPr>
          <w:ilvl w:val="0"/>
          <w:numId w:val="77"/>
        </w:numPr>
        <w:spacing w:line="360" w:after="210" w:lineRule="auto"/>
      </w:pPr>
      <w:hyperlink r:id="rId60">
        <w:r>
          <w:rPr>
            <w:rFonts w:eastAsia="inter" w:cs="inter" w:ascii="inter" w:hAnsi="inter"/>
            <w:color w:val="#000"/>
            <w:sz w:val="18"/>
            <w:u w:val="single"/>
          </w:rPr>
          <w:t xml:space="preserve">https://cataligent.in/blog/leveraging-economies-of-scale-to-reduce-production-costs/</w:t>
        </w:r>
      </w:hyperlink>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p>
    <w:bookmarkStart w:id="897" w:name="fn55"/>
    <w:bookmarkEnd w:id="897"/>
    <w:p>
      <w:pPr>
        <w:numPr>
          <w:ilvl w:val="0"/>
          <w:numId w:val="77"/>
        </w:numPr>
        <w:spacing w:line="360" w:after="210" w:lineRule="auto"/>
      </w:pPr>
      <w:hyperlink r:id="rId61">
        <w:r>
          <w:rPr>
            <w:rFonts w:eastAsia="inter" w:cs="inter" w:ascii="inter" w:hAnsi="inter"/>
            <w:color w:val="#000"/>
            <w:sz w:val="18"/>
            <w:u w:val="single"/>
          </w:rPr>
          <w:t xml:space="preserve">https://alephindia.in/isi-product/safety-of-household-and-similar-electrical-appliances-particular-requirements-appliances-for-skin-or-hair-care.php</w:t>
        </w:r>
      </w:hyperlink>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p>
    <w:bookmarkStart w:id="898" w:name="fn56"/>
    <w:bookmarkEnd w:id="898"/>
    <w:p>
      <w:pPr>
        <w:numPr>
          <w:ilvl w:val="0"/>
          <w:numId w:val="77"/>
        </w:numPr>
        <w:spacing w:line="360" w:after="210" w:lineRule="auto"/>
      </w:pPr>
      <w:hyperlink r:id="rId62">
        <w:r>
          <w:rPr>
            <w:rFonts w:eastAsia="inter" w:cs="inter" w:ascii="inter" w:hAnsi="inter"/>
            <w:color w:val="#000"/>
            <w:sz w:val="18"/>
            <w:u w:val="single"/>
          </w:rPr>
          <w:t xml:space="preserve">https://globalomega.com/blog/bis-certification-for-safety-of-household-and-similar-electrical-appliances-as-per-is-302-part-2-section-23.html</w:t>
        </w:r>
      </w:hyperlink>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p>
    <w:bookmarkStart w:id="899" w:name="fn57"/>
    <w:bookmarkEnd w:id="899"/>
    <w:p>
      <w:pPr>
        <w:numPr>
          <w:ilvl w:val="0"/>
          <w:numId w:val="77"/>
        </w:numPr>
        <w:spacing w:line="360" w:after="210" w:lineRule="auto"/>
      </w:pPr>
      <w:hyperlink r:id="rId63">
        <w:r>
          <w:rPr>
            <w:rFonts w:eastAsia="inter" w:cs="inter" w:ascii="inter" w:hAnsi="inter"/>
            <w:color w:val="#000"/>
            <w:sz w:val="18"/>
            <w:u w:val="single"/>
          </w:rPr>
          <w:t xml:space="preserve">https://meiliss.en.made-in-china.com</w:t>
        </w:r>
      </w:hyperlink>
      <w:r>
        <w:rPr>
          <w:rFonts w:eastAsia="inter" w:cs="inter" w:ascii="inter" w:hAnsi="inter"/>
          <w:color w:val="000000"/>
          <w:sz w:val="18"/>
        </w:rPr>
        <w:t xml:space="preserve"> </w:t>
      </w:r>
    </w:p>
    <w:bookmarkStart w:id="900" w:name="fn58"/>
    <w:bookmarkEnd w:id="900"/>
    <w:p>
      <w:pPr>
        <w:numPr>
          <w:ilvl w:val="0"/>
          <w:numId w:val="77"/>
        </w:numPr>
        <w:spacing w:line="360" w:after="210" w:lineRule="auto"/>
      </w:pPr>
      <w:hyperlink r:id="rId64">
        <w:r>
          <w:rPr>
            <w:rFonts w:eastAsia="inter" w:cs="inter" w:ascii="inter" w:hAnsi="inter"/>
            <w:color w:val="#000"/>
            <w:sz w:val="18"/>
            <w:u w:val="single"/>
          </w:rPr>
          <w:t xml:space="preserve">https://www.cybex.in/indian-custom-duty/electric-instantaneous-storage-water-heaters-hs-code-8516</w:t>
        </w:r>
      </w:hyperlink>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p>
    <w:bookmarkStart w:id="901" w:name="fn59"/>
    <w:bookmarkEnd w:id="901"/>
    <w:p>
      <w:pPr>
        <w:numPr>
          <w:ilvl w:val="0"/>
          <w:numId w:val="77"/>
        </w:numPr>
        <w:spacing w:line="360" w:after="210" w:lineRule="auto"/>
      </w:pPr>
      <w:hyperlink r:id="rId65">
        <w:r>
          <w:rPr>
            <w:rFonts w:eastAsia="inter" w:cs="inter" w:ascii="inter" w:hAnsi="inter"/>
            <w:color w:val="#000"/>
            <w:sz w:val="18"/>
            <w:u w:val="single"/>
          </w:rPr>
          <w:t xml:space="preserve">https://www.exportgenius.in/india-custom-duty/import-duty-hair-dryers-hscode-85163100</w:t>
        </w:r>
      </w:hyperlink>
      <w:r>
        <w:rPr>
          <w:rFonts w:eastAsia="inter" w:cs="inter" w:ascii="inter" w:hAnsi="inter"/>
          <w:color w:val="000000"/>
          <w:sz w:val="18"/>
        </w:rPr>
        <w:t xml:space="preserve"> </w:t>
      </w:r>
      <w:r>
        <w:rPr>
          <w:rFonts w:eastAsia="inter" w:cs="inter" w:ascii="inter" w:hAnsi="inter"/>
          <w:color w:val="000000"/>
          <w:sz w:val="18"/>
        </w:rPr>
        <w:t xml:space="preserve"> </w:t>
      </w:r>
    </w:p>
    <w:bookmarkStart w:id="902" w:name="fn60"/>
    <w:bookmarkEnd w:id="902"/>
    <w:p>
      <w:pPr>
        <w:numPr>
          <w:ilvl w:val="0"/>
          <w:numId w:val="77"/>
        </w:numPr>
        <w:spacing w:line="360" w:after="210" w:lineRule="auto"/>
      </w:pPr>
      <w:hyperlink r:id="rId66">
        <w:r>
          <w:rPr>
            <w:rFonts w:eastAsia="inter" w:cs="inter" w:ascii="inter" w:hAnsi="inter"/>
            <w:color w:val="#000"/>
            <w:sz w:val="18"/>
            <w:u w:val="single"/>
          </w:rPr>
          <w:t xml:space="preserve">https://www.nagnechielectronics.in/hair-straightner.html</w:t>
        </w:r>
      </w:hyperlink>
      <w:r>
        <w:rPr>
          <w:rFonts w:eastAsia="inter" w:cs="inter" w:ascii="inter" w:hAnsi="inter"/>
          <w:color w:val="000000"/>
          <w:sz w:val="18"/>
        </w:rPr>
        <w:t xml:space="preserve"> </w:t>
      </w:r>
      <w:r>
        <w:rPr>
          <w:rFonts w:eastAsia="inter" w:cs="inter" w:ascii="inter" w:hAnsi="inter"/>
          <w:color w:val="000000"/>
          <w:sz w:val="18"/>
        </w:rPr>
        <w:t xml:space="preserve"> </w:t>
      </w:r>
    </w:p>
    <w:bookmarkStart w:id="903" w:name="fn61"/>
    <w:bookmarkEnd w:id="903"/>
    <w:p>
      <w:pPr>
        <w:numPr>
          <w:ilvl w:val="0"/>
          <w:numId w:val="77"/>
        </w:numPr>
        <w:spacing w:line="360" w:after="210" w:lineRule="auto"/>
      </w:pPr>
      <w:hyperlink r:id="rId67">
        <w:r>
          <w:rPr>
            <w:rFonts w:eastAsia="inter" w:cs="inter" w:ascii="inter" w:hAnsi="inter"/>
            <w:color w:val="#000"/>
            <w:sz w:val="18"/>
            <w:u w:val="single"/>
          </w:rPr>
          <w:t xml:space="preserve">https://www.tdk-electronics.tdk.com/download/531356/728d0d379187d1dfa0831555b8c93202/pdf-general-technical-information.pdf</w:t>
        </w:r>
      </w:hyperlink>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p>
    <w:bookmarkStart w:id="904" w:name="fn62"/>
    <w:bookmarkEnd w:id="904"/>
    <w:p>
      <w:pPr>
        <w:numPr>
          <w:ilvl w:val="0"/>
          <w:numId w:val="77"/>
        </w:numPr>
        <w:spacing w:line="360" w:after="210" w:lineRule="auto"/>
      </w:pPr>
      <w:hyperlink r:id="rId68">
        <w:r>
          <w:rPr>
            <w:rFonts w:eastAsia="inter" w:cs="inter" w:ascii="inter" w:hAnsi="inter"/>
            <w:color w:val="#000"/>
            <w:sz w:val="18"/>
            <w:u w:val="single"/>
          </w:rPr>
          <w:t xml:space="preserve">https://open.oregonstate.education/intermediatemicroeconomics/chapter/module-6/</w:t>
        </w:r>
      </w:hyperlink>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p>
    <w:bookmarkStart w:id="905" w:name="fn63"/>
    <w:bookmarkEnd w:id="905"/>
    <w:p>
      <w:pPr>
        <w:numPr>
          <w:ilvl w:val="0"/>
          <w:numId w:val="77"/>
        </w:numPr>
        <w:spacing w:line="360" w:after="210" w:lineRule="auto"/>
      </w:pPr>
      <w:hyperlink r:id="rId69">
        <w:r>
          <w:rPr>
            <w:rFonts w:eastAsia="inter" w:cs="inter" w:ascii="inter" w:hAnsi="inter"/>
            <w:color w:val="#000"/>
            <w:sz w:val="18"/>
            <w:u w:val="single"/>
          </w:rPr>
          <w:t xml:space="preserve">https://ecampusontario.pressbooks.pub/principlesofmicroeconomicscdn/chapter/7-2-theory-of-production/</w:t>
        </w:r>
      </w:hyperlink>
      <w:r>
        <w:rPr>
          <w:rFonts w:eastAsia="inter" w:cs="inter" w:ascii="inter" w:hAnsi="inter"/>
          <w:color w:val="000000"/>
          <w:sz w:val="18"/>
        </w:rPr>
        <w:t xml:space="preserve"> </w:t>
      </w:r>
    </w:p>
    <w:bookmarkStart w:id="906" w:name="fn64"/>
    <w:bookmarkEnd w:id="906"/>
    <w:p>
      <w:pPr>
        <w:numPr>
          <w:ilvl w:val="0"/>
          <w:numId w:val="77"/>
        </w:numPr>
        <w:spacing w:line="360" w:after="210" w:lineRule="auto"/>
      </w:pPr>
      <w:hyperlink r:id="rId70">
        <w:r>
          <w:rPr>
            <w:rFonts w:eastAsia="inter" w:cs="inter" w:ascii="inter" w:hAnsi="inter"/>
            <w:color w:val="#000"/>
            <w:sz w:val="18"/>
            <w:u w:val="single"/>
          </w:rPr>
          <w:t xml:space="preserve">https://www.pvpsiddhartha.ac.in/dep_it/lecture notes/MEFA/unit2.pdf</w:t>
        </w:r>
      </w:hyperlink>
      <w:r>
        <w:rPr>
          <w:rFonts w:eastAsia="inter" w:cs="inter" w:ascii="inter" w:hAnsi="inter"/>
          <w:color w:val="000000"/>
          <w:sz w:val="18"/>
        </w:rPr>
        <w:t xml:space="preserve"> </w:t>
      </w:r>
    </w:p>
    <w:bookmarkStart w:id="907" w:name="fn65"/>
    <w:bookmarkEnd w:id="907"/>
    <w:p>
      <w:pPr>
        <w:numPr>
          <w:ilvl w:val="0"/>
          <w:numId w:val="77"/>
        </w:numPr>
        <w:spacing w:line="360" w:after="210" w:lineRule="auto"/>
      </w:pPr>
      <w:hyperlink r:id="rId71">
        <w:r>
          <w:rPr>
            <w:rFonts w:eastAsia="inter" w:cs="inter" w:ascii="inter" w:hAnsi="inter"/>
            <w:color w:val="#000"/>
            <w:sz w:val="18"/>
            <w:u w:val="single"/>
          </w:rPr>
          <w:t xml:space="preserve">https://testbook.com/key-differences/difference-between-short-run-and-long-run-production-function</w:t>
        </w:r>
      </w:hyperlink>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p>
    <w:bookmarkStart w:id="908" w:name="fn66"/>
    <w:bookmarkEnd w:id="908"/>
    <w:p>
      <w:pPr>
        <w:numPr>
          <w:ilvl w:val="0"/>
          <w:numId w:val="77"/>
        </w:numPr>
        <w:spacing w:line="360" w:after="210" w:lineRule="auto"/>
      </w:pPr>
      <w:hyperlink r:id="rId72">
        <w:r>
          <w:rPr>
            <w:rFonts w:eastAsia="inter" w:cs="inter" w:ascii="inter" w:hAnsi="inter"/>
            <w:color w:val="#000"/>
            <w:sz w:val="18"/>
            <w:u w:val="single"/>
          </w:rPr>
          <w:t xml:space="preserve">https://agarolifestyle.com/blogs/personal-care-appliances/understanding-hair-dryer-wattage-and-energy-use</w:t>
        </w:r>
      </w:hyperlink>
      <w:r>
        <w:rPr>
          <w:rFonts w:eastAsia="inter" w:cs="inter" w:ascii="inter" w:hAnsi="inter"/>
          <w:color w:val="000000"/>
          <w:sz w:val="18"/>
        </w:rPr>
        <w:t xml:space="preserve"> </w:t>
      </w:r>
    </w:p>
    <w:bookmarkStart w:id="909" w:name="fn67"/>
    <w:bookmarkEnd w:id="909"/>
    <w:p>
      <w:pPr>
        <w:numPr>
          <w:ilvl w:val="0"/>
          <w:numId w:val="77"/>
        </w:numPr>
        <w:spacing w:line="360" w:after="210" w:lineRule="auto"/>
      </w:pPr>
      <w:hyperlink r:id="rId73">
        <w:r>
          <w:rPr>
            <w:rFonts w:eastAsia="inter" w:cs="inter" w:ascii="inter" w:hAnsi="inter"/>
            <w:color w:val="#000"/>
            <w:sz w:val="18"/>
            <w:u w:val="single"/>
          </w:rPr>
          <w:t xml:space="preserve">https://www.sosheslays.com/style-blog/pm0g53a5ivogmwddpafu673n2nvjbe</w:t>
        </w:r>
      </w:hyperlink>
      <w:r>
        <w:rPr>
          <w:rFonts w:eastAsia="inter" w:cs="inter" w:ascii="inter" w:hAnsi="inter"/>
          <w:color w:val="000000"/>
          <w:sz w:val="18"/>
        </w:rPr>
        <w:t xml:space="preserve"> </w:t>
      </w:r>
    </w:p>
    <w:bookmarkStart w:id="910" w:name="fn68"/>
    <w:bookmarkEnd w:id="910"/>
    <w:p>
      <w:pPr>
        <w:numPr>
          <w:ilvl w:val="0"/>
          <w:numId w:val="77"/>
        </w:numPr>
        <w:spacing w:line="360" w:after="210" w:lineRule="auto"/>
      </w:pPr>
      <w:hyperlink r:id="rId74">
        <w:r>
          <w:rPr>
            <w:rFonts w:eastAsia="inter" w:cs="inter" w:ascii="inter" w:hAnsi="inter"/>
            <w:color w:val="#000"/>
            <w:sz w:val="18"/>
            <w:u w:val="single"/>
          </w:rPr>
          <w:t xml:space="preserve">https://courses.lumenlearning.com/suny-microeconomics/chapter/fixed-and-variable-costs/</w:t>
        </w:r>
      </w:hyperlink>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p>
    <w:bookmarkStart w:id="911" w:name="fn69"/>
    <w:bookmarkEnd w:id="911"/>
    <w:p>
      <w:pPr>
        <w:numPr>
          <w:ilvl w:val="0"/>
          <w:numId w:val="77"/>
        </w:numPr>
        <w:spacing w:line="360" w:after="210" w:lineRule="auto"/>
      </w:pPr>
      <w:hyperlink r:id="rId75">
        <w:r>
          <w:rPr>
            <w:rFonts w:eastAsia="inter" w:cs="inter" w:ascii="inter" w:hAnsi="inter"/>
            <w:color w:val="#000"/>
            <w:sz w:val="18"/>
            <w:u w:val="single"/>
          </w:rPr>
          <w:t xml:space="preserve">https://www.investopedia.com/ask/answers/032515/what-difference-between-variable-cost-and-fixed-cost-economics.asp</w:t>
        </w:r>
      </w:hyperlink>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p>
    <w:bookmarkStart w:id="912" w:name="fn70"/>
    <w:bookmarkEnd w:id="912"/>
    <w:p>
      <w:pPr>
        <w:numPr>
          <w:ilvl w:val="0"/>
          <w:numId w:val="77"/>
        </w:numPr>
        <w:spacing w:line="360" w:after="210" w:lineRule="auto"/>
      </w:pPr>
      <w:hyperlink r:id="rId76">
        <w:r>
          <w:rPr>
            <w:rFonts w:eastAsia="inter" w:cs="inter" w:ascii="inter" w:hAnsi="inter"/>
            <w:color w:val="#000"/>
            <w:sz w:val="18"/>
            <w:u w:val="single"/>
          </w:rPr>
          <w:t xml:space="preserve">https://www.youtube.com/watch?v=TcIj94BzSF8</w:t>
        </w:r>
      </w:hyperlink>
      <w:r>
        <w:rPr>
          <w:rFonts w:eastAsia="inter" w:cs="inter" w:ascii="inter" w:hAnsi="inter"/>
          <w:color w:val="000000"/>
          <w:sz w:val="18"/>
        </w:rPr>
        <w:t xml:space="preserve"> </w:t>
      </w:r>
    </w:p>
    <w:bookmarkStart w:id="913" w:name="fn71"/>
    <w:bookmarkEnd w:id="913"/>
    <w:p>
      <w:pPr>
        <w:numPr>
          <w:ilvl w:val="0"/>
          <w:numId w:val="77"/>
        </w:numPr>
        <w:spacing w:line="360" w:after="210" w:lineRule="auto"/>
      </w:pPr>
      <w:hyperlink r:id="rId77">
        <w:r>
          <w:rPr>
            <w:rFonts w:eastAsia="inter" w:cs="inter" w:ascii="inter" w:hAnsi="inter"/>
            <w:color w:val="#000"/>
            <w:sz w:val="18"/>
            <w:u w:val="single"/>
          </w:rPr>
          <w:t xml:space="preserve">https://www.linkedin.com/posts/vibhaskamal_i-was-reading-about-economies-of-scale-recently-activity-7403428969359839232-wtEK</w:t>
        </w:r>
      </w:hyperlink>
      <w:r>
        <w:rPr>
          <w:rFonts w:eastAsia="inter" w:cs="inter" w:ascii="inter" w:hAnsi="inter"/>
          <w:color w:val="000000"/>
          <w:sz w:val="18"/>
        </w:rPr>
        <w:t xml:space="preserve"> </w:t>
      </w:r>
    </w:p>
    <w:bookmarkStart w:id="914" w:name="fn72"/>
    <w:bookmarkEnd w:id="914"/>
    <w:p>
      <w:pPr>
        <w:numPr>
          <w:ilvl w:val="0"/>
          <w:numId w:val="77"/>
        </w:numPr>
        <w:spacing w:line="360" w:after="210" w:lineRule="auto"/>
      </w:pPr>
      <w:hyperlink r:id="rId78">
        <w:r>
          <w:rPr>
            <w:rFonts w:eastAsia="inter" w:cs="inter" w:ascii="inter" w:hAnsi="inter"/>
            <w:color w:val="#000"/>
            <w:sz w:val="18"/>
            <w:u w:val="single"/>
          </w:rPr>
          <w:t xml:space="preserve">https://www.youtube.com/watch?v=qfH2fD7ZcBw</w:t>
        </w:r>
      </w:hyperlink>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p>
    <w:bookmarkStart w:id="915" w:name="fn73"/>
    <w:bookmarkEnd w:id="915"/>
    <w:p>
      <w:pPr>
        <w:numPr>
          <w:ilvl w:val="0"/>
          <w:numId w:val="77"/>
        </w:numPr>
        <w:spacing w:line="360" w:after="210" w:lineRule="auto"/>
      </w:pPr>
      <w:hyperlink r:id="rId79">
        <w:r>
          <w:rPr>
            <w:rFonts w:eastAsia="inter" w:cs="inter" w:ascii="inter" w:hAnsi="inter"/>
            <w:color w:val="#000"/>
            <w:sz w:val="18"/>
            <w:u w:val="single"/>
          </w:rPr>
          <w:t xml:space="preserve">https://www.geeksforgeeks.org/microeconomics/production-function-meaning-features-and-types/</w:t>
        </w:r>
      </w:hyperlink>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p>
    <w:bookmarkStart w:id="916" w:name="fn74"/>
    <w:bookmarkEnd w:id="916"/>
    <w:p>
      <w:pPr>
        <w:numPr>
          <w:ilvl w:val="0"/>
          <w:numId w:val="77"/>
        </w:numPr>
        <w:spacing w:line="360" w:after="210" w:lineRule="auto"/>
      </w:pPr>
      <w:hyperlink r:id="rId80">
        <w:r>
          <w:rPr>
            <w:rFonts w:eastAsia="inter" w:cs="inter" w:ascii="inter" w:hAnsi="inter"/>
            <w:color w:val="#000"/>
            <w:sz w:val="18"/>
            <w:u w:val="single"/>
          </w:rPr>
          <w:t xml:space="preserve">https://pressbooks.oer.hawaii.edu/microeconomics2019/chapter/6-2-production-in-the-short-run/</w:t>
        </w:r>
      </w:hyperlink>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p>
    <w:bookmarkStart w:id="917" w:name="fn75"/>
    <w:bookmarkEnd w:id="917"/>
    <w:p>
      <w:pPr>
        <w:numPr>
          <w:ilvl w:val="0"/>
          <w:numId w:val="77"/>
        </w:numPr>
        <w:spacing w:line="360" w:after="210" w:lineRule="auto"/>
      </w:pPr>
      <w:hyperlink r:id="rId81">
        <w:r>
          <w:rPr>
            <w:rFonts w:eastAsia="inter" w:cs="inter" w:ascii="inter" w:hAnsi="inter"/>
            <w:color w:val="#000"/>
            <w:sz w:val="18"/>
            <w:u w:val="single"/>
          </w:rPr>
          <w:t xml:space="preserve">https://courses.lumenlearning.com/wm-microeconomics/chapter/the-production-function/</w:t>
        </w:r>
      </w:hyperlink>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p>
    <w:bookmarkStart w:id="918" w:name="fn76"/>
    <w:bookmarkEnd w:id="918"/>
    <w:p>
      <w:pPr>
        <w:numPr>
          <w:ilvl w:val="0"/>
          <w:numId w:val="77"/>
        </w:numPr>
        <w:spacing w:line="360" w:after="210" w:lineRule="auto"/>
      </w:pPr>
      <w:hyperlink r:id="rId82">
        <w:r>
          <w:rPr>
            <w:rFonts w:eastAsia="inter" w:cs="inter" w:ascii="inter" w:hAnsi="inter"/>
            <w:color w:val="#000"/>
            <w:sz w:val="18"/>
            <w:u w:val="single"/>
          </w:rPr>
          <w:t xml:space="preserve">https://en.wikipedia.org/wiki/Long_run_and_short_run</w:t>
        </w:r>
      </w:hyperlink>
      <w:r>
        <w:rPr>
          <w:rFonts w:eastAsia="inter" w:cs="inter" w:ascii="inter" w:hAnsi="inter"/>
          <w:color w:val="000000"/>
          <w:sz w:val="18"/>
        </w:rPr>
        <w:t xml:space="preserve"> </w:t>
      </w:r>
    </w:p>
    <w:bookmarkStart w:id="919" w:name="fn77"/>
    <w:bookmarkEnd w:id="919"/>
    <w:p>
      <w:pPr>
        <w:numPr>
          <w:ilvl w:val="0"/>
          <w:numId w:val="77"/>
        </w:numPr>
        <w:spacing w:line="360" w:after="210" w:lineRule="auto"/>
      </w:pPr>
      <w:hyperlink r:id="rId83">
        <w:r>
          <w:rPr>
            <w:rFonts w:eastAsia="inter" w:cs="inter" w:ascii="inter" w:hAnsi="inter"/>
            <w:color w:val="#000"/>
            <w:sz w:val="18"/>
            <w:u w:val="single"/>
          </w:rPr>
          <w:t xml:space="preserve">https://en.wikipedia.org/wiki/Economies_of_scale</w:t>
        </w:r>
      </w:hyperlink>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p>
    <w:bookmarkStart w:id="920" w:name="fn78"/>
    <w:bookmarkEnd w:id="920"/>
    <w:p>
      <w:pPr>
        <w:numPr>
          <w:ilvl w:val="0"/>
          <w:numId w:val="77"/>
        </w:numPr>
        <w:spacing w:line="360" w:after="210" w:lineRule="auto"/>
      </w:pPr>
      <w:hyperlink r:id="rId84">
        <w:r>
          <w:rPr>
            <w:rFonts w:eastAsia="inter" w:cs="inter" w:ascii="inter" w:hAnsi="inter"/>
            <w:color w:val="#000"/>
            <w:sz w:val="18"/>
            <w:u w:val="single"/>
          </w:rPr>
          <w:t xml:space="preserve">https://finance.yahoo.com/news/mini-hair-straightener-market-hit-090000783.html</w:t>
        </w:r>
      </w:hyperlink>
      <w:r>
        <w:rPr>
          <w:rFonts w:eastAsia="inter" w:cs="inter" w:ascii="inter" w:hAnsi="inter"/>
          <w:color w:val="000000"/>
          <w:sz w:val="18"/>
        </w:rPr>
        <w:t xml:space="preserve"> </w:t>
      </w:r>
      <w:r>
        <w:rPr>
          <w:rFonts w:eastAsia="inter" w:cs="inter" w:ascii="inter" w:hAnsi="inter"/>
          <w:color w:val="000000"/>
          <w:sz w:val="18"/>
        </w:rPr>
        <w:t xml:space="preserve"> </w:t>
      </w:r>
    </w:p>
    <w:bookmarkStart w:id="921" w:name="fn79"/>
    <w:bookmarkEnd w:id="921"/>
    <w:p>
      <w:pPr>
        <w:numPr>
          <w:ilvl w:val="0"/>
          <w:numId w:val="77"/>
        </w:numPr>
        <w:spacing w:line="360" w:after="210" w:lineRule="auto"/>
      </w:pPr>
      <w:hyperlink r:id="rId85">
        <w:r>
          <w:rPr>
            <w:rFonts w:eastAsia="inter" w:cs="inter" w:ascii="inter" w:hAnsi="inter"/>
            <w:color w:val="#000"/>
            <w:sz w:val="18"/>
            <w:u w:val="single"/>
          </w:rPr>
          <w:t xml:space="preserve">https://joelcma.com/uncategorized/hair-straighteners-for-salons-comparison/</w:t>
        </w:r>
      </w:hyperlink>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p>
    <w:bookmarkStart w:id="922" w:name="fn80"/>
    <w:bookmarkEnd w:id="922"/>
    <w:p>
      <w:pPr>
        <w:numPr>
          <w:ilvl w:val="0"/>
          <w:numId w:val="77"/>
        </w:numPr>
        <w:spacing w:line="360" w:after="210" w:lineRule="auto"/>
      </w:pPr>
      <w:hyperlink r:id="rId86">
        <w:r>
          <w:rPr>
            <w:rFonts w:eastAsia="inter" w:cs="inter" w:ascii="inter" w:hAnsi="inter"/>
            <w:color w:val="#000"/>
            <w:sz w:val="18"/>
            <w:u w:val="single"/>
          </w:rPr>
          <w:t xml:space="preserve">https://www.linkedin.com/pulse/hair-straighteners-market-brands-demand-48iqe</w:t>
        </w:r>
      </w:hyperlink>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p>
    <w:bookmarkStart w:id="923" w:name="fn81"/>
    <w:bookmarkEnd w:id="923"/>
    <w:p>
      <w:pPr>
        <w:numPr>
          <w:ilvl w:val="0"/>
          <w:numId w:val="77"/>
        </w:numPr>
        <w:spacing w:line="360" w:after="210" w:lineRule="auto"/>
      </w:pPr>
      <w:hyperlink r:id="rId87">
        <w:r>
          <w:rPr>
            <w:rFonts w:eastAsia="inter" w:cs="inter" w:ascii="inter" w:hAnsi="inter"/>
            <w:color w:val="#000"/>
            <w:sz w:val="18"/>
            <w:u w:val="single"/>
          </w:rPr>
          <w:t xml:space="preserve">https://www.linkedin.com/pulse/hair-straightener-brush-market-size-forecasting-1rsue</w:t>
        </w:r>
      </w:hyperlink>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p>
    <w:bookmarkStart w:id="924" w:name="fn82"/>
    <w:bookmarkEnd w:id="924"/>
    <w:p>
      <w:pPr>
        <w:numPr>
          <w:ilvl w:val="0"/>
          <w:numId w:val="77"/>
        </w:numPr>
        <w:spacing w:line="360" w:after="210" w:lineRule="auto"/>
      </w:pPr>
      <w:hyperlink r:id="rId88">
        <w:r>
          <w:rPr>
            <w:rFonts w:eastAsia="inter" w:cs="inter" w:ascii="inter" w:hAnsi="inter"/>
            <w:color w:val="#000"/>
            <w:sz w:val="18"/>
            <w:u w:val="single"/>
          </w:rPr>
          <w:t xml:space="preserve">https://www.futuremarketinsights.com/reports/hair-straightener-market</w:t>
        </w:r>
      </w:hyperlink>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p>
    <w:bookmarkStart w:id="925" w:name="fn83"/>
    <w:bookmarkEnd w:id="925"/>
    <w:p>
      <w:pPr>
        <w:numPr>
          <w:ilvl w:val="0"/>
          <w:numId w:val="77"/>
        </w:numPr>
        <w:spacing w:line="360" w:after="210" w:lineRule="auto"/>
      </w:pPr>
      <w:hyperlink r:id="rId89">
        <w:r>
          <w:rPr>
            <w:rFonts w:eastAsia="inter" w:cs="inter" w:ascii="inter" w:hAnsi="inter"/>
            <w:color w:val="#000"/>
            <w:sz w:val="18"/>
            <w:u w:val="single"/>
          </w:rPr>
          <w:t xml:space="preserve">https://tesi.luiss.it/26177/1/212501_GILI_GIORGIA.pdf</w:t>
        </w:r>
      </w:hyperlink>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p>
    <w:bookmarkStart w:id="926" w:name="fn84"/>
    <w:bookmarkEnd w:id="926"/>
    <w:p>
      <w:pPr>
        <w:numPr>
          <w:ilvl w:val="0"/>
          <w:numId w:val="77"/>
        </w:numPr>
        <w:spacing w:line="360" w:after="210" w:lineRule="auto"/>
      </w:pPr>
      <w:hyperlink r:id="rId90">
        <w:r>
          <w:rPr>
            <w:rFonts w:eastAsia="inter" w:cs="inter" w:ascii="inter" w:hAnsi="inter"/>
            <w:color w:val="#000"/>
            <w:sz w:val="18"/>
            <w:u w:val="single"/>
          </w:rPr>
          <w:t xml:space="preserve">https://ijrar.org/papers/IJRAR19J6109.pdf</w:t>
        </w:r>
      </w:hyperlink>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p>
    <w:bookmarkStart w:id="927" w:name="fn85"/>
    <w:bookmarkEnd w:id="927"/>
    <w:p>
      <w:pPr>
        <w:numPr>
          <w:ilvl w:val="0"/>
          <w:numId w:val="77"/>
        </w:numPr>
        <w:spacing w:line="360" w:after="210" w:lineRule="auto"/>
      </w:pPr>
      <w:hyperlink r:id="rId91">
        <w:r>
          <w:rPr>
            <w:rFonts w:eastAsia="inter" w:cs="inter" w:ascii="inter" w:hAnsi="inter"/>
            <w:color w:val="#000"/>
            <w:sz w:val="18"/>
            <w:u w:val="single"/>
          </w:rPr>
          <w:t xml:space="preserve">https://www.datainsightsmarket.com/reports/hair-straightener-and-curler-1306014</w:t>
        </w:r>
      </w:hyperlink>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p>
    <w:bookmarkStart w:id="928" w:name="fn86"/>
    <w:bookmarkEnd w:id="928"/>
    <w:p>
      <w:pPr>
        <w:numPr>
          <w:ilvl w:val="0"/>
          <w:numId w:val="77"/>
        </w:numPr>
        <w:spacing w:line="360" w:after="210" w:lineRule="auto"/>
      </w:pPr>
      <w:hyperlink r:id="rId92">
        <w:r>
          <w:rPr>
            <w:rFonts w:eastAsia="inter" w:cs="inter" w:ascii="inter" w:hAnsi="inter"/>
            <w:color w:val="#000"/>
            <w:sz w:val="18"/>
            <w:u w:val="single"/>
          </w:rPr>
          <w:t xml:space="preserve">https://www.youtube.com/watch?v=Fuqu_yXkGvE</w:t>
        </w:r>
      </w:hyperlink>
      <w:r>
        <w:rPr>
          <w:rFonts w:eastAsia="inter" w:cs="inter" w:ascii="inter" w:hAnsi="inter"/>
          <w:color w:val="000000"/>
          <w:sz w:val="18"/>
        </w:rPr>
        <w:t xml:space="preserve"> </w:t>
      </w:r>
      <w:r>
        <w:rPr>
          <w:rFonts w:eastAsia="inter" w:cs="inter" w:ascii="inter" w:hAnsi="inter"/>
          <w:color w:val="000000"/>
          <w:sz w:val="18"/>
        </w:rPr>
        <w:t xml:space="preserve"> </w:t>
      </w:r>
    </w:p>
    <w:bookmarkStart w:id="929" w:name="fn87"/>
    <w:bookmarkEnd w:id="929"/>
    <w:p>
      <w:pPr>
        <w:numPr>
          <w:ilvl w:val="0"/>
          <w:numId w:val="77"/>
        </w:numPr>
        <w:spacing w:line="360" w:after="210" w:lineRule="auto"/>
      </w:pPr>
      <w:hyperlink r:id="rId93">
        <w:r>
          <w:rPr>
            <w:rFonts w:eastAsia="inter" w:cs="inter" w:ascii="inter" w:hAnsi="inter"/>
            <w:color w:val="#000"/>
            <w:sz w:val="18"/>
            <w:u w:val="single"/>
          </w:rPr>
          <w:t xml:space="preserve">https://www.linkedin.com/pulse/global-mini-hair-straightener-market-expected-yreoc</w:t>
        </w:r>
      </w:hyperlink>
      <w:r>
        <w:rPr>
          <w:rFonts w:eastAsia="inter" w:cs="inter" w:ascii="inter" w:hAnsi="inter"/>
          <w:color w:val="000000"/>
          <w:sz w:val="18"/>
        </w:rPr>
        <w:t xml:space="preserve"> </w:t>
      </w:r>
      <w:r>
        <w:rPr>
          <w:rFonts w:eastAsia="inter" w:cs="inter" w:ascii="inter" w:hAnsi="inter"/>
          <w:color w:val="000000"/>
          <w:sz w:val="18"/>
        </w:rPr>
        <w:t xml:space="preserve"> </w:t>
      </w:r>
    </w:p>
    <w:bookmarkStart w:id="930" w:name="fn88"/>
    <w:bookmarkEnd w:id="930"/>
    <w:p>
      <w:pPr>
        <w:numPr>
          <w:ilvl w:val="0"/>
          <w:numId w:val="77"/>
        </w:numPr>
        <w:spacing w:line="360" w:after="210" w:lineRule="auto"/>
      </w:pPr>
      <w:hyperlink r:id="rId94">
        <w:r>
          <w:rPr>
            <w:rFonts w:eastAsia="inter" w:cs="inter" w:ascii="inter" w:hAnsi="inter"/>
            <w:color w:val="#000"/>
            <w:sz w:val="18"/>
            <w:u w:val="single"/>
          </w:rPr>
          <w:t xml:space="preserve">https://www.techsciresearch.com/report/india-hair-styling-tools-market/29053.html</w:t>
        </w:r>
      </w:hyperlink>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p>
    <w:bookmarkStart w:id="931" w:name="fn89"/>
    <w:bookmarkEnd w:id="931"/>
    <w:p>
      <w:pPr>
        <w:numPr>
          <w:ilvl w:val="0"/>
          <w:numId w:val="77"/>
        </w:numPr>
        <w:spacing w:line="360" w:after="210" w:lineRule="auto"/>
      </w:pPr>
      <w:hyperlink r:id="rId95">
        <w:r>
          <w:rPr>
            <w:rFonts w:eastAsia="inter" w:cs="inter" w:ascii="inter" w:hAnsi="inter"/>
            <w:color w:val="#000"/>
            <w:sz w:val="18"/>
            <w:u w:val="single"/>
          </w:rPr>
          <w:t xml:space="preserve">https://absoluteveritas.com/appliances-for-skin-or-hair-care/</w:t>
        </w:r>
      </w:hyperlink>
      <w:r>
        <w:rPr>
          <w:rFonts w:eastAsia="inter" w:cs="inter" w:ascii="inter" w:hAnsi="inter"/>
          <w:color w:val="000000"/>
          <w:sz w:val="18"/>
        </w:rPr>
        <w:t xml:space="preserve"> </w:t>
      </w:r>
      <w:r>
        <w:rPr>
          <w:rFonts w:eastAsia="inter" w:cs="inter" w:ascii="inter" w:hAnsi="inter"/>
          <w:color w:val="000000"/>
          <w:sz w:val="18"/>
        </w:rPr>
        <w:t xml:space="preserve"> </w:t>
      </w:r>
    </w:p>
    <w:bookmarkStart w:id="932" w:name="fn90"/>
    <w:bookmarkEnd w:id="932"/>
    <w:p>
      <w:pPr>
        <w:numPr>
          <w:ilvl w:val="0"/>
          <w:numId w:val="77"/>
        </w:numPr>
        <w:spacing w:line="360" w:after="210" w:lineRule="auto"/>
      </w:pPr>
      <w:hyperlink r:id="rId96">
        <w:r>
          <w:rPr>
            <w:rFonts w:eastAsia="inter" w:cs="inter" w:ascii="inter" w:hAnsi="inter"/>
            <w:color w:val="#000"/>
            <w:sz w:val="18"/>
            <w:u w:val="single"/>
          </w:rPr>
          <w:t xml:space="preserve">https://www.urbancompany.com/chennai-women-hair-services</w:t>
        </w:r>
      </w:hyperlink>
      <w:r>
        <w:rPr>
          <w:rFonts w:eastAsia="inter" w:cs="inter" w:ascii="inter" w:hAnsi="inter"/>
          <w:color w:val="000000"/>
          <w:sz w:val="18"/>
        </w:rPr>
        <w:t xml:space="preserve"> </w:t>
      </w:r>
      <w:r>
        <w:rPr>
          <w:rFonts w:eastAsia="inter" w:cs="inter" w:ascii="inter" w:hAnsi="inter"/>
          <w:color w:val="000000"/>
          <w:sz w:val="18"/>
        </w:rPr>
        <w:t xml:space="preserve"> </w:t>
      </w:r>
    </w:p>
    <w:bookmarkStart w:id="933" w:name="fn91"/>
    <w:bookmarkEnd w:id="933"/>
    <w:p>
      <w:pPr>
        <w:numPr>
          <w:ilvl w:val="0"/>
          <w:numId w:val="77"/>
        </w:numPr>
        <w:spacing w:line="360" w:after="210" w:lineRule="auto"/>
      </w:pPr>
      <w:hyperlink r:id="rId97">
        <w:r>
          <w:rPr>
            <w:rFonts w:eastAsia="inter" w:cs="inter" w:ascii="inter" w:hAnsi="inter"/>
            <w:color w:val="#000"/>
            <w:sz w:val="18"/>
            <w:u w:val="single"/>
          </w:rPr>
          <w:t xml:space="preserve">https://www.investopedia.com/terms/i/incomeelasticityofdemand.asp</w:t>
        </w:r>
      </w:hyperlink>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p>
    <w:bookmarkStart w:id="934" w:name="fn92"/>
    <w:bookmarkEnd w:id="934"/>
    <w:p>
      <w:pPr>
        <w:numPr>
          <w:ilvl w:val="0"/>
          <w:numId w:val="77"/>
        </w:numPr>
        <w:spacing w:line="360" w:after="210" w:lineRule="auto"/>
      </w:pPr>
      <w:hyperlink r:id="rId98">
        <w:r>
          <w:rPr>
            <w:rFonts w:eastAsia="inter" w:cs="inter" w:ascii="inter" w:hAnsi="inter"/>
            <w:color w:val="#000"/>
            <w:sz w:val="18"/>
            <w:u w:val="single"/>
          </w:rPr>
          <w:t xml:space="preserve">https://razorpay.com/blog/business-banking/price-elasticity-of-demand/</w:t>
        </w:r>
      </w:hyperlink>
      <w:r>
        <w:rPr>
          <w:rFonts w:eastAsia="inter" w:cs="inter" w:ascii="inter" w:hAnsi="inter"/>
          <w:color w:val="000000"/>
          <w:sz w:val="18"/>
        </w:rPr>
        <w:t xml:space="preserve"> </w:t>
      </w:r>
      <w:r>
        <w:rPr>
          <w:rFonts w:eastAsia="inter" w:cs="inter" w:ascii="inter" w:hAnsi="inter"/>
          <w:color w:val="000000"/>
          <w:sz w:val="18"/>
        </w:rPr>
        <w:t xml:space="preserve"> </w:t>
      </w:r>
    </w:p>
    <w:bookmarkStart w:id="935" w:name="fn93"/>
    <w:bookmarkEnd w:id="935"/>
    <w:p>
      <w:pPr>
        <w:numPr>
          <w:ilvl w:val="0"/>
          <w:numId w:val="77"/>
        </w:numPr>
        <w:spacing w:line="360" w:after="210" w:lineRule="auto"/>
      </w:pPr>
      <w:hyperlink r:id="rId99">
        <w:r>
          <w:rPr>
            <w:rFonts w:eastAsia="inter" w:cs="inter" w:ascii="inter" w:hAnsi="inter"/>
            <w:color w:val="#000"/>
            <w:sz w:val="18"/>
            <w:u w:val="single"/>
          </w:rPr>
          <w:t xml:space="preserve">https://www.vedantu.com/commerce/income-elasticity-of-demand</w:t>
        </w:r>
      </w:hyperlink>
      <w:r>
        <w:rPr>
          <w:rFonts w:eastAsia="inter" w:cs="inter" w:ascii="inter" w:hAnsi="inter"/>
          <w:color w:val="000000"/>
          <w:sz w:val="18"/>
        </w:rPr>
        <w:t xml:space="preserve"> </w:t>
      </w:r>
    </w:p>
    <w:bookmarkStart w:id="936" w:name="fn94"/>
    <w:bookmarkEnd w:id="936"/>
    <w:p>
      <w:pPr>
        <w:numPr>
          <w:ilvl w:val="0"/>
          <w:numId w:val="77"/>
        </w:numPr>
        <w:spacing w:line="360" w:after="210" w:lineRule="auto"/>
      </w:pPr>
      <w:hyperlink r:id="rId100">
        <w:r>
          <w:rPr>
            <w:rFonts w:eastAsia="inter" w:cs="inter" w:ascii="inter" w:hAnsi="inter"/>
            <w:color w:val="#000"/>
            <w:sz w:val="18"/>
            <w:u w:val="single"/>
          </w:rPr>
          <w:t xml:space="preserve">https://www.flipkart.com/beauty-and-grooming/hair-care-and-accessory/hair-accessory/hair-curlers/pr?sid=g9b%2Clcf%2Cbjl%2Chxb</w:t>
        </w:r>
      </w:hyperlink>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p>
    <w:bookmarkStart w:id="937" w:name="fn95"/>
    <w:bookmarkEnd w:id="937"/>
    <w:p>
      <w:pPr>
        <w:numPr>
          <w:ilvl w:val="0"/>
          <w:numId w:val="77"/>
        </w:numPr>
        <w:spacing w:line="360" w:after="210" w:lineRule="auto"/>
      </w:pPr>
      <w:hyperlink r:id="rId101">
        <w:r>
          <w:rPr>
            <w:rFonts w:eastAsia="inter" w:cs="inter" w:ascii="inter" w:hAnsi="inter"/>
            <w:color w:val="#000"/>
            <w:sz w:val="18"/>
            <w:u w:val="single"/>
          </w:rPr>
          <w:t xml:space="preserve">https://www.linkedin.com/pulse/north-america-comprehensive-analysis-hair-straightener-jsacc</w:t>
        </w:r>
      </w:hyperlink>
      <w:r>
        <w:rPr>
          <w:rFonts w:eastAsia="inter" w:cs="inter" w:ascii="inter" w:hAnsi="inter"/>
          <w:color w:val="000000"/>
          <w:sz w:val="18"/>
        </w:rPr>
        <w:t xml:space="preserve"> </w:t>
      </w:r>
      <w:r>
        <w:rPr>
          <w:rFonts w:eastAsia="inter" w:cs="inter" w:ascii="inter" w:hAnsi="inter"/>
          <w:color w:val="000000"/>
          <w:sz w:val="18"/>
        </w:rPr>
        <w:t xml:space="preserve"> </w:t>
      </w:r>
    </w:p>
    <w:bookmarkStart w:id="938" w:name="fn96"/>
    <w:bookmarkEnd w:id="938"/>
    <w:p>
      <w:pPr>
        <w:numPr>
          <w:ilvl w:val="0"/>
          <w:numId w:val="77"/>
        </w:numPr>
        <w:spacing w:line="360" w:after="210" w:lineRule="auto"/>
      </w:pPr>
      <w:hyperlink r:id="rId102">
        <w:r>
          <w:rPr>
            <w:rFonts w:eastAsia="inter" w:cs="inter" w:ascii="inter" w:hAnsi="inter"/>
            <w:color w:val="#000"/>
            <w:sz w:val="18"/>
            <w:u w:val="single"/>
          </w:rPr>
          <w:t xml:space="preserve">https://www.devkikart.com/beauty-products.html</w:t>
        </w:r>
      </w:hyperlink>
      <w:r>
        <w:rPr>
          <w:rFonts w:eastAsia="inter" w:cs="inter" w:ascii="inter" w:hAnsi="inter"/>
          <w:color w:val="000000"/>
          <w:sz w:val="18"/>
        </w:rPr>
        <w:t xml:space="preserve"> </w:t>
      </w:r>
    </w:p>
    <w:bookmarkStart w:id="939" w:name="fn97"/>
    <w:bookmarkEnd w:id="939"/>
    <w:p>
      <w:pPr>
        <w:numPr>
          <w:ilvl w:val="0"/>
          <w:numId w:val="77"/>
        </w:numPr>
        <w:spacing w:line="360" w:after="210" w:lineRule="auto"/>
      </w:pPr>
      <w:hyperlink r:id="rId103">
        <w:r>
          <w:rPr>
            <w:rFonts w:eastAsia="inter" w:cs="inter" w:ascii="inter" w:hAnsi="inter"/>
            <w:color w:val="#000"/>
            <w:sz w:val="18"/>
            <w:u w:val="single"/>
          </w:rPr>
          <w:t xml:space="preserve">https://www.shop.philips.co.in/collections/hair-straightening-brush</w:t>
        </w:r>
      </w:hyperlink>
      <w:r>
        <w:rPr>
          <w:rFonts w:eastAsia="inter" w:cs="inter" w:ascii="inter" w:hAnsi="inter"/>
          <w:color w:val="000000"/>
          <w:sz w:val="18"/>
        </w:rPr>
        <w:t xml:space="preserve"> </w:t>
      </w:r>
    </w:p>
    <w:bookmarkStart w:id="940" w:name="fn98"/>
    <w:bookmarkEnd w:id="940"/>
    <w:p>
      <w:pPr>
        <w:numPr>
          <w:ilvl w:val="0"/>
          <w:numId w:val="77"/>
        </w:numPr>
        <w:spacing w:line="360" w:after="210" w:lineRule="auto"/>
      </w:pPr>
      <w:hyperlink r:id="rId104">
        <w:r>
          <w:rPr>
            <w:rFonts w:eastAsia="inter" w:cs="inter" w:ascii="inter" w:hAnsi="inter"/>
            <w:color w:val="#000"/>
            <w:sz w:val="18"/>
            <w:u w:val="single"/>
          </w:rPr>
          <w:t xml:space="preserve">https://alantruman.com/collections/hair-straightening-brush</w:t>
        </w:r>
      </w:hyperlink>
      <w:r>
        <w:rPr>
          <w:rFonts w:eastAsia="inter" w:cs="inter" w:ascii="inter" w:hAnsi="inter"/>
          <w:color w:val="000000"/>
          <w:sz w:val="18"/>
        </w:rPr>
        <w:t xml:space="preserve"> </w:t>
      </w:r>
    </w:p>
    <w:sectPr>
      <w:pgSz w:w="12240" w:h="15840" w:orient="portrait"/>
      <w:pgMar w:top="1365" w:right="1365" w:bottom="1365" w:left="1365" w:header="720" w:footer="720" w:gutter="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Consolas">
    <w:panose1 w:val="020B0609020204030204"/>
    <w:charset w:val="00"/>
    <w:family w:val="modern"/>
    <w:pitch w:val="fixed"/>
    <w:sig w:usb0="E10002FF" w:usb1="4000FCFF" w:usb2="00000009" w:usb3="00000000" w:csb0="0000019F" w:csb1="00000000"/>
  </w:font>
  <w:font w:name="Cambria Math">
    <w:panose1 w:val="02040503050406030204"/>
    <w:charset w:val="00"/>
    <w:family w:val="roman"/>
    <w:pitch w:val="variable"/>
    <w:sig w:usb0="E00002FF" w:usb1="420024FF" w:usb2="00000000" w:usb3="00000000" w:csb0="0000019F" w:csb1="00000000"/>
  </w:font>
  <w:font w:name="inter">
    <w:family w:val="auto"/>
    <w:pitch w:val="variable"/>
  </w:font>
</w:fonts>
</file>

<file path=word/numbering.xml><?xml version="1.0" encoding="utf-8"?>
<w:numbering xmlns:w="http://schemas.openxmlformats.org/wordprocessingml/2006/main" xmlns:ve="http://schemas.openxmlformats.org/markup-compatibility/2006" xmlns:o="urn:schemas-microsoft-com:office:office" xmlns:r="http://schemas.openxmlformats.org/officeDocument/2006/relationships" xmlns:v="urn:schemas-microsoft-com:vml" xmlns:wp="http://schemas.openxmlformats.org/drawingml/2006/wordprocessingDrawing" xmlns:w10="urn:schemas-microsoft-com:office:word" xmlns:wne="http://schemas.microsoft.com/office/word/2006/wordml">
  <w:abstractNum w:abstractNumId="1">
    <w:multiLevelType w:val="hybridMultilevel"/>
    <w:lvl w:ilvl="0">
      <w:start w:val="1"/>
      <w:numFmt w:val="decimal"/>
      <w:lvlText w:val="%1."/>
      <w:lvlJc w:val="left"/>
      <w:pPr>
        <w:tabs>
          <w:tab w:val="num" w:pos="900"/>
        </w:tabs>
        <w:ind w:left="540" w:hanging="360"/>
      </w:pPr>
    </w:lvl>
  </w:abstractNum>
  <w:abstractNum w:abstractNumId="2">
    <w:multiLevelType w:val="hybridMultilevel"/>
    <w:lvl w:ilvl="0">
      <w:start w:val="2"/>
      <w:numFmt w:val="decimal"/>
      <w:lvlText w:val="%1."/>
      <w:lvlJc w:val="left"/>
      <w:pPr>
        <w:tabs>
          <w:tab w:val="num" w:pos="900"/>
        </w:tabs>
        <w:ind w:left="540" w:hanging="360"/>
      </w:pPr>
    </w:lvl>
  </w:abstractNum>
  <w:abstractNum w:abstractNumId="3">
    <w:multiLevelType w:val="hybridMultilevel"/>
    <w:lvl w:ilvl="0">
      <w:start w:val="3"/>
      <w:numFmt w:val="decimal"/>
      <w:lvlText w:val="%1."/>
      <w:lvlJc w:val="left"/>
      <w:pPr>
        <w:tabs>
          <w:tab w:val="num" w:pos="900"/>
        </w:tabs>
        <w:ind w:left="540" w:hanging="360"/>
      </w:pPr>
    </w:lvl>
  </w:abstractNum>
  <w:abstractNum w:abstractNumId="4">
    <w:multiLevelType w:val="hybridMultilevel"/>
    <w:lvl w:ilvl="0">
      <w:start w:val="4"/>
      <w:numFmt w:val="decimal"/>
      <w:lvlText w:val="%1."/>
      <w:lvlJc w:val="left"/>
      <w:pPr>
        <w:tabs>
          <w:tab w:val="num" w:pos="900"/>
        </w:tabs>
        <w:ind w:left="540" w:hanging="360"/>
      </w:pPr>
    </w:lvl>
  </w:abstractNum>
  <w:abstractNum w:abstractNumId="5">
    <w:multiLevelType w:val="hybridMultilevel"/>
    <w:lvl w:ilvl="0">
      <w:start w:val="5"/>
      <w:numFmt w:val="decimal"/>
      <w:lvlText w:val="%1."/>
      <w:lvlJc w:val="left"/>
      <w:pPr>
        <w:tabs>
          <w:tab w:val="num" w:pos="900"/>
        </w:tabs>
        <w:ind w:left="540" w:hanging="360"/>
      </w:pPr>
    </w:lvl>
  </w:abstractNum>
  <w:abstractNum w:abstractNumId="6">
    <w:multiLevelType w:val="hybridMultilevel"/>
    <w:lvl w:ilvl="0">
      <w:start w:val="6"/>
      <w:numFmt w:val="decimal"/>
      <w:lvlText w:val="%1."/>
      <w:lvlJc w:val="left"/>
      <w:pPr>
        <w:tabs>
          <w:tab w:val="num" w:pos="900"/>
        </w:tabs>
        <w:ind w:left="540" w:hanging="360"/>
      </w:pPr>
    </w:lvl>
  </w:abstractNum>
  <w:abstractNum w:abstractNumId="7">
    <w:multiLevelType w:val="hybridMultilevel"/>
    <w:lvl w:ilvl="0">
      <w:start w:val="7"/>
      <w:numFmt w:val="decimal"/>
      <w:lvlText w:val="%1."/>
      <w:lvlJc w:val="left"/>
      <w:pPr>
        <w:tabs>
          <w:tab w:val="num" w:pos="900"/>
        </w:tabs>
        <w:ind w:left="540" w:hanging="360"/>
      </w:pPr>
    </w:lvl>
  </w:abstractNum>
  <w:abstractNum w:abstractNumId="8">
    <w:multiLevelType w:val="hybridMultilevel"/>
    <w:lvl w:ilvl="0">
      <w:start w:val="8"/>
      <w:numFmt w:val="decimal"/>
      <w:lvlText w:val="%1."/>
      <w:lvlJc w:val="left"/>
      <w:pPr>
        <w:tabs>
          <w:tab w:val="num" w:pos="900"/>
        </w:tabs>
        <w:ind w:left="540" w:hanging="360"/>
      </w:pPr>
    </w:lvl>
  </w:abstractNum>
  <w:abstractNum w:abstractNumId="9">
    <w:multiLevelType w:val="hybridMultilevel"/>
    <w:lvl w:ilvl="0">
      <w:start w:val="9"/>
      <w:numFmt w:val="decimal"/>
      <w:lvlText w:val="%1."/>
      <w:lvlJc w:val="left"/>
      <w:pPr>
        <w:tabs>
          <w:tab w:val="num" w:pos="900"/>
        </w:tabs>
        <w:ind w:left="540" w:hanging="360"/>
      </w:pPr>
    </w:lvl>
  </w:abstractNum>
  <w:abstractNum w:abstractNumId="10">
    <w:multiLevelType w:val="hybridMultilevel"/>
    <w:lvl w:ilvl="0">
      <w:start w:val="10"/>
      <w:numFmt w:val="decimal"/>
      <w:lvlText w:val="%1."/>
      <w:lvlJc w:val="left"/>
      <w:pPr>
        <w:tabs>
          <w:tab w:val="num" w:pos="900"/>
        </w:tabs>
        <w:ind w:left="540" w:hanging="360"/>
      </w:pPr>
    </w:lvl>
  </w:abstractNum>
  <w:abstractNum w:abstractNumId="11">
    <w:multiLevelType w:val="hybridMultilevel"/>
    <w:lvl w:ilvl="0">
      <w:start w:val="11"/>
      <w:numFmt w:val="decimal"/>
      <w:lvlText w:val="%1."/>
      <w:lvlJc w:val="left"/>
      <w:pPr>
        <w:tabs>
          <w:tab w:val="num" w:pos="900"/>
        </w:tabs>
        <w:ind w:left="540" w:hanging="360"/>
      </w:pPr>
    </w:lvl>
  </w:abstractNum>
  <w:abstractNum w:abstractNumId="12">
    <w:multiLevelType w:val="hybridMultilevel"/>
    <w:lvl w:ilvl="0">
      <w:start w:val="1"/>
      <w:numFmt w:val="decimal"/>
      <w:lvlText w:val="%1."/>
      <w:lvlJc w:val="left"/>
      <w:pPr>
        <w:tabs>
          <w:tab w:val="num" w:pos="900"/>
        </w:tabs>
        <w:ind w:left="540" w:hanging="360"/>
      </w:pPr>
    </w:lvl>
  </w:abstractNum>
  <w:abstractNum w:abstractNumId="13">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14">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15">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16">
    <w:multiLevelType w:val="hybridMultilevel"/>
    <w:lvl w:ilvl="0">
      <w:start w:val="1"/>
      <w:numFmt w:val="decimal"/>
      <w:lvlText w:val="%1."/>
      <w:lvlJc w:val="left"/>
      <w:pPr>
        <w:tabs>
          <w:tab w:val="num" w:pos="900"/>
        </w:tabs>
        <w:ind w:left="540" w:hanging="360"/>
      </w:pPr>
    </w:lvl>
  </w:abstractNum>
  <w:abstractNum w:abstractNumId="17">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18">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19">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20">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21">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22">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23">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24">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25">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26">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27">
    <w:multiLevelType w:val="hybridMultilevel"/>
    <w:lvl w:ilvl="0">
      <w:start w:val="1"/>
      <w:numFmt w:val="decimal"/>
      <w:lvlText w:val="%1."/>
      <w:lvlJc w:val="left"/>
      <w:pPr>
        <w:tabs>
          <w:tab w:val="num" w:pos="900"/>
        </w:tabs>
        <w:ind w:left="540" w:hanging="360"/>
      </w:pPr>
    </w:lvl>
  </w:abstractNum>
  <w:abstractNum w:abstractNumId="28">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29">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30">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31">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32">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33">
    <w:multiLevelType w:val="hybridMultilevel"/>
    <w:lvl w:ilvl="0">
      <w:start w:val="1"/>
      <w:numFmt w:val="decimal"/>
      <w:lvlText w:val="%1."/>
      <w:lvlJc w:val="left"/>
      <w:pPr>
        <w:tabs>
          <w:tab w:val="num" w:pos="900"/>
        </w:tabs>
        <w:ind w:left="540" w:hanging="360"/>
      </w:pPr>
    </w:lvl>
    <w:lvl w:ilvl="1">
      <w:start w:val="1"/>
      <w:numFmt w:val="bullet"/>
      <w:lvlText w:val="o"/>
      <w:lvlJc w:val="left"/>
      <w:pPr>
        <w:tabs>
          <w:tab w:val="num" w:pos="1440"/>
        </w:tabs>
        <w:ind w:left="1080" w:hanging="360"/>
      </w:pPr>
      <w:rPr>
        <w:rFonts w:ascii="Courier New" w:hAnsi="Courier New" w:cs="Courier New" w:hint="default"/>
      </w:rPr>
    </w:lvl>
  </w:abstractNum>
  <w:abstractNum w:abstractNumId="34">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35">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36">
    <w:multiLevelType w:val="hybridMultilevel"/>
    <w:lvl w:ilvl="0">
      <w:start w:val="1"/>
      <w:numFmt w:val="decimal"/>
      <w:lvlText w:val="%1."/>
      <w:lvlJc w:val="left"/>
      <w:pPr>
        <w:tabs>
          <w:tab w:val="num" w:pos="900"/>
        </w:tabs>
        <w:ind w:left="540" w:hanging="360"/>
      </w:pPr>
    </w:lvl>
  </w:abstractNum>
  <w:abstractNum w:abstractNumId="37">
    <w:multiLevelType w:val="hybridMultilevel"/>
    <w:lvl w:ilvl="0">
      <w:start w:val="1"/>
      <w:numFmt w:val="decimal"/>
      <w:lvlText w:val="%1."/>
      <w:lvlJc w:val="left"/>
      <w:pPr>
        <w:tabs>
          <w:tab w:val="num" w:pos="900"/>
        </w:tabs>
        <w:ind w:left="540" w:hanging="360"/>
      </w:pPr>
    </w:lvl>
  </w:abstractNum>
  <w:abstractNum w:abstractNumId="38">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39">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40">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41">
    <w:multiLevelType w:val="hybridMultilevel"/>
    <w:lvl w:ilvl="0">
      <w:start w:val="1"/>
      <w:numFmt w:val="decimal"/>
      <w:lvlText w:val="%1."/>
      <w:lvlJc w:val="left"/>
      <w:pPr>
        <w:tabs>
          <w:tab w:val="num" w:pos="900"/>
        </w:tabs>
        <w:ind w:left="540" w:hanging="360"/>
      </w:pPr>
    </w:lvl>
  </w:abstractNum>
  <w:abstractNum w:abstractNumId="42">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43">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44">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45">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46">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47">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48">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49">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50">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51">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52">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53">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54">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55">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56">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57">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58">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59">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60">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61">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62">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63">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64">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65">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66">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67">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68">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69">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70">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71">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72">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73">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74">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75">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76">
    <w:multiLevelType w:val="hybridMultilevel"/>
  </w:abstractNum>
  <w:abstractNum w:abstractNumId="77">
    <w:multiLevelType w:val="hybridMultilevel"/>
    <w:lvl w:ilvl="0">
      <w:start w:val="1"/>
      <w:numFmt w:val="decimal"/>
      <w:lvlText w:val="%1."/>
      <w:lvlJc w:val="left"/>
      <w:pPr>
        <w:tabs>
          <w:tab w:val="num" w:pos="900"/>
        </w:tabs>
        <w:ind w:left="540" w:hanging="36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 w:numId="59">
    <w:abstractNumId w:val="59"/>
  </w:num>
  <w:num w:numId="60">
    <w:abstractNumId w:val="60"/>
  </w:num>
  <w:num w:numId="61">
    <w:abstractNumId w:val="61"/>
  </w:num>
  <w:num w:numId="62">
    <w:abstractNumId w:val="62"/>
  </w:num>
  <w:num w:numId="63">
    <w:abstractNumId w:val="63"/>
  </w:num>
  <w:num w:numId="64">
    <w:abstractNumId w:val="64"/>
  </w:num>
  <w:num w:numId="65">
    <w:abstractNumId w:val="65"/>
  </w:num>
  <w:num w:numId="66">
    <w:abstractNumId w:val="66"/>
  </w:num>
  <w:num w:numId="67">
    <w:abstractNumId w:val="67"/>
  </w:num>
  <w:num w:numId="68">
    <w:abstractNumId w:val="68"/>
  </w:num>
  <w:num w:numId="69">
    <w:abstractNumId w:val="69"/>
  </w:num>
  <w:num w:numId="70">
    <w:abstractNumId w:val="70"/>
  </w:num>
  <w:num w:numId="71">
    <w:abstractNumId w:val="71"/>
  </w:num>
  <w:num w:numId="72">
    <w:abstractNumId w:val="72"/>
  </w:num>
  <w:num w:numId="73">
    <w:abstractNumId w:val="73"/>
  </w:num>
  <w:num w:numId="74">
    <w:abstractNumId w:val="74"/>
  </w:num>
  <w:num w:numId="75">
    <w:abstractNumId w:val="75"/>
  </w:num>
  <w:num w:numId="76">
    <w:abstractNumId w:val="76"/>
  </w:num>
  <w:num w:numId="77">
    <w:abstractNumId w:val="77"/>
  </w:num>
</w:numbering>
</file>

<file path=word/settings.xml><?xml version="1.0" encoding="utf-8"?>
<w:settings xmlns:w="http://schemas.openxmlformats.org/wordprocessingml/2006/main" xmlns:o="urn:schemas-microsoft-com:office:office" xmlns:r="http://schemas.openxmlformats.org/officeDocument/2006/relationships" xmlns:m="http://schemas.openxmlformats.org/officeDocument/2006/math" xmlns:v="urn:schemas-microsoft-com:vml" xmlns:w10="urn:schemas-microsoft-com:office:word" xmlns:sl="http://schemas.openxmlformats.org/schemaLibrary/2006/main">
  <w:zoom w:percent="100"/>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m:mathPr>
    <m:mathFont m:val="Cambria Math"/>
    <m:brkBin m:val="before"/>
    <m:brkBinSub m:val="--"/>
    <m:smallFrac m:val="0"/>
    <m:dispDef/>
    <m:lMargin m:val="0"/>
    <m:rMargin m:val="0"/>
    <m:defJc m:val="centerGroup"/>
    <m:wrapIndent m:val="1440"/>
    <m:intLim m:val="subSup"/>
    <m:naryLim m:val="undOvr"/>
  </m:mathPr>
  <w:decimalSymbol w:val="."/>
  <w:listSeparator w:val=","/>
</w:settings>
</file>

<file path=word/styles.xml><?xml version="1.0" encoding="utf-8"?>
<w:styles xmlns:w="http://schemas.openxmlformats.org/wordprocessingml/2006/main" xmlns:r="http://schemas.openxmlformats.org/officeDocument/2006/relationships">
  <w:docDefaults>
    <w:rPrDefault>
      <w:rPr>
        <w:rFonts w:ascii="Georgia" w:eastAsiaTheme="minorHAnsi" w:hAnsiTheme="minorHAnsi" w:cstheme="minorBidi"/>
        <w:sz w:val="21"/>
        <w:szCs w:val="22"/>
        <w:lang w:val="en-US" w:eastAsia="en-US" w:bidi="ar-SA"/>
      </w:rPr>
    </w:rPrDefault>
    <w:pPrDefault>
      <w:pPr>
        <w:spacing w:after="120" w:line="240" w:lineRule="atLeast"/>
      </w:pPr>
    </w:pPrDefault>
  </w:docDefaults>
  <w:style w:type="paragraph" w:default="1" w:styleId="Normal">
    <w:name w:val="Normal"/>
    <w:next w:val="Normal"/>
    <w:pPr/>
    <w:rPr>
      <w:rFonts w:ascii="Georgia" w:eastAsiaTheme="minorHAnsi" w:hAnsiTheme="minorHAnsi" w:cstheme="minorBidi"/>
      <w:sz w:val="21"/>
      <w:szCs w:val="22"/>
      <w:lang w:val="en-US" w:eastAsia="en-US" w:bidi="ar-SA"/>
    </w:rPr>
  </w:style>
  <w:style w:type="character" w:customStyle="1" w:styleId="VerbatimChar">
    <w:name w:val="Verbatim Char"/>
    <w:basedOn w:val="BodyTextChar"/>
    <w:rPr>
      <w:rFonts w:ascii="Consolas" w:hAnsi="Consolas"/>
      <w:sz w:val="22"/>
    </w:rPr>
  </w:style>
  <w:style w:type="table" w:default="1" w:styleId="TableNormal">
    <w:name w:val="Normal Table"/>
    <w:uiPriority w:val="99"/>
    <w:semiHidden/>
    <w:unhideWhenUsed/>
    <w:tblPr>
      <w:tblInd w:w="0" w:type="dxa"/>
      <w:tblCellMar>
        <w:top w:w="80" w:type="dxa"/>
        <w:left w:w="160" w:type="dxa"/>
        <w:bottom w:w="80" w:type="dxa"/>
        <w:right w:w="160" w:type="dxa"/>
      </w:tblCellMar>
    </w:tblPr>
  </w:style>
  <w:style w:type="table" w:styleId="TableGrid">
    <w:name w:val="Normal Grid"/>
    <w:basedOn w:val="TableNormal"/>
    <w:uiPriority w:val="39"/>
    <w:pPr>
      <w:spacing w:after="0" w:line="240" w:lineRule="auto"/>
    </w:pPr>
    <w:tblPr>
      <w:tblInd w:w="0" w:type="dxa"/>
      <w:tblCellMar>
        <w:top w:w="80" w:type="dxa"/>
        <w:left w:w="160" w:type="dxa"/>
        <w:bottom w:w="80" w:type="dxa"/>
        <w:right w:w="160" w:type="dxa"/>
      </w:tblCellMar>
    </w:tblPr>
  </w:style>
</w:styles>
</file>

<file path=word/webSettings.xml><?xml version="1.0" encoding="utf-8"?>
<w:webSettings xmlns:w="http://schemas.openxmlformats.org/wordprocessingml/2006/main" xmlns:r="http://schemas.openxmlformats.org/officeDocument/2006/relationships"/>
</file>

<file path=word/_rels/document.xml.rels><?xml version="1.0" encoding="UTF-8" standalone="yes"?><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image" Target="media/image-1e013dd537dbd2953a718ca307cc522e6fc7389f.png" TargetMode="Internal"/><Relationship Id="rId6" Type="http://schemas.openxmlformats.org/officeDocument/2006/relationships/image" Target="media/image-not-found.png" TargetMode="Internal"/><Relationship Id="rId7" Type="http://schemas.openxmlformats.org/officeDocument/2006/relationships/hyperlink" Target="https://www.vega.co.in/personal-care-appliances/hair-straightening-brush.html" TargetMode="External"/><Relationship Id="rId8" Type="http://schemas.openxmlformats.org/officeDocument/2006/relationships/hyperlink" Target="https://urbanyog.com/products/makemeebold-3-in-1-hot-air-brush-frizz-free-straightening-brush" TargetMode="External"/><Relationship Id="rId9" Type="http://schemas.openxmlformats.org/officeDocument/2006/relationships/hyperlink" Target="https://www.fortunebusinessinsights.com/hair-styling-tools-market-103986" TargetMode="External"/><Relationship Id="rId10" Type="http://schemas.openxmlformats.org/officeDocument/2006/relationships/hyperlink" Target="https://datahorizzonresearch.com/hair-straightener-brush-market-51905" TargetMode="External"/><Relationship Id="rId11" Type="http://schemas.openxmlformats.org/officeDocument/2006/relationships/hyperlink" Target="https://www.proficientmarketinsights.com/market-reports/hair-brush-straighteners-market-1483" TargetMode="External"/><Relationship Id="rId12" Type="http://schemas.openxmlformats.org/officeDocument/2006/relationships/hyperlink" Target="https://www.imarcgroup.com/india-hair-straightener-market" TargetMode="External"/><Relationship Id="rId13" Type="http://schemas.openxmlformats.org/officeDocument/2006/relationships/hyperlink" Target="https://www.openpr.com/news/4029799/india-hair-straightener-market-to-reach-usd-33-32-million-by-2033" TargetMode="External"/><Relationship Id="rId14" Type="http://schemas.openxmlformats.org/officeDocument/2006/relationships/hyperlink" Target="https://thebossmagazine.com/post/the-evolution-of-hair-styling-tools/" TargetMode="External"/><Relationship Id="rId15" Type="http://schemas.openxmlformats.org/officeDocument/2006/relationships/hyperlink" Target="https://www.pritechcare.com/blog/the-history-of-womens-hair-styling-tools/" TargetMode="External"/><Relationship Id="rId16" Type="http://schemas.openxmlformats.org/officeDocument/2006/relationships/hyperlink" Target="https://naturtintusa.com/blogs/news/hair-styling-tools" TargetMode="External"/><Relationship Id="rId17" Type="http://schemas.openxmlformats.org/officeDocument/2006/relationships/hyperlink" Target="https://thebossmagazine.com/the-evolution-of-hair-styling-tools/" TargetMode="External"/><Relationship Id="rId18" Type="http://schemas.openxmlformats.org/officeDocument/2006/relationships/hyperlink" Target="https://dspace.mit.edu/bitstream/handle/1721.1/32779/57571289-MIT.pdf" TargetMode="External"/><Relationship Id="rId19" Type="http://schemas.openxmlformats.org/officeDocument/2006/relationships/hyperlink" Target="https://www.olayer.com/how-are-hair-straighteners-manufactured/" TargetMode="External"/><Relationship Id="rId20" Type="http://schemas.openxmlformats.org/officeDocument/2006/relationships/hyperlink" Target="https://www.pritechcare.com/blog/key-components-of-hair-straighteners/" TargetMode="External"/><Relationship Id="rId21" Type="http://schemas.openxmlformats.org/officeDocument/2006/relationships/hyperlink" Target="https://www.shelftrend.com/health-beauty/hair-straightener-market-analysis-seller-guide-profit-margins-2025" TargetMode="External"/><Relationship Id="rId22" Type="http://schemas.openxmlformats.org/officeDocument/2006/relationships/hyperlink" Target="https://www.glamot.com/blog/47446/hair-straighteners-with-minerals-innovation-for-healthy-and-shiny-hair" TargetMode="External"/><Relationship Id="rId23" Type="http://schemas.openxmlformats.org/officeDocument/2006/relationships/hyperlink" Target="https://en.wikipedia.org/wiki/Ceramic_heater" TargetMode="External"/><Relationship Id="rId24" Type="http://schemas.openxmlformats.org/officeDocument/2006/relationships/hyperlink" Target="https://www.youtube.com/watch?v=r_cdZvGvD44" TargetMode="External"/><Relationship Id="rId25" Type="http://schemas.openxmlformats.org/officeDocument/2006/relationships/hyperlink" Target="https://www.industrial-eu.dbk-group.com/news/allrounder-ptc" TargetMode="External"/><Relationship Id="rId26" Type="http://schemas.openxmlformats.org/officeDocument/2006/relationships/hyperlink" Target="https://www.salesforce.com/in/blog/product-life-cycle/" TargetMode="External"/><Relationship Id="rId27" Type="http://schemas.openxmlformats.org/officeDocument/2006/relationships/hyperlink" Target="https://www.icagile.com/resources/the-4-stages-of-the-product-management-lifecycle" TargetMode="External"/><Relationship Id="rId28" Type="http://schemas.openxmlformats.org/officeDocument/2006/relationships/hyperlink" Target="https://www.surveymonkey.com/market-research/resources/5-stages-of-product-life-cycle/" TargetMode="External"/><Relationship Id="rId29" Type="http://schemas.openxmlformats.org/officeDocument/2006/relationships/hyperlink" Target="https://www.maximizemarketresearch.com/market-report/hair-straightener-market/194961/" TargetMode="External"/><Relationship Id="rId30" Type="http://schemas.openxmlformats.org/officeDocument/2006/relationships/hyperlink" Target="https://www.marketsandata.com/industry-reports/india-hair-straightener-market" TargetMode="External"/><Relationship Id="rId31" Type="http://schemas.openxmlformats.org/officeDocument/2006/relationships/hyperlink" Target="https://www.mintel.com/press-centre/hair-straighteners-making-waves-over-a-quarter-of-women-now-cant-live-without-them/" TargetMode="External"/><Relationship Id="rId32" Type="http://schemas.openxmlformats.org/officeDocument/2006/relationships/hyperlink" Target="https://www.technavio.com/report/hair-straightener-market-industry-analysis" TargetMode="External"/><Relationship Id="rId33" Type="http://schemas.openxmlformats.org/officeDocument/2006/relationships/hyperlink" Target="https://www.linkedin.com/pulse/revolutionizing-hair-care-future-smart-straighteners-jessica-ying-kwsje" TargetMode="External"/><Relationship Id="rId34" Type="http://schemas.openxmlformats.org/officeDocument/2006/relationships/hyperlink" Target="https://www.mexc.co/news/345236" TargetMode="External"/><Relationship Id="rId35" Type="http://schemas.openxmlformats.org/officeDocument/2006/relationships/hyperlink" Target="https://www.alliedmarketresearch.com/hair-straightener-market" TargetMode="External"/><Relationship Id="rId36" Type="http://schemas.openxmlformats.org/officeDocument/2006/relationships/hyperlink" Target="https://www.marketsandata.com/industry-reports/hair-straightener-market" TargetMode="External"/><Relationship Id="rId37" Type="http://schemas.openxmlformats.org/officeDocument/2006/relationships/hyperlink" Target="https://www.dyson.co.uk/discover/news/press-releases/dyson-financial-results-2023" TargetMode="External"/><Relationship Id="rId38" Type="http://schemas.openxmlformats.org/officeDocument/2006/relationships/hyperlink" Target="https://www.cn-utrust.com/how-are-hair-straighteners-manufactured.html" TargetMode="External"/><Relationship Id="rId39" Type="http://schemas.openxmlformats.org/officeDocument/2006/relationships/hyperlink" Target="https://www.sokany.com/a-how-are-hair-straighteners-made.html" TargetMode="External"/><Relationship Id="rId40" Type="http://schemas.openxmlformats.org/officeDocument/2006/relationships/hyperlink" Target="https://www.imarcgroup.com/hair-straightener-manufacturing-plant-project-report" TargetMode="External"/><Relationship Id="rId41" Type="http://schemas.openxmlformats.org/officeDocument/2006/relationships/hyperlink" Target="https://www.screlektroniks.com/pages/products/preheating_test_setup_for_hair_straightener.php" TargetMode="External"/><Relationship Id="rId42" Type="http://schemas.openxmlformats.org/officeDocument/2006/relationships/hyperlink" Target="https://www.olayer.com/china-hair-straightener/" TargetMode="External"/><Relationship Id="rId43" Type="http://schemas.openxmlformats.org/officeDocument/2006/relationships/hyperlink" Target="https://www.linkedin.com/pulse/flat-iron-hair-straightener-market-strategy-supply-chain-8v3ef" TargetMode="External"/><Relationship Id="rId44" Type="http://schemas.openxmlformats.org/officeDocument/2006/relationships/hyperlink" Target="https://patents.google.com/patent/US4245146A/en" TargetMode="External"/><Relationship Id="rId45" Type="http://schemas.openxmlformats.org/officeDocument/2006/relationships/hyperlink" Target="https://www.fivepluscn.com/private-label-wholesale-flat-irons/" TargetMode="External"/><Relationship Id="rId46" Type="http://schemas.openxmlformats.org/officeDocument/2006/relationships/hyperlink" Target="https://www.youtube.com/watch?v=qFoErjMmwfA" TargetMode="External"/><Relationship Id="rId47" Type="http://schemas.openxmlformats.org/officeDocument/2006/relationships/hyperlink" Target="https://www.mddionline.com/manufacturing/economies-of-scale-electronics-manufacturing-services-bring-balance" TargetMode="External"/><Relationship Id="rId48" Type="http://schemas.openxmlformats.org/officeDocument/2006/relationships/hyperlink" Target="https://www.youtube.com/watch?v=MJx0ng6kWfM" TargetMode="External"/><Relationship Id="rId49" Type="http://schemas.openxmlformats.org/officeDocument/2006/relationships/hyperlink" Target="https://patents.google.com/patent/EP3305129A1/en" TargetMode="External"/><Relationship Id="rId50" Type="http://schemas.openxmlformats.org/officeDocument/2006/relationships/hyperlink" Target="https://www.pritechcare.com/blog/guide-to-the-industrial-sites-in-china-for-manufacturing-hair-straighteners-and-curlers/" TargetMode="External"/><Relationship Id="rId51" Type="http://schemas.openxmlformats.org/officeDocument/2006/relationships/hyperlink" Target="https://www.reddit.com/r/AskElectronics/comments/1aytcmb/how_is_is_that_assembled_electronics_are_so_cheap/" TargetMode="External"/><Relationship Id="rId52" Type="http://schemas.openxmlformats.org/officeDocument/2006/relationships/hyperlink" Target="https://shiyabeauty.goldsupplier.com" TargetMode="External"/><Relationship Id="rId53" Type="http://schemas.openxmlformats.org/officeDocument/2006/relationships/hyperlink" Target="https://aeno.com/blog/energy-efficient-blow-dryer-and-eco-friendly-hair-care-practices/" TargetMode="External"/><Relationship Id="rId54" Type="http://schemas.openxmlformats.org/officeDocument/2006/relationships/hyperlink" Target="https://sustainbeauty.co/blogs/sustainability/the-shocking-truth-about-energy-in-the-salon" TargetMode="External"/><Relationship Id="rId55" Type="http://schemas.openxmlformats.org/officeDocument/2006/relationships/hyperlink" Target="https://www.techsciresearch.com/report/hair-straightener-market/4272.html" TargetMode="External"/><Relationship Id="rId56" Type="http://schemas.openxmlformats.org/officeDocument/2006/relationships/hyperlink" Target="https://www.pelonistechnologies.com/blog/three-benefits-of-ptc-heating-technology" TargetMode="External"/><Relationship Id="rId57" Type="http://schemas.openxmlformats.org/officeDocument/2006/relationships/hyperlink" Target="https://www.pakeptc.com/productstags/ptc-ceramic-heater.html" TargetMode="External"/><Relationship Id="rId58" Type="http://schemas.openxmlformats.org/officeDocument/2006/relationships/hyperlink" Target="https://www.researchandmarkets.com/reports/6070046/hair-straighteners-global-strategic-business" TargetMode="External"/><Relationship Id="rId59" Type="http://schemas.openxmlformats.org/officeDocument/2006/relationships/hyperlink" Target="https://assets.kpmg.com/content/dam/kpmg/xx/pdf/2022/12/how-strong-is-the-pricing-power-of-luxury-goods.pdf" TargetMode="External"/><Relationship Id="rId60" Type="http://schemas.openxmlformats.org/officeDocument/2006/relationships/hyperlink" Target="https://cataligent.in/blog/leveraging-economies-of-scale-to-reduce-production-costs/" TargetMode="External"/><Relationship Id="rId61" Type="http://schemas.openxmlformats.org/officeDocument/2006/relationships/hyperlink" Target="https://alephindia.in/isi-product/safety-of-household-and-similar-electrical-appliances-particular-requirements-appliances-for-skin-or-hair-care.php" TargetMode="External"/><Relationship Id="rId62" Type="http://schemas.openxmlformats.org/officeDocument/2006/relationships/hyperlink" Target="https://globalomega.com/blog/bis-certification-for-safety-of-household-and-similar-electrical-appliances-as-per-is-302-part-2-section-23.html" TargetMode="External"/><Relationship Id="rId63" Type="http://schemas.openxmlformats.org/officeDocument/2006/relationships/hyperlink" Target="https://meiliss.en.made-in-china.com" TargetMode="External"/><Relationship Id="rId64" Type="http://schemas.openxmlformats.org/officeDocument/2006/relationships/hyperlink" Target="https://www.cybex.in/indian-custom-duty/electric-instantaneous-storage-water-heaters-hs-code-8516" TargetMode="External"/><Relationship Id="rId65" Type="http://schemas.openxmlformats.org/officeDocument/2006/relationships/hyperlink" Target="https://www.exportgenius.in/india-custom-duty/import-duty-hair-dryers-hscode-85163100" TargetMode="External"/><Relationship Id="rId66" Type="http://schemas.openxmlformats.org/officeDocument/2006/relationships/hyperlink" Target="https://www.nagnechielectronics.in/hair-straightner.html" TargetMode="External"/><Relationship Id="rId67" Type="http://schemas.openxmlformats.org/officeDocument/2006/relationships/hyperlink" Target="https://www.tdk-electronics.tdk.com/download/531356/728d0d379187d1dfa0831555b8c93202/pdf-general-technical-information.pdf" TargetMode="External"/><Relationship Id="rId68" Type="http://schemas.openxmlformats.org/officeDocument/2006/relationships/hyperlink" Target="https://open.oregonstate.education/intermediatemicroeconomics/chapter/module-6/" TargetMode="External"/><Relationship Id="rId69" Type="http://schemas.openxmlformats.org/officeDocument/2006/relationships/hyperlink" Target="https://ecampusontario.pressbooks.pub/principlesofmicroeconomicscdn/chapter/7-2-theory-of-production/" TargetMode="External"/><Relationship Id="rId70" Type="http://schemas.openxmlformats.org/officeDocument/2006/relationships/hyperlink" Target="https://www.pvpsiddhartha.ac.in/dep_it/lecture%20notes/MEFA/unit2.pdf" TargetMode="External"/><Relationship Id="rId71" Type="http://schemas.openxmlformats.org/officeDocument/2006/relationships/hyperlink" Target="https://testbook.com/key-differences/difference-between-short-run-and-long-run-production-function" TargetMode="External"/><Relationship Id="rId72" Type="http://schemas.openxmlformats.org/officeDocument/2006/relationships/hyperlink" Target="https://agarolifestyle.com/blogs/personal-care-appliances/understanding-hair-dryer-wattage-and-energy-use" TargetMode="External"/><Relationship Id="rId73" Type="http://schemas.openxmlformats.org/officeDocument/2006/relationships/hyperlink" Target="https://www.sosheslays.com/style-blog/pm0g53a5ivogmwddpafu673n2nvjbe" TargetMode="External"/><Relationship Id="rId74" Type="http://schemas.openxmlformats.org/officeDocument/2006/relationships/hyperlink" Target="https://courses.lumenlearning.com/suny-microeconomics/chapter/fixed-and-variable-costs/" TargetMode="External"/><Relationship Id="rId75" Type="http://schemas.openxmlformats.org/officeDocument/2006/relationships/hyperlink" Target="https://www.investopedia.com/ask/answers/032515/what-difference-between-variable-cost-and-fixed-cost-economics.asp" TargetMode="External"/><Relationship Id="rId76" Type="http://schemas.openxmlformats.org/officeDocument/2006/relationships/hyperlink" Target="https://www.youtube.com/watch?v=TcIj94BzSF8" TargetMode="External"/><Relationship Id="rId77" Type="http://schemas.openxmlformats.org/officeDocument/2006/relationships/hyperlink" Target="https://www.linkedin.com/posts/vibhaskamal_i-was-reading-about-economies-of-scale-recently-activity-7403428969359839232-wtEK" TargetMode="External"/><Relationship Id="rId78" Type="http://schemas.openxmlformats.org/officeDocument/2006/relationships/hyperlink" Target="https://www.youtube.com/watch?v=qfH2fD7ZcBw" TargetMode="External"/><Relationship Id="rId79" Type="http://schemas.openxmlformats.org/officeDocument/2006/relationships/hyperlink" Target="https://www.geeksforgeeks.org/microeconomics/production-function-meaning-features-and-types/" TargetMode="External"/><Relationship Id="rId80" Type="http://schemas.openxmlformats.org/officeDocument/2006/relationships/hyperlink" Target="https://pressbooks.oer.hawaii.edu/microeconomics2019/chapter/6-2-production-in-the-short-run/" TargetMode="External"/><Relationship Id="rId81" Type="http://schemas.openxmlformats.org/officeDocument/2006/relationships/hyperlink" Target="https://courses.lumenlearning.com/wm-microeconomics/chapter/the-production-function/" TargetMode="External"/><Relationship Id="rId82" Type="http://schemas.openxmlformats.org/officeDocument/2006/relationships/hyperlink" Target="https://en.wikipedia.org/wiki/Long_run_and_short_run" TargetMode="External"/><Relationship Id="rId83" Type="http://schemas.openxmlformats.org/officeDocument/2006/relationships/hyperlink" Target="https://en.wikipedia.org/wiki/Economies_of_scale" TargetMode="External"/><Relationship Id="rId84" Type="http://schemas.openxmlformats.org/officeDocument/2006/relationships/hyperlink" Target="https://finance.yahoo.com/news/mini-hair-straightener-market-hit-090000783.html" TargetMode="External"/><Relationship Id="rId85" Type="http://schemas.openxmlformats.org/officeDocument/2006/relationships/hyperlink" Target="https://joelcma.com/uncategorized/hair-straighteners-for-salons-comparison/" TargetMode="External"/><Relationship Id="rId86" Type="http://schemas.openxmlformats.org/officeDocument/2006/relationships/hyperlink" Target="https://www.linkedin.com/pulse/hair-straighteners-market-brands-demand-48iqe" TargetMode="External"/><Relationship Id="rId87" Type="http://schemas.openxmlformats.org/officeDocument/2006/relationships/hyperlink" Target="https://www.linkedin.com/pulse/hair-straightener-brush-market-size-forecasting-1rsue" TargetMode="External"/><Relationship Id="rId88" Type="http://schemas.openxmlformats.org/officeDocument/2006/relationships/hyperlink" Target="https://www.futuremarketinsights.com/reports/hair-straightener-market" TargetMode="External"/><Relationship Id="rId89" Type="http://schemas.openxmlformats.org/officeDocument/2006/relationships/hyperlink" Target="https://tesi.luiss.it/26177/1/212501_GILI_GIORGIA.pdf" TargetMode="External"/><Relationship Id="rId90" Type="http://schemas.openxmlformats.org/officeDocument/2006/relationships/hyperlink" Target="https://ijrar.org/papers/IJRAR19J6109.pdf" TargetMode="External"/><Relationship Id="rId91" Type="http://schemas.openxmlformats.org/officeDocument/2006/relationships/hyperlink" Target="https://www.datainsightsmarket.com/reports/hair-straightener-and-curler-1306014" TargetMode="External"/><Relationship Id="rId92" Type="http://schemas.openxmlformats.org/officeDocument/2006/relationships/hyperlink" Target="https://www.youtube.com/watch?v=Fuqu_yXkGvE" TargetMode="External"/><Relationship Id="rId93" Type="http://schemas.openxmlformats.org/officeDocument/2006/relationships/hyperlink" Target="https://www.linkedin.com/pulse/global-mini-hair-straightener-market-expected-yreoc" TargetMode="External"/><Relationship Id="rId94" Type="http://schemas.openxmlformats.org/officeDocument/2006/relationships/hyperlink" Target="https://www.techsciresearch.com/report/india-hair-styling-tools-market/29053.html" TargetMode="External"/><Relationship Id="rId95" Type="http://schemas.openxmlformats.org/officeDocument/2006/relationships/hyperlink" Target="https://absoluteveritas.com/appliances-for-skin-or-hair-care/" TargetMode="External"/><Relationship Id="rId96" Type="http://schemas.openxmlformats.org/officeDocument/2006/relationships/hyperlink" Target="https://www.urbancompany.com/chennai-women-hair-services" TargetMode="External"/><Relationship Id="rId97" Type="http://schemas.openxmlformats.org/officeDocument/2006/relationships/hyperlink" Target="https://www.investopedia.com/terms/i/incomeelasticityofdemand.asp" TargetMode="External"/><Relationship Id="rId98" Type="http://schemas.openxmlformats.org/officeDocument/2006/relationships/hyperlink" Target="https://razorpay.com/blog/business-banking/price-elasticity-of-demand/" TargetMode="External"/><Relationship Id="rId99" Type="http://schemas.openxmlformats.org/officeDocument/2006/relationships/hyperlink" Target="https://www.vedantu.com/commerce/income-elasticity-of-demand" TargetMode="External"/><Relationship Id="rId100" Type="http://schemas.openxmlformats.org/officeDocument/2006/relationships/hyperlink" Target="https://www.flipkart.com/beauty-and-grooming/hair-care-and-accessory/hair-accessory/hair-curlers/pr?sid=g9b%2Clcf%2Cbjl%2Chxb" TargetMode="External"/><Relationship Id="rId101" Type="http://schemas.openxmlformats.org/officeDocument/2006/relationships/hyperlink" Target="https://www.linkedin.com/pulse/north-america-comprehensive-analysis-hair-straightener-jsacc" TargetMode="External"/><Relationship Id="rId102" Type="http://schemas.openxmlformats.org/officeDocument/2006/relationships/hyperlink" Target="https://www.devkikart.com/beauty-products.html" TargetMode="External"/><Relationship Id="rId103" Type="http://schemas.openxmlformats.org/officeDocument/2006/relationships/hyperlink" Target="https://www.shop.philips.co.in/collections/hair-straightening-brush" TargetMode="External"/><Relationship Id="rId104" Type="http://schemas.openxmlformats.org/officeDocument/2006/relationships/hyperlink" Target="https://alantruman.com/collections/hair-straightening-brush" TargetMode="External"/></Relationship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html-to-docx</dc:creator>
  <cp:keywords>html-to-docx</cp:keywords>
  <dc:description/>
  <cp:lastModifiedBy>html-to-docx</cp:lastModifiedBy>
  <cp:revision>1</cp:revision>
  <dcterms:created xsi:type="dcterms:W3CDTF">2026-01-03T08:40:11.276Z</dcterms:created>
  <dcterms:modified xsi:type="dcterms:W3CDTF">2026-01-03T08:40:11.276Z</dcterms:modified>
</cp:coreProperties>
</file>