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9EC9E" w14:textId="77777777" w:rsidR="0065068C" w:rsidRPr="00E10C44" w:rsidRDefault="00000000" w:rsidP="00E10C44">
      <w:pPr>
        <w:pStyle w:val="Heading1"/>
        <w:spacing w:before="0"/>
        <w:jc w:val="both"/>
        <w:rPr>
          <w:rFonts w:asciiTheme="minorHAnsi" w:hAnsiTheme="minorHAnsi"/>
          <w:sz w:val="24"/>
          <w:szCs w:val="24"/>
        </w:rPr>
      </w:pPr>
      <w:r w:rsidRPr="00E10C44">
        <w:rPr>
          <w:rFonts w:asciiTheme="minorHAnsi" w:hAnsiTheme="minorHAnsi"/>
          <w:sz w:val="24"/>
          <w:szCs w:val="24"/>
        </w:rPr>
        <w:t>1.4 Reading guide</w:t>
      </w:r>
    </w:p>
    <w:p w14:paraId="3AC76ABA"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This monitoring plan is organised in three main parts, followed by a bibliography and appendices.</w:t>
      </w:r>
    </w:p>
    <w:p w14:paraId="0F5628AE"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Section 1 (Introduction) introduces the problem context, the project goal, and this reading guide. It explains why systematic monitoring of the oak trees at </w:t>
      </w:r>
      <w:proofErr w:type="spellStart"/>
      <w:r w:rsidRPr="00E10C44">
        <w:rPr>
          <w:rFonts w:asciiTheme="minorHAnsi" w:hAnsiTheme="minorHAnsi"/>
        </w:rPr>
        <w:t>Natuurbegraafplaats</w:t>
      </w:r>
      <w:proofErr w:type="spellEnd"/>
      <w:r w:rsidRPr="00E10C44">
        <w:rPr>
          <w:rFonts w:asciiTheme="minorHAnsi" w:hAnsiTheme="minorHAnsi"/>
        </w:rPr>
        <w:t xml:space="preserve"> Huis ter Heide is necessary and what the programme aims to achieve.</w:t>
      </w:r>
    </w:p>
    <w:p w14:paraId="77635D25"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Section 2 (General) provides the framework within which the monitoring takes place. It describes the baseline conditions of the study site at the start of the programme, sets out the specific evaluation and monitoring goals, defines the variables that will be measured, delineates the monitoring area, describes the habitats and species covered, and presents the planned timeframe for the 2026 season and beyond.</w:t>
      </w:r>
    </w:p>
    <w:p w14:paraId="39F94EA6"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Section 3 (Protocols and methods) contains all operational guidance needed to carry out the monitoring programme. It covers the recommended monitoring schedule and responsibilities (Section 3.1), the general oak leaf sampling protocol (Section 3.2), field data recording templates (Section 3.3), the visual crown assessment protocol (Section 3.4), the leaf monitoring protocol (Section 3.5), laboratory standard operating procedures for sample preparation, acid digestion, and ICP-AES analysis (Section 3.6), and quality assurance and quality control documentation (Section 3.7).</w:t>
      </w:r>
    </w:p>
    <w:p w14:paraId="2C4B1A09"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The Bibliography lists all sources cited in this document. Supporting materials, including supplementary data tables and figures, are provided in the appendices.</w:t>
      </w:r>
    </w:p>
    <w:p w14:paraId="58329C0B" w14:textId="77777777" w:rsidR="0065068C" w:rsidRPr="00E10C44" w:rsidRDefault="00000000" w:rsidP="00E10C44">
      <w:pPr>
        <w:pStyle w:val="Heading1"/>
        <w:spacing w:before="400"/>
        <w:jc w:val="both"/>
        <w:rPr>
          <w:rFonts w:asciiTheme="minorHAnsi" w:hAnsiTheme="minorHAnsi"/>
          <w:sz w:val="24"/>
          <w:szCs w:val="24"/>
        </w:rPr>
      </w:pPr>
      <w:r w:rsidRPr="00E10C44">
        <w:rPr>
          <w:rFonts w:asciiTheme="minorHAnsi" w:hAnsiTheme="minorHAnsi"/>
          <w:sz w:val="24"/>
          <w:szCs w:val="24"/>
        </w:rPr>
        <w:t>2.0 General</w:t>
      </w:r>
    </w:p>
    <w:p w14:paraId="2899247E"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2.1 Baseline conditions</w:t>
      </w:r>
    </w:p>
    <w:p w14:paraId="1619CF17"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Huis ter Heide is a nature burial ground (</w:t>
      </w:r>
      <w:proofErr w:type="spellStart"/>
      <w:r w:rsidRPr="00E10C44">
        <w:rPr>
          <w:rFonts w:asciiTheme="minorHAnsi" w:hAnsiTheme="minorHAnsi"/>
        </w:rPr>
        <w:t>Natuurbegraafplaats</w:t>
      </w:r>
      <w:proofErr w:type="spellEnd"/>
      <w:r w:rsidRPr="00E10C44">
        <w:rPr>
          <w:rFonts w:asciiTheme="minorHAnsi" w:hAnsiTheme="minorHAnsi"/>
        </w:rPr>
        <w:t xml:space="preserve">) located in the municipality of Zeist, province of Utrecht, in the central Netherlands. The site lies within the </w:t>
      </w:r>
      <w:proofErr w:type="spellStart"/>
      <w:r w:rsidRPr="00E10C44">
        <w:rPr>
          <w:rFonts w:asciiTheme="minorHAnsi" w:hAnsiTheme="minorHAnsi"/>
        </w:rPr>
        <w:t>Utrechtse</w:t>
      </w:r>
      <w:proofErr w:type="spellEnd"/>
      <w:r w:rsidRPr="00E10C44">
        <w:rPr>
          <w:rFonts w:asciiTheme="minorHAnsi" w:hAnsiTheme="minorHAnsi"/>
        </w:rPr>
        <w:t xml:space="preserve"> </w:t>
      </w:r>
      <w:proofErr w:type="spellStart"/>
      <w:r w:rsidRPr="00E10C44">
        <w:rPr>
          <w:rFonts w:asciiTheme="minorHAnsi" w:hAnsiTheme="minorHAnsi"/>
        </w:rPr>
        <w:t>Heuvelrug</w:t>
      </w:r>
      <w:proofErr w:type="spellEnd"/>
      <w:r w:rsidRPr="00E10C44">
        <w:rPr>
          <w:rFonts w:asciiTheme="minorHAnsi" w:hAnsiTheme="minorHAnsi"/>
        </w:rPr>
        <w:t xml:space="preserve">, a glacial ridge characterised by well-drained, acidic, and nutrient-poor sandy soils (podzols). The surrounding landscape is predominantly forested, with Scots pine (Pinus sylvestris) and pedunculate oak (Quercus </w:t>
      </w:r>
      <w:proofErr w:type="spellStart"/>
      <w:r w:rsidRPr="00E10C44">
        <w:rPr>
          <w:rFonts w:asciiTheme="minorHAnsi" w:hAnsiTheme="minorHAnsi"/>
        </w:rPr>
        <w:t>robur</w:t>
      </w:r>
      <w:proofErr w:type="spellEnd"/>
      <w:r w:rsidRPr="00E10C44">
        <w:rPr>
          <w:rFonts w:asciiTheme="minorHAnsi" w:hAnsiTheme="minorHAnsi"/>
        </w:rPr>
        <w:t>) as the dominant tree species. The burial ground is managed with the explicit aim of maintaining and promoting biodiversity alongside its mortuary function.</w:t>
      </w:r>
    </w:p>
    <w:p w14:paraId="772A6C9C"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Prior to the initiation of this monitoring programme, visible signs of declining health had been recorded in </w:t>
      </w:r>
      <w:proofErr w:type="gramStart"/>
      <w:r w:rsidRPr="00E10C44">
        <w:rPr>
          <w:rFonts w:asciiTheme="minorHAnsi" w:hAnsiTheme="minorHAnsi"/>
        </w:rPr>
        <w:t>a number of</w:t>
      </w:r>
      <w:proofErr w:type="gramEnd"/>
      <w:r w:rsidRPr="00E10C44">
        <w:rPr>
          <w:rFonts w:asciiTheme="minorHAnsi" w:hAnsiTheme="minorHAnsi"/>
        </w:rPr>
        <w:t xml:space="preserve"> the oak trees at the site. Observed symptoms include reduced leaf density in the upper crown, crown dieback (the progressive death of peripheral branches and fine branch tips), epicormic shoot production along the trunk and main branches, and the presence of fungal infections. These symptoms are consistent with the syndrome commonly referred to as oak decline, which typically </w:t>
      </w:r>
      <w:r w:rsidRPr="00E10C44">
        <w:rPr>
          <w:rFonts w:asciiTheme="minorHAnsi" w:hAnsiTheme="minorHAnsi"/>
        </w:rPr>
        <w:lastRenderedPageBreak/>
        <w:t>results from a combination of primary stressors — including soil compaction, nutrient limitation, and periodic drought stress — and secondary agents such as pathogenic fungi and defoliating insects.</w:t>
      </w:r>
    </w:p>
    <w:p w14:paraId="319592E9"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In response to these observations, the site manager began applying bokashi — a fermented organic soil amendment designed to stimulate microbial activity and improve nutrient cycling and availability — to the soil surrounding a subset of trees from 2022 onwards. Three of the six permanently monitored trees (T01, T02, T03) have received annual bokashi applications; the remaining three (T04, T05, T06) serve as untreated reference trees and have received no soil amendment. No systematic, quantitative assessment of tree vitality was carried out prior to or during the bokashi applications, which means the effect of the intervention has not yet been scientifically evaluated.</w:t>
      </w:r>
    </w:p>
    <w:p w14:paraId="5231C03F"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This monitoring programme establishes the first quantitative baseline against which change in oak vitality can be assessed. The initial measurements collected during Round 1 of the 2026 season (early to mid-May 2026) will serve as the baseline dataset for all subsequent comparisons, both within the 2026 season and across future growing seasons.</w:t>
      </w:r>
    </w:p>
    <w:p w14:paraId="59A9154A"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2.2 Goals for evaluation &amp; monitoring</w:t>
      </w:r>
    </w:p>
    <w:p w14:paraId="46A2A102"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overarching goal of this monitoring programme is to provide the site management of </w:t>
      </w:r>
      <w:proofErr w:type="spellStart"/>
      <w:r w:rsidRPr="00E10C44">
        <w:rPr>
          <w:rFonts w:asciiTheme="minorHAnsi" w:hAnsiTheme="minorHAnsi"/>
        </w:rPr>
        <w:t>Natuurbegraafplaats</w:t>
      </w:r>
      <w:proofErr w:type="spellEnd"/>
      <w:r w:rsidRPr="00E10C44">
        <w:rPr>
          <w:rFonts w:asciiTheme="minorHAnsi" w:hAnsiTheme="minorHAnsi"/>
        </w:rPr>
        <w:t xml:space="preserve"> Huis ter Heide with a scientifically grounded, practically applicable framework for tracking oak tree vitality and evaluating the long-term effects of bokashi soil amendment. The specific evaluation and monitoring goals are as follows.</w:t>
      </w:r>
    </w:p>
    <w:p w14:paraId="68079D7F" w14:textId="77777777" w:rsidR="0065068C" w:rsidRPr="00E10C44" w:rsidRDefault="00000000" w:rsidP="00E10C44">
      <w:pPr>
        <w:spacing w:after="80" w:line="276" w:lineRule="auto"/>
        <w:ind w:left="360"/>
        <w:jc w:val="both"/>
        <w:rPr>
          <w:rFonts w:asciiTheme="minorHAnsi" w:hAnsiTheme="minorHAnsi"/>
        </w:rPr>
      </w:pPr>
      <w:r w:rsidRPr="00E10C44">
        <w:rPr>
          <w:rFonts w:asciiTheme="minorHAnsi" w:hAnsiTheme="minorHAnsi"/>
        </w:rPr>
        <w:t>1.</w:t>
      </w:r>
      <w:r w:rsidRPr="00E10C44">
        <w:rPr>
          <w:rFonts w:asciiTheme="minorHAnsi" w:hAnsiTheme="minorHAnsi"/>
        </w:rPr>
        <w:tab/>
        <w:t>Establish a quantitative baseline.</w:t>
      </w:r>
    </w:p>
    <w:p w14:paraId="0731EDD4" w14:textId="77777777" w:rsidR="0065068C" w:rsidRPr="00E10C44" w:rsidRDefault="00000000" w:rsidP="00E10C44">
      <w:pPr>
        <w:spacing w:after="120" w:line="276" w:lineRule="auto"/>
        <w:ind w:left="360"/>
        <w:jc w:val="both"/>
        <w:rPr>
          <w:rFonts w:asciiTheme="minorHAnsi" w:hAnsiTheme="minorHAnsi"/>
        </w:rPr>
      </w:pPr>
      <w:r w:rsidRPr="00E10C44">
        <w:rPr>
          <w:rFonts w:asciiTheme="minorHAnsi" w:hAnsiTheme="minorHAnsi"/>
        </w:rPr>
        <w:t xml:space="preserve">To record quantitative values for a defined set of oak vitality indicators — including crown condition scores, leaf nutrient concentrations, and foliar chlorophyll content — for all six monitored Quercus </w:t>
      </w:r>
      <w:proofErr w:type="spellStart"/>
      <w:r w:rsidRPr="00E10C44">
        <w:rPr>
          <w:rFonts w:asciiTheme="minorHAnsi" w:hAnsiTheme="minorHAnsi"/>
        </w:rPr>
        <w:t>robur</w:t>
      </w:r>
      <w:proofErr w:type="spellEnd"/>
      <w:r w:rsidRPr="00E10C44">
        <w:rPr>
          <w:rFonts w:asciiTheme="minorHAnsi" w:hAnsiTheme="minorHAnsi"/>
        </w:rPr>
        <w:t xml:space="preserve"> individuals at the start of the 2026 growing season. These values will serve as the reference point against which future measurements are compared.</w:t>
      </w:r>
    </w:p>
    <w:p w14:paraId="217D8594" w14:textId="77777777" w:rsidR="0065068C" w:rsidRPr="00E10C44" w:rsidRDefault="00000000" w:rsidP="00E10C44">
      <w:pPr>
        <w:spacing w:after="80" w:line="276" w:lineRule="auto"/>
        <w:ind w:left="360"/>
        <w:jc w:val="both"/>
        <w:rPr>
          <w:rFonts w:asciiTheme="minorHAnsi" w:hAnsiTheme="minorHAnsi"/>
        </w:rPr>
      </w:pPr>
      <w:r w:rsidRPr="00E10C44">
        <w:rPr>
          <w:rFonts w:asciiTheme="minorHAnsi" w:hAnsiTheme="minorHAnsi"/>
        </w:rPr>
        <w:t>2.</w:t>
      </w:r>
      <w:r w:rsidRPr="00E10C44">
        <w:rPr>
          <w:rFonts w:asciiTheme="minorHAnsi" w:hAnsiTheme="minorHAnsi"/>
        </w:rPr>
        <w:tab/>
        <w:t>Detect differences between treated and reference trees.</w:t>
      </w:r>
    </w:p>
    <w:p w14:paraId="677A5502" w14:textId="77777777" w:rsidR="0065068C" w:rsidRPr="00E10C44" w:rsidRDefault="00000000" w:rsidP="00E10C44">
      <w:pPr>
        <w:spacing w:after="120" w:line="276" w:lineRule="auto"/>
        <w:ind w:left="360"/>
        <w:jc w:val="both"/>
        <w:rPr>
          <w:rFonts w:asciiTheme="minorHAnsi" w:hAnsiTheme="minorHAnsi"/>
        </w:rPr>
      </w:pPr>
      <w:r w:rsidRPr="00E10C44">
        <w:rPr>
          <w:rFonts w:asciiTheme="minorHAnsi" w:hAnsiTheme="minorHAnsi"/>
        </w:rPr>
        <w:t>To assess whether bokashi-treated trees (T01–T03) show measurable differences in vitality indicators relative to untreated reference trees (T04–T06), thereby providing initial evidence for or against the effectiveness of the intervention after at least three years of treatment.</w:t>
      </w:r>
    </w:p>
    <w:p w14:paraId="5B1C0A30" w14:textId="77777777" w:rsidR="0065068C" w:rsidRPr="00E10C44" w:rsidRDefault="00000000" w:rsidP="00E10C44">
      <w:pPr>
        <w:spacing w:after="80" w:line="276" w:lineRule="auto"/>
        <w:ind w:left="360"/>
        <w:jc w:val="both"/>
        <w:rPr>
          <w:rFonts w:asciiTheme="minorHAnsi" w:hAnsiTheme="minorHAnsi"/>
        </w:rPr>
      </w:pPr>
      <w:r w:rsidRPr="00E10C44">
        <w:rPr>
          <w:rFonts w:asciiTheme="minorHAnsi" w:hAnsiTheme="minorHAnsi"/>
        </w:rPr>
        <w:t>3.</w:t>
      </w:r>
      <w:r w:rsidRPr="00E10C44">
        <w:rPr>
          <w:rFonts w:asciiTheme="minorHAnsi" w:hAnsiTheme="minorHAnsi"/>
        </w:rPr>
        <w:tab/>
        <w:t>Track within-season variation.</w:t>
      </w:r>
    </w:p>
    <w:p w14:paraId="5DBFB2D2" w14:textId="77777777" w:rsidR="0065068C" w:rsidRPr="00E10C44" w:rsidRDefault="00000000" w:rsidP="00E10C44">
      <w:pPr>
        <w:spacing w:after="120" w:line="276" w:lineRule="auto"/>
        <w:ind w:left="360"/>
        <w:jc w:val="both"/>
        <w:rPr>
          <w:rFonts w:asciiTheme="minorHAnsi" w:hAnsiTheme="minorHAnsi"/>
        </w:rPr>
      </w:pPr>
      <w:r w:rsidRPr="00E10C44">
        <w:rPr>
          <w:rFonts w:asciiTheme="minorHAnsi" w:hAnsiTheme="minorHAnsi"/>
        </w:rPr>
        <w:t xml:space="preserve">To document changes in oak vitality indicators across a minimum of three </w:t>
      </w:r>
      <w:proofErr w:type="spellStart"/>
      <w:r w:rsidRPr="00E10C44">
        <w:rPr>
          <w:rFonts w:asciiTheme="minorHAnsi" w:hAnsiTheme="minorHAnsi"/>
        </w:rPr>
        <w:t>phenologically</w:t>
      </w:r>
      <w:proofErr w:type="spellEnd"/>
      <w:r w:rsidRPr="00E10C44">
        <w:rPr>
          <w:rFonts w:asciiTheme="minorHAnsi" w:hAnsiTheme="minorHAnsi"/>
        </w:rPr>
        <w:t xml:space="preserve"> distinct monitoring rounds per growing season, enabling the identification of seasonal patterns and the detection of stress that may be transient or </w:t>
      </w:r>
      <w:proofErr w:type="gramStart"/>
      <w:r w:rsidRPr="00E10C44">
        <w:rPr>
          <w:rFonts w:asciiTheme="minorHAnsi" w:hAnsiTheme="minorHAnsi"/>
        </w:rPr>
        <w:t>phenology-dependent</w:t>
      </w:r>
      <w:proofErr w:type="gramEnd"/>
      <w:r w:rsidRPr="00E10C44">
        <w:rPr>
          <w:rFonts w:asciiTheme="minorHAnsi" w:hAnsiTheme="minorHAnsi"/>
        </w:rPr>
        <w:t>.</w:t>
      </w:r>
    </w:p>
    <w:p w14:paraId="1E3C04E6" w14:textId="77777777" w:rsidR="0065068C" w:rsidRPr="00E10C44" w:rsidRDefault="00000000" w:rsidP="00E10C44">
      <w:pPr>
        <w:spacing w:after="80" w:line="276" w:lineRule="auto"/>
        <w:ind w:left="360"/>
        <w:jc w:val="both"/>
        <w:rPr>
          <w:rFonts w:asciiTheme="minorHAnsi" w:hAnsiTheme="minorHAnsi"/>
        </w:rPr>
      </w:pPr>
      <w:r w:rsidRPr="00E10C44">
        <w:rPr>
          <w:rFonts w:asciiTheme="minorHAnsi" w:hAnsiTheme="minorHAnsi"/>
        </w:rPr>
        <w:lastRenderedPageBreak/>
        <w:t>4.</w:t>
      </w:r>
      <w:r w:rsidRPr="00E10C44">
        <w:rPr>
          <w:rFonts w:asciiTheme="minorHAnsi" w:hAnsiTheme="minorHAnsi"/>
        </w:rPr>
        <w:tab/>
        <w:t>Produce spatially referenced monitoring data.</w:t>
      </w:r>
    </w:p>
    <w:p w14:paraId="7F94A087" w14:textId="77777777" w:rsidR="0065068C" w:rsidRPr="00E10C44" w:rsidRDefault="00000000" w:rsidP="00E10C44">
      <w:pPr>
        <w:spacing w:after="120" w:line="276" w:lineRule="auto"/>
        <w:ind w:left="360"/>
        <w:jc w:val="both"/>
        <w:rPr>
          <w:rFonts w:asciiTheme="minorHAnsi" w:hAnsiTheme="minorHAnsi"/>
        </w:rPr>
      </w:pPr>
      <w:r w:rsidRPr="00E10C44">
        <w:rPr>
          <w:rFonts w:asciiTheme="minorHAnsi" w:hAnsiTheme="minorHAnsi"/>
        </w:rPr>
        <w:t>To link all field measurements to georeferenced tree locations, enabling integration with drone-derived multispectral imagery (NDVI) and visualisation in a GIS environment and Story Map, so that tree-level and stand-level patterns in vitality can be communicated to site managers and other stakeholders.</w:t>
      </w:r>
    </w:p>
    <w:p w14:paraId="03DF44FF" w14:textId="77777777" w:rsidR="0065068C" w:rsidRPr="00E10C44" w:rsidRDefault="00000000" w:rsidP="00E10C44">
      <w:pPr>
        <w:spacing w:after="80" w:line="276" w:lineRule="auto"/>
        <w:ind w:left="360"/>
        <w:jc w:val="both"/>
        <w:rPr>
          <w:rFonts w:asciiTheme="minorHAnsi" w:hAnsiTheme="minorHAnsi"/>
        </w:rPr>
      </w:pPr>
      <w:r w:rsidRPr="00E10C44">
        <w:rPr>
          <w:rFonts w:asciiTheme="minorHAnsi" w:hAnsiTheme="minorHAnsi"/>
        </w:rPr>
        <w:t>5.</w:t>
      </w:r>
      <w:r w:rsidRPr="00E10C44">
        <w:rPr>
          <w:rFonts w:asciiTheme="minorHAnsi" w:hAnsiTheme="minorHAnsi"/>
        </w:rPr>
        <w:tab/>
        <w:t>Deliver a transferable monitoring protocol.</w:t>
      </w:r>
    </w:p>
    <w:p w14:paraId="276697F8" w14:textId="77777777" w:rsidR="0065068C" w:rsidRPr="00E10C44" w:rsidRDefault="00000000" w:rsidP="00E10C44">
      <w:pPr>
        <w:spacing w:after="160" w:line="276" w:lineRule="auto"/>
        <w:ind w:left="360"/>
        <w:jc w:val="both"/>
        <w:rPr>
          <w:rFonts w:asciiTheme="minorHAnsi" w:hAnsiTheme="minorHAnsi"/>
        </w:rPr>
      </w:pPr>
      <w:r w:rsidRPr="00E10C44">
        <w:rPr>
          <w:rFonts w:asciiTheme="minorHAnsi" w:hAnsiTheme="minorHAnsi"/>
        </w:rPr>
        <w:t>To produce a validated, standardised monitoring protocol that can be independently implemented by site management staff in subsequent growing seasons without requiring specialist ecological expertise for field measurements, ensuring continuity of the long-term monitoring programme beyond the duration of this project.</w:t>
      </w:r>
    </w:p>
    <w:p w14:paraId="25E0DAD0"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2.3 Variables to be monitored</w:t>
      </w:r>
    </w:p>
    <w:p w14:paraId="3E372F9C"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The monitoring programme tracks three categories of variables: crown condition indicators, leaf-based physiological and nutritional indicators, and spatial and contextual data. Together these provide a multi-dimensional picture of oak vitality that no single method can capture alone.</w:t>
      </w:r>
    </w:p>
    <w:p w14:paraId="662A498A" w14:textId="77777777" w:rsidR="0065068C" w:rsidRPr="00E10C44" w:rsidRDefault="00000000" w:rsidP="00E10C44">
      <w:pPr>
        <w:pStyle w:val="Heading3"/>
        <w:jc w:val="both"/>
        <w:rPr>
          <w:rFonts w:asciiTheme="minorHAnsi" w:hAnsiTheme="minorHAnsi"/>
        </w:rPr>
      </w:pPr>
      <w:r w:rsidRPr="00E10C44">
        <w:rPr>
          <w:rFonts w:asciiTheme="minorHAnsi" w:hAnsiTheme="minorHAnsi"/>
        </w:rPr>
        <w:t>Crown condition indicators</w:t>
      </w:r>
    </w:p>
    <w:p w14:paraId="7F54131D"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Crown condition is assessed visually during each monitoring round using standardised methods based on the ICP Forests protocol. The following variables are recorded for each tree.</w:t>
      </w:r>
    </w:p>
    <w:p w14:paraId="576E3386"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Crown defoliation</w:t>
      </w:r>
      <w:r w:rsidRPr="00E10C44">
        <w:rPr>
          <w:rFonts w:asciiTheme="minorHAnsi" w:hAnsiTheme="minorHAnsi"/>
        </w:rPr>
        <w:t>: the estimated percentage reduction in leaf density relative to a fully foliated reference crown of the same species, scored in five classes (Class 0: 0–10%; Class 1: &gt;10–25%; Class 2: &gt;25–60%; Class 3: &gt;60–99%; Class 4: 100% dead).</w:t>
      </w:r>
    </w:p>
    <w:p w14:paraId="39BB7C6A"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Crown transparency</w:t>
      </w:r>
      <w:r w:rsidRPr="00E10C44">
        <w:rPr>
          <w:rFonts w:asciiTheme="minorHAnsi" w:hAnsiTheme="minorHAnsi"/>
        </w:rPr>
        <w:t>: the estimated proportion of visible sky through the foliated crown zone, recorded in 5% increments. Bare branches are treated as transparent in the assessment.</w:t>
      </w:r>
    </w:p>
    <w:p w14:paraId="68A0B517"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Crown dieback</w:t>
      </w:r>
      <w:r w:rsidRPr="00E10C44">
        <w:rPr>
          <w:rFonts w:asciiTheme="minorHAnsi" w:hAnsiTheme="minorHAnsi"/>
        </w:rPr>
        <w:t>: the proportion of recently dead terminal branches and fine branch tips in the upper and outer crown, recorded in 5% increments. Dead branches in the lower crown are excluded.</w:t>
      </w:r>
    </w:p>
    <w:p w14:paraId="7850113D"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Epicormic shoot production</w:t>
      </w:r>
      <w:r w:rsidRPr="00E10C44">
        <w:rPr>
          <w:rFonts w:asciiTheme="minorHAnsi" w:hAnsiTheme="minorHAnsi"/>
        </w:rPr>
        <w:t>: the presence and abundance of stress-induced shoots arising from latent buds on the trunk and main branches, scored on a three-point scale (0 = none; 1 = scattered, not dominant; 2 = abundant, clearly dominating trunk and lower crown).</w:t>
      </w:r>
    </w:p>
    <w:p w14:paraId="32B241DA" w14:textId="77777777" w:rsidR="0065068C" w:rsidRPr="00E10C44" w:rsidRDefault="00000000" w:rsidP="00E10C44">
      <w:pPr>
        <w:pStyle w:val="ListParagraph"/>
        <w:numPr>
          <w:ilvl w:val="0"/>
          <w:numId w:val="2"/>
        </w:numPr>
        <w:spacing w:after="160" w:line="276" w:lineRule="auto"/>
        <w:jc w:val="both"/>
        <w:rPr>
          <w:rFonts w:asciiTheme="minorHAnsi" w:hAnsiTheme="minorHAnsi"/>
        </w:rPr>
      </w:pPr>
      <w:r w:rsidRPr="00E10C44">
        <w:rPr>
          <w:rFonts w:asciiTheme="minorHAnsi" w:hAnsiTheme="minorHAnsi"/>
          <w:b/>
          <w:bCs/>
        </w:rPr>
        <w:t>Additional damage observations</w:t>
      </w:r>
      <w:r w:rsidRPr="00E10C44">
        <w:rPr>
          <w:rFonts w:asciiTheme="minorHAnsi" w:hAnsiTheme="minorHAnsi"/>
        </w:rPr>
        <w:t>: qualitative records of any fungal fruiting bodies, bark cankers or lesions, mechanical damage, insect feeding damage, leaf discolouration, and acorn production level (absent / scarce / common / abundant).</w:t>
      </w:r>
    </w:p>
    <w:p w14:paraId="7B952939" w14:textId="77777777" w:rsidR="0065068C" w:rsidRPr="00E10C44" w:rsidRDefault="00000000" w:rsidP="00E10C44">
      <w:pPr>
        <w:pStyle w:val="Heading3"/>
        <w:jc w:val="both"/>
        <w:rPr>
          <w:rFonts w:asciiTheme="minorHAnsi" w:hAnsiTheme="minorHAnsi"/>
        </w:rPr>
      </w:pPr>
      <w:r w:rsidRPr="00E10C44">
        <w:rPr>
          <w:rFonts w:asciiTheme="minorHAnsi" w:hAnsiTheme="minorHAnsi"/>
        </w:rPr>
        <w:lastRenderedPageBreak/>
        <w:t>Leaf-based physiological and nutritional indicators</w:t>
      </w:r>
    </w:p>
    <w:p w14:paraId="245B7887"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Leaf samples collected during each monitoring round are submitted to a contracted laboratory for elemental analysis by inductively coupled plasma atomic emission spectrometry (ICP-AES) following acid digestion. The elements quantified </w:t>
      </w:r>
      <w:proofErr w:type="gramStart"/>
      <w:r w:rsidRPr="00E10C44">
        <w:rPr>
          <w:rFonts w:asciiTheme="minorHAnsi" w:hAnsiTheme="minorHAnsi"/>
        </w:rPr>
        <w:t>are:</w:t>
      </w:r>
      <w:proofErr w:type="gramEnd"/>
      <w:r w:rsidRPr="00E10C44">
        <w:rPr>
          <w:rFonts w:asciiTheme="minorHAnsi" w:hAnsiTheme="minorHAnsi"/>
        </w:rPr>
        <w:t xml:space="preserve"> nitrogen (N), phosphorus (P), potassium (K), calcium (Ca), magnesium (Mg), sulphur (S), iron (Fe), manganese (Mn), copper (Cu), and zinc (Zn). All concentrations are expressed on a dry-weight basis (g</w:t>
      </w:r>
      <w:r w:rsidRPr="00E10C44">
        <w:t> </w:t>
      </w:r>
      <w:r w:rsidRPr="00E10C44">
        <w:rPr>
          <w:rFonts w:asciiTheme="minorHAnsi" w:hAnsiTheme="minorHAnsi"/>
        </w:rPr>
        <w:t>kg</w:t>
      </w:r>
      <w:r w:rsidRPr="00E10C44">
        <w:rPr>
          <w:rFonts w:ascii="Cambria Math" w:hAnsi="Cambria Math" w:cs="Cambria Math"/>
        </w:rPr>
        <w:t>⁻</w:t>
      </w:r>
      <w:r w:rsidRPr="00E10C44">
        <w:rPr>
          <w:rFonts w:asciiTheme="minorHAnsi" w:hAnsiTheme="minorHAnsi"/>
        </w:rPr>
        <w:t>¹ for macronutrients; mg</w:t>
      </w:r>
      <w:r w:rsidRPr="00E10C44">
        <w:t> </w:t>
      </w:r>
      <w:r w:rsidRPr="00E10C44">
        <w:rPr>
          <w:rFonts w:asciiTheme="minorHAnsi" w:hAnsiTheme="minorHAnsi"/>
        </w:rPr>
        <w:t>kg</w:t>
      </w:r>
      <w:r w:rsidRPr="00E10C44">
        <w:rPr>
          <w:rFonts w:ascii="Cambria Math" w:hAnsi="Cambria Math" w:cs="Cambria Math"/>
        </w:rPr>
        <w:t>⁻</w:t>
      </w:r>
      <w:r w:rsidRPr="00E10C44">
        <w:rPr>
          <w:rFonts w:asciiTheme="minorHAnsi" w:hAnsiTheme="minorHAnsi"/>
        </w:rPr>
        <w:t xml:space="preserve">¹ for micronutrients) and interpreted against published sufficiency ranges for Quercus </w:t>
      </w:r>
      <w:proofErr w:type="spellStart"/>
      <w:r w:rsidRPr="00E10C44">
        <w:rPr>
          <w:rFonts w:asciiTheme="minorHAnsi" w:hAnsiTheme="minorHAnsi"/>
        </w:rPr>
        <w:t>robur</w:t>
      </w:r>
      <w:proofErr w:type="spellEnd"/>
      <w:r w:rsidRPr="00E10C44">
        <w:rPr>
          <w:rFonts w:asciiTheme="minorHAnsi" w:hAnsiTheme="minorHAnsi"/>
        </w:rPr>
        <w:t xml:space="preserve">. The nutrient ratios N:P and </w:t>
      </w:r>
      <w:proofErr w:type="gramStart"/>
      <w:r w:rsidRPr="00E10C44">
        <w:rPr>
          <w:rFonts w:asciiTheme="minorHAnsi" w:hAnsiTheme="minorHAnsi"/>
        </w:rPr>
        <w:t>N:K</w:t>
      </w:r>
      <w:proofErr w:type="gramEnd"/>
      <w:r w:rsidRPr="00E10C44">
        <w:rPr>
          <w:rFonts w:asciiTheme="minorHAnsi" w:hAnsiTheme="minorHAnsi"/>
        </w:rPr>
        <w:t xml:space="preserve"> are calculated alongside absolute concentrations, as stoichiometric imbalances can indicate growth limitation even when individual element concentrations appear adequate.</w:t>
      </w:r>
    </w:p>
    <w:p w14:paraId="642BA071"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Foliar chlorophyll content is estimated non-destructively in the field using the </w:t>
      </w:r>
      <w:proofErr w:type="spellStart"/>
      <w:r w:rsidRPr="00E10C44">
        <w:rPr>
          <w:rFonts w:asciiTheme="minorHAnsi" w:hAnsiTheme="minorHAnsi"/>
        </w:rPr>
        <w:t>PhotoFolia</w:t>
      </w:r>
      <w:proofErr w:type="spellEnd"/>
      <w:r w:rsidRPr="00E10C44">
        <w:rPr>
          <w:rFonts w:asciiTheme="minorHAnsi" w:hAnsiTheme="minorHAnsi"/>
        </w:rPr>
        <w:t xml:space="preserve"> smartphone application (</w:t>
      </w:r>
      <w:proofErr w:type="spellStart"/>
      <w:r w:rsidRPr="00E10C44">
        <w:rPr>
          <w:rFonts w:asciiTheme="minorHAnsi" w:hAnsiTheme="minorHAnsi"/>
        </w:rPr>
        <w:t>Colourworker</w:t>
      </w:r>
      <w:proofErr w:type="spellEnd"/>
      <w:r w:rsidRPr="00E10C44">
        <w:rPr>
          <w:rFonts w:asciiTheme="minorHAnsi" w:hAnsiTheme="minorHAnsi"/>
        </w:rPr>
        <w:t>). The app derives a dimensionless Leaf Greenness Value (LGV) from photographs of individual leaves taken against a calibrated colour-standard card. Twelve readings are taken per tree per monitoring round, distributed across four compass positions (N, S, E, W) around the accessible crown, and the per-tree mean LGV is used as the analytical unit.</w:t>
      </w:r>
    </w:p>
    <w:p w14:paraId="78B7013D" w14:textId="77777777" w:rsidR="0065068C" w:rsidRPr="00E10C44" w:rsidRDefault="00000000" w:rsidP="00E10C44">
      <w:pPr>
        <w:pStyle w:val="Heading3"/>
        <w:jc w:val="both"/>
        <w:rPr>
          <w:rFonts w:asciiTheme="minorHAnsi" w:hAnsiTheme="minorHAnsi"/>
        </w:rPr>
      </w:pPr>
      <w:r w:rsidRPr="00E10C44">
        <w:rPr>
          <w:rFonts w:asciiTheme="minorHAnsi" w:hAnsiTheme="minorHAnsi"/>
        </w:rPr>
        <w:t>Spatial and contextual data</w:t>
      </w:r>
    </w:p>
    <w:p w14:paraId="1FB77A79"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Each monitored tree is assigned a unique identifier (T01–T06) and a fixed geographic location recorded by GPS (minimum positional accuracy ±3</w:t>
      </w:r>
      <w:r w:rsidRPr="00E10C44">
        <w:t> </w:t>
      </w:r>
      <w:r w:rsidRPr="00E10C44">
        <w:rPr>
          <w:rFonts w:asciiTheme="minorHAnsi" w:hAnsiTheme="minorHAnsi"/>
        </w:rPr>
        <w:t xml:space="preserve">m). Additional tree-level attributes recorded at initial tagging and updated as needed include diameter at breast height (DBH, cm), estimated crown height class (1–5), and bokashi treatment history. Where drone-acquired multispectral imagery is available, canopy NDVI values are extracted per tree from georeferenced </w:t>
      </w:r>
      <w:proofErr w:type="spellStart"/>
      <w:r w:rsidRPr="00E10C44">
        <w:rPr>
          <w:rFonts w:asciiTheme="minorHAnsi" w:hAnsiTheme="minorHAnsi"/>
        </w:rPr>
        <w:t>rasters</w:t>
      </w:r>
      <w:proofErr w:type="spellEnd"/>
      <w:r w:rsidRPr="00E10C44">
        <w:rPr>
          <w:rFonts w:asciiTheme="minorHAnsi" w:hAnsiTheme="minorHAnsi"/>
        </w:rPr>
        <w:t xml:space="preserve"> and linked to the field dataset, enabling spatial analysis of crown greenness at the stand scale.</w:t>
      </w:r>
    </w:p>
    <w:p w14:paraId="5CE22A6E"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2.4 Monitoring area</w:t>
      </w:r>
    </w:p>
    <w:p w14:paraId="6B8299D2"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monitoring area is </w:t>
      </w:r>
      <w:proofErr w:type="spellStart"/>
      <w:r w:rsidRPr="00E10C44">
        <w:rPr>
          <w:rFonts w:asciiTheme="minorHAnsi" w:hAnsiTheme="minorHAnsi"/>
        </w:rPr>
        <w:t>Natuurbegraafplaats</w:t>
      </w:r>
      <w:proofErr w:type="spellEnd"/>
      <w:r w:rsidRPr="00E10C44">
        <w:rPr>
          <w:rFonts w:asciiTheme="minorHAnsi" w:hAnsiTheme="minorHAnsi"/>
        </w:rPr>
        <w:t xml:space="preserve"> Huis ter Heide, a nature burial ground located in the municipality of Zeist, province of Utrecht, in the central Netherlands (approximately 52°7’N, 5°15’E). The site lies within the </w:t>
      </w:r>
      <w:proofErr w:type="spellStart"/>
      <w:r w:rsidRPr="00E10C44">
        <w:rPr>
          <w:rFonts w:asciiTheme="minorHAnsi" w:hAnsiTheme="minorHAnsi"/>
        </w:rPr>
        <w:t>Utrechtse</w:t>
      </w:r>
      <w:proofErr w:type="spellEnd"/>
      <w:r w:rsidRPr="00E10C44">
        <w:rPr>
          <w:rFonts w:asciiTheme="minorHAnsi" w:hAnsiTheme="minorHAnsi"/>
        </w:rPr>
        <w:t xml:space="preserve"> </w:t>
      </w:r>
      <w:proofErr w:type="spellStart"/>
      <w:r w:rsidRPr="00E10C44">
        <w:rPr>
          <w:rFonts w:asciiTheme="minorHAnsi" w:hAnsiTheme="minorHAnsi"/>
        </w:rPr>
        <w:t>Heuvelrug</w:t>
      </w:r>
      <w:proofErr w:type="spellEnd"/>
      <w:r w:rsidRPr="00E10C44">
        <w:rPr>
          <w:rFonts w:asciiTheme="minorHAnsi" w:hAnsiTheme="minorHAnsi"/>
        </w:rPr>
        <w:t xml:space="preserve"> National Park, a glacially formed ridge of well-drained, acidic, nutrient-poor sandy soils. The wider landscape is dominated by Scots pine (Pinus sylvestris) and mixed deciduous woodland, with pedunculate oak (Quercus </w:t>
      </w:r>
      <w:proofErr w:type="spellStart"/>
      <w:r w:rsidRPr="00E10C44">
        <w:rPr>
          <w:rFonts w:asciiTheme="minorHAnsi" w:hAnsiTheme="minorHAnsi"/>
        </w:rPr>
        <w:t>robur</w:t>
      </w:r>
      <w:proofErr w:type="spellEnd"/>
      <w:r w:rsidRPr="00E10C44">
        <w:rPr>
          <w:rFonts w:asciiTheme="minorHAnsi" w:hAnsiTheme="minorHAnsi"/>
        </w:rPr>
        <w:t>) occurring throughout the forested areas of the ridge.</w:t>
      </w:r>
    </w:p>
    <w:p w14:paraId="0C5401A8"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Within the burial ground, a fixed permanent monitoring plot has been established comprising six individual Quercus </w:t>
      </w:r>
      <w:proofErr w:type="spellStart"/>
      <w:r w:rsidRPr="00E10C44">
        <w:rPr>
          <w:rFonts w:asciiTheme="minorHAnsi" w:hAnsiTheme="minorHAnsi"/>
        </w:rPr>
        <w:t>robur</w:t>
      </w:r>
      <w:proofErr w:type="spellEnd"/>
      <w:r w:rsidRPr="00E10C44">
        <w:rPr>
          <w:rFonts w:asciiTheme="minorHAnsi" w:hAnsiTheme="minorHAnsi"/>
        </w:rPr>
        <w:t xml:space="preserve"> trees. The plot boundaries are fixed for the duration of the monitoring programme; no trees are to be added to or removed from the monitored set without a formal update to this protocol document. Each tree is permanently marked with a numbered tag (T01–T06) and georeferenced using a GPS-</w:t>
      </w:r>
      <w:r w:rsidRPr="00E10C44">
        <w:rPr>
          <w:rFonts w:asciiTheme="minorHAnsi" w:hAnsiTheme="minorHAnsi"/>
        </w:rPr>
        <w:lastRenderedPageBreak/>
        <w:t>enabled device. Tree locations, diameter at breast height (DBH), and crown height class are recorded in the Tree Inventory Sheet (Section 3.3) and kept up to date throughout the programme.</w:t>
      </w:r>
    </w:p>
    <w:p w14:paraId="0DD040F5"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The six monitored trees are located within walking distance of each other and of the main site entrance, making the plot accessible on foot without specialist equipment. Of the six trees, three (T01, T02, T03) have received annual bokashi soil applications since 2022 and constitute the treatment group; the remaining three (T04, T05, T06) have received no soil amendment and serve as the untreated reference group. This spatial separation of treatment and reference trees is shown in the GIS map produced as part of this project.</w:t>
      </w:r>
    </w:p>
    <w:p w14:paraId="0958AFF4"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All monitoring activities are carried out within the boundaries of the burial ground. Access scheduling is coordinated by the site manager to avoid interference with burial services and visitor use of the site.</w:t>
      </w:r>
    </w:p>
    <w:p w14:paraId="2A62D8EB"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2.5 Habitats &amp; species to be monitored</w:t>
      </w:r>
    </w:p>
    <w:p w14:paraId="2D286878" w14:textId="77777777" w:rsidR="0065068C" w:rsidRPr="00E10C44" w:rsidRDefault="00000000" w:rsidP="00E10C44">
      <w:pPr>
        <w:pStyle w:val="Heading3"/>
        <w:jc w:val="both"/>
        <w:rPr>
          <w:rFonts w:asciiTheme="minorHAnsi" w:hAnsiTheme="minorHAnsi"/>
        </w:rPr>
      </w:pPr>
      <w:r w:rsidRPr="00E10C44">
        <w:rPr>
          <w:rFonts w:asciiTheme="minorHAnsi" w:hAnsiTheme="minorHAnsi"/>
        </w:rPr>
        <w:t>Primary monitored species</w:t>
      </w:r>
    </w:p>
    <w:p w14:paraId="023C86CF"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primary species of concern is Quercus </w:t>
      </w:r>
      <w:proofErr w:type="spellStart"/>
      <w:r w:rsidRPr="00E10C44">
        <w:rPr>
          <w:rFonts w:asciiTheme="minorHAnsi" w:hAnsiTheme="minorHAnsi"/>
        </w:rPr>
        <w:t>robur</w:t>
      </w:r>
      <w:proofErr w:type="spellEnd"/>
      <w:r w:rsidRPr="00E10C44">
        <w:rPr>
          <w:rFonts w:asciiTheme="minorHAnsi" w:hAnsiTheme="minorHAnsi"/>
        </w:rPr>
        <w:t xml:space="preserve"> L. (pedunculate oak; Dutch: </w:t>
      </w:r>
      <w:proofErr w:type="spellStart"/>
      <w:r w:rsidRPr="00E10C44">
        <w:rPr>
          <w:rFonts w:asciiTheme="minorHAnsi" w:hAnsiTheme="minorHAnsi"/>
        </w:rPr>
        <w:t>zomereik</w:t>
      </w:r>
      <w:proofErr w:type="spellEnd"/>
      <w:r w:rsidRPr="00E10C44">
        <w:rPr>
          <w:rFonts w:asciiTheme="minorHAnsi" w:hAnsiTheme="minorHAnsi"/>
        </w:rPr>
        <w:t xml:space="preserve">). All six permanently monitored trees are individuals of this species. Quercus </w:t>
      </w:r>
      <w:proofErr w:type="spellStart"/>
      <w:r w:rsidRPr="00E10C44">
        <w:rPr>
          <w:rFonts w:asciiTheme="minorHAnsi" w:hAnsiTheme="minorHAnsi"/>
        </w:rPr>
        <w:t>robur</w:t>
      </w:r>
      <w:proofErr w:type="spellEnd"/>
      <w:r w:rsidRPr="00E10C44">
        <w:rPr>
          <w:rFonts w:asciiTheme="minorHAnsi" w:hAnsiTheme="minorHAnsi"/>
        </w:rPr>
        <w:t xml:space="preserve"> is a long-lived, deciduous broadleaved tree of high ecological, cultural, and conservation value in the Netherlands. It is a keystone species supporting exceptional biodiversity — including hundreds of invertebrate species, numerous lichens and fungi, and a wide range of cavity-nesting and insectivorous birds — and is particularly important as it ages and develops veteran characteristics such as large-diameter trunks, hollows, and dead wood.</w:t>
      </w:r>
    </w:p>
    <w:p w14:paraId="670C640D"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The vitality of the six monitored oak trees is assessed through the full suite of crown condition, foliar chemistry, and chlorophyll indicators described in Section 2.3. No other tree or plant species are monitored quantitatively under this protocol, although associated species are documented qualitatively as part of the broader site context.</w:t>
      </w:r>
    </w:p>
    <w:p w14:paraId="6167310C" w14:textId="77777777" w:rsidR="0065068C" w:rsidRPr="00E10C44" w:rsidRDefault="00000000" w:rsidP="00E10C44">
      <w:pPr>
        <w:pStyle w:val="Heading3"/>
        <w:jc w:val="both"/>
        <w:rPr>
          <w:rFonts w:asciiTheme="minorHAnsi" w:hAnsiTheme="minorHAnsi"/>
        </w:rPr>
      </w:pPr>
      <w:r w:rsidRPr="00E10C44">
        <w:rPr>
          <w:rFonts w:asciiTheme="minorHAnsi" w:hAnsiTheme="minorHAnsi"/>
        </w:rPr>
        <w:t>Habitat context</w:t>
      </w:r>
    </w:p>
    <w:p w14:paraId="4ED18089"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monitored trees occur within a semi-natural woodland habitat managed as a nature burial ground. The canopy at Huis ter Heide is mixed, with Quercus </w:t>
      </w:r>
      <w:proofErr w:type="spellStart"/>
      <w:r w:rsidRPr="00E10C44">
        <w:rPr>
          <w:rFonts w:asciiTheme="minorHAnsi" w:hAnsiTheme="minorHAnsi"/>
        </w:rPr>
        <w:t>robur</w:t>
      </w:r>
      <w:proofErr w:type="spellEnd"/>
      <w:r w:rsidRPr="00E10C44">
        <w:rPr>
          <w:rFonts w:asciiTheme="minorHAnsi" w:hAnsiTheme="minorHAnsi"/>
        </w:rPr>
        <w:t xml:space="preserve"> co-occurring with Scots pine (Pinus sylvestris) and scattered silver birch (Betula pendula). The understorey is characterised by species typical of nutrient-poor, acidic sandy soils on the </w:t>
      </w:r>
      <w:proofErr w:type="spellStart"/>
      <w:r w:rsidRPr="00E10C44">
        <w:rPr>
          <w:rFonts w:asciiTheme="minorHAnsi" w:hAnsiTheme="minorHAnsi"/>
        </w:rPr>
        <w:t>Utrechtse</w:t>
      </w:r>
      <w:proofErr w:type="spellEnd"/>
      <w:r w:rsidRPr="00E10C44">
        <w:rPr>
          <w:rFonts w:asciiTheme="minorHAnsi" w:hAnsiTheme="minorHAnsi"/>
        </w:rPr>
        <w:t xml:space="preserve"> </w:t>
      </w:r>
      <w:proofErr w:type="spellStart"/>
      <w:r w:rsidRPr="00E10C44">
        <w:rPr>
          <w:rFonts w:asciiTheme="minorHAnsi" w:hAnsiTheme="minorHAnsi"/>
        </w:rPr>
        <w:t>Heuvelrug</w:t>
      </w:r>
      <w:proofErr w:type="spellEnd"/>
      <w:r w:rsidRPr="00E10C44">
        <w:rPr>
          <w:rFonts w:asciiTheme="minorHAnsi" w:hAnsiTheme="minorHAnsi"/>
        </w:rPr>
        <w:t xml:space="preserve">, including bilberry (Vaccinium myrtillus), wavy </w:t>
      </w:r>
      <w:proofErr w:type="gramStart"/>
      <w:r w:rsidRPr="00E10C44">
        <w:rPr>
          <w:rFonts w:asciiTheme="minorHAnsi" w:hAnsiTheme="minorHAnsi"/>
        </w:rPr>
        <w:t>hair-grass</w:t>
      </w:r>
      <w:proofErr w:type="gramEnd"/>
      <w:r w:rsidRPr="00E10C44">
        <w:rPr>
          <w:rFonts w:asciiTheme="minorHAnsi" w:hAnsiTheme="minorHAnsi"/>
        </w:rPr>
        <w:t xml:space="preserve"> (</w:t>
      </w:r>
      <w:proofErr w:type="spellStart"/>
      <w:r w:rsidRPr="00E10C44">
        <w:rPr>
          <w:rFonts w:asciiTheme="minorHAnsi" w:hAnsiTheme="minorHAnsi"/>
        </w:rPr>
        <w:t>Deschampsia</w:t>
      </w:r>
      <w:proofErr w:type="spellEnd"/>
      <w:r w:rsidRPr="00E10C44">
        <w:rPr>
          <w:rFonts w:asciiTheme="minorHAnsi" w:hAnsiTheme="minorHAnsi"/>
        </w:rPr>
        <w:t xml:space="preserve"> </w:t>
      </w:r>
      <w:proofErr w:type="spellStart"/>
      <w:r w:rsidRPr="00E10C44">
        <w:rPr>
          <w:rFonts w:asciiTheme="minorHAnsi" w:hAnsiTheme="minorHAnsi"/>
        </w:rPr>
        <w:t>flexuosa</w:t>
      </w:r>
      <w:proofErr w:type="spellEnd"/>
      <w:r w:rsidRPr="00E10C44">
        <w:rPr>
          <w:rFonts w:asciiTheme="minorHAnsi" w:hAnsiTheme="minorHAnsi"/>
        </w:rPr>
        <w:t>), and bracken (Pteridium aquilinum). Ground-layer vegetation is generally sparse beneath the denser canopy areas but becomes more diverse in lighter gaps.</w:t>
      </w:r>
    </w:p>
    <w:p w14:paraId="563CE62E" w14:textId="434DCBDF"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habitat type corresponds broadly to the European Union Habitats Directive Annex I habitat type 9190 (Old acidophilous oak woods with Quercus </w:t>
      </w:r>
      <w:proofErr w:type="spellStart"/>
      <w:r w:rsidRPr="00E10C44">
        <w:rPr>
          <w:rFonts w:asciiTheme="minorHAnsi" w:hAnsiTheme="minorHAnsi"/>
        </w:rPr>
        <w:t>robur</w:t>
      </w:r>
      <w:proofErr w:type="spellEnd"/>
      <w:r w:rsidRPr="00E10C44">
        <w:rPr>
          <w:rFonts w:asciiTheme="minorHAnsi" w:hAnsiTheme="minorHAnsi"/>
        </w:rPr>
        <w:t xml:space="preserve"> on sandy plains), </w:t>
      </w:r>
      <w:r w:rsidRPr="00E10C44">
        <w:rPr>
          <w:rFonts w:asciiTheme="minorHAnsi" w:hAnsiTheme="minorHAnsi"/>
        </w:rPr>
        <w:lastRenderedPageBreak/>
        <w:t>which is characterised by acidic, nutrient-poor soils, oak as the dominant canopy species, and an understorey community adapted to low nutrient availability</w:t>
      </w:r>
      <w:r w:rsidR="003576F8">
        <w:rPr>
          <w:rFonts w:asciiTheme="minorHAnsi" w:hAnsiTheme="minorHAnsi"/>
        </w:rPr>
        <w:t xml:space="preserve"> </w:t>
      </w:r>
      <w:hyperlink r:id="rId5" w:history="1">
        <w:r w:rsidR="003576F8" w:rsidRPr="001C5688">
          <w:rPr>
            <w:rStyle w:val="Hyperlink"/>
            <w:rFonts w:asciiTheme="minorHAnsi" w:hAnsiTheme="minorHAnsi"/>
          </w:rPr>
          <w:t>https://eunis.eea.europa.eu/references/2324/habitats</w:t>
        </w:r>
      </w:hyperlink>
      <w:r w:rsidR="003576F8">
        <w:rPr>
          <w:rFonts w:asciiTheme="minorHAnsi" w:hAnsiTheme="minorHAnsi"/>
        </w:rPr>
        <w:t xml:space="preserve"> </w:t>
      </w:r>
      <w:r w:rsidRPr="00E10C44">
        <w:rPr>
          <w:rFonts w:asciiTheme="minorHAnsi" w:hAnsiTheme="minorHAnsi"/>
        </w:rPr>
        <w:t>. This habitat type is of conservation interest in the Netherlands and supports a range of specialist species.</w:t>
      </w:r>
    </w:p>
    <w:p w14:paraId="79574774" w14:textId="56B89926"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The presence of declining or dead-wood-bearing oak trees at the site contributes to habitat value for saproxylic (dead-wood-dependent) invertebrates, cavity-nesting birds such as the great spotted woodpecker (</w:t>
      </w:r>
      <w:r w:rsidRPr="003576F8">
        <w:rPr>
          <w:rFonts w:asciiTheme="minorHAnsi" w:hAnsiTheme="minorHAnsi"/>
          <w:i/>
          <w:iCs/>
        </w:rPr>
        <w:t>Dendrocopos major</w:t>
      </w:r>
      <w:r w:rsidRPr="00E10C44">
        <w:rPr>
          <w:rFonts w:asciiTheme="minorHAnsi" w:hAnsiTheme="minorHAnsi"/>
        </w:rPr>
        <w:t xml:space="preserve">), and fungal communities associated with </w:t>
      </w:r>
      <w:r w:rsidR="003576F8">
        <w:rPr>
          <w:rFonts w:asciiTheme="minorHAnsi" w:hAnsiTheme="minorHAnsi"/>
        </w:rPr>
        <w:t>old</w:t>
      </w:r>
      <w:r w:rsidRPr="00E10C44">
        <w:rPr>
          <w:rFonts w:asciiTheme="minorHAnsi" w:hAnsiTheme="minorHAnsi"/>
        </w:rPr>
        <w:t xml:space="preserve"> oak. Visual assessments carried out under this protocol record fungal fruiting bodies, bark lesions, and insect feeding damage where observed, providing contextual information on biotic stressors and ecological interactions that may be relevant to interpreting trends in oak vitality.</w:t>
      </w:r>
    </w:p>
    <w:p w14:paraId="245D17B1" w14:textId="77777777" w:rsidR="0065068C" w:rsidRPr="00E10C44" w:rsidRDefault="00000000" w:rsidP="00E10C44">
      <w:pPr>
        <w:pStyle w:val="Heading2"/>
        <w:jc w:val="both"/>
        <w:rPr>
          <w:rFonts w:asciiTheme="minorHAnsi" w:hAnsiTheme="minorHAnsi"/>
          <w:sz w:val="24"/>
          <w:szCs w:val="24"/>
        </w:rPr>
      </w:pPr>
      <w:r w:rsidRPr="00E10C44">
        <w:rPr>
          <w:rFonts w:asciiTheme="minorHAnsi" w:hAnsiTheme="minorHAnsi"/>
          <w:sz w:val="24"/>
          <w:szCs w:val="24"/>
        </w:rPr>
        <w:t>2.6 Timeframe</w:t>
      </w:r>
    </w:p>
    <w:p w14:paraId="2262A005"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monitoring programme is structured around the growing season of Quercus </w:t>
      </w:r>
      <w:proofErr w:type="spellStart"/>
      <w:r w:rsidRPr="00E10C44">
        <w:rPr>
          <w:rFonts w:asciiTheme="minorHAnsi" w:hAnsiTheme="minorHAnsi"/>
        </w:rPr>
        <w:t>robur</w:t>
      </w:r>
      <w:proofErr w:type="spellEnd"/>
      <w:r w:rsidRPr="00E10C44">
        <w:rPr>
          <w:rFonts w:asciiTheme="minorHAnsi" w:hAnsiTheme="minorHAnsi"/>
        </w:rPr>
        <w:t xml:space="preserve"> and is designed to be repeated annually. A single growing season provides an initial assessment of tree condition and treatment differences, but detecting the long-term effects of soil amendments such as bokashi on tree vitality requires a multi-year time series. A minimum of three to five growing seasons of standardised monitoring is recommended before robust conclusions on treatment effectiveness can be drawn.</w:t>
      </w:r>
    </w:p>
    <w:p w14:paraId="3CA19491" w14:textId="77777777" w:rsidR="0065068C" w:rsidRPr="00E10C44" w:rsidRDefault="00000000" w:rsidP="00E10C44">
      <w:pPr>
        <w:pStyle w:val="Heading3"/>
        <w:jc w:val="both"/>
        <w:rPr>
          <w:rFonts w:asciiTheme="minorHAnsi" w:hAnsiTheme="minorHAnsi"/>
        </w:rPr>
      </w:pPr>
      <w:r w:rsidRPr="00E10C44">
        <w:rPr>
          <w:rFonts w:asciiTheme="minorHAnsi" w:hAnsiTheme="minorHAnsi"/>
        </w:rPr>
        <w:t>2026 monitoring season</w:t>
      </w:r>
    </w:p>
    <w:p w14:paraId="1DCD53B9"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 xml:space="preserve">The 2026 growing season is the first complete, standardised monitoring season conducted under this protocol. Three monitoring rounds are scheduled at </w:t>
      </w:r>
      <w:proofErr w:type="spellStart"/>
      <w:r w:rsidRPr="00E10C44">
        <w:rPr>
          <w:rFonts w:asciiTheme="minorHAnsi" w:hAnsiTheme="minorHAnsi"/>
        </w:rPr>
        <w:t>phenologically</w:t>
      </w:r>
      <w:proofErr w:type="spellEnd"/>
      <w:r w:rsidRPr="00E10C44">
        <w:rPr>
          <w:rFonts w:asciiTheme="minorHAnsi" w:hAnsiTheme="minorHAnsi"/>
        </w:rPr>
        <w:t xml:space="preserve"> distinct stages of oak development, with a minimum of six weeks between rounds to allow ecologically meaningful change to be detected. An optional fourth round may be added at the discretion of the site manager.</w:t>
      </w:r>
    </w:p>
    <w:p w14:paraId="691199E6"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Round 1 — Baseline</w:t>
      </w:r>
      <w:r w:rsidRPr="00E10C44">
        <w:rPr>
          <w:rFonts w:asciiTheme="minorHAnsi" w:hAnsiTheme="minorHAnsi"/>
        </w:rPr>
        <w:t xml:space="preserve"> (early to mid-May 2026): conducted at full leaf expansion, providing the baseline dataset for the season.</w:t>
      </w:r>
    </w:p>
    <w:p w14:paraId="634A0783"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Round 2</w:t>
      </w:r>
      <w:r w:rsidRPr="00E10C44">
        <w:rPr>
          <w:rFonts w:asciiTheme="minorHAnsi" w:hAnsiTheme="minorHAnsi"/>
        </w:rPr>
        <w:t xml:space="preserve"> (late June to early July 2026): conducted during the peak growing season, when leaf physiological activity is at its highest.</w:t>
      </w:r>
    </w:p>
    <w:p w14:paraId="2A0F0934" w14:textId="77777777" w:rsidR="0065068C" w:rsidRPr="00E10C44" w:rsidRDefault="00000000" w:rsidP="00E10C44">
      <w:pPr>
        <w:pStyle w:val="ListParagraph"/>
        <w:numPr>
          <w:ilvl w:val="0"/>
          <w:numId w:val="2"/>
        </w:numPr>
        <w:spacing w:after="80" w:line="276" w:lineRule="auto"/>
        <w:jc w:val="both"/>
        <w:rPr>
          <w:rFonts w:asciiTheme="minorHAnsi" w:hAnsiTheme="minorHAnsi"/>
        </w:rPr>
      </w:pPr>
      <w:r w:rsidRPr="00E10C44">
        <w:rPr>
          <w:rFonts w:asciiTheme="minorHAnsi" w:hAnsiTheme="minorHAnsi"/>
          <w:b/>
          <w:bCs/>
        </w:rPr>
        <w:t>Round 3</w:t>
      </w:r>
      <w:r w:rsidRPr="00E10C44">
        <w:rPr>
          <w:rFonts w:asciiTheme="minorHAnsi" w:hAnsiTheme="minorHAnsi"/>
        </w:rPr>
        <w:t xml:space="preserve"> (late August to mid-September 2026): conducted in the pre-senescence phase, capturing conditions as the growing season draws to a close.</w:t>
      </w:r>
    </w:p>
    <w:p w14:paraId="1DE0D6DA" w14:textId="77777777" w:rsidR="0065068C" w:rsidRPr="00E10C44" w:rsidRDefault="00000000" w:rsidP="00E10C44">
      <w:pPr>
        <w:pStyle w:val="ListParagraph"/>
        <w:numPr>
          <w:ilvl w:val="0"/>
          <w:numId w:val="2"/>
        </w:numPr>
        <w:spacing w:after="160" w:line="276" w:lineRule="auto"/>
        <w:jc w:val="both"/>
        <w:rPr>
          <w:rFonts w:asciiTheme="minorHAnsi" w:hAnsiTheme="minorHAnsi"/>
        </w:rPr>
      </w:pPr>
      <w:r w:rsidRPr="00E10C44">
        <w:rPr>
          <w:rFonts w:asciiTheme="minorHAnsi" w:hAnsiTheme="minorHAnsi"/>
          <w:b/>
          <w:bCs/>
        </w:rPr>
        <w:t>Round 4 — Optional</w:t>
      </w:r>
      <w:r w:rsidRPr="00E10C44">
        <w:rPr>
          <w:rFonts w:asciiTheme="minorHAnsi" w:hAnsiTheme="minorHAnsi"/>
        </w:rPr>
        <w:t xml:space="preserve"> (late September to October 2026): a supplementary visual assessment at the onset of leaf senescence, if resources permit.</w:t>
      </w:r>
    </w:p>
    <w:p w14:paraId="559F1D32" w14:textId="77777777" w:rsidR="0065068C" w:rsidRPr="00E10C44" w:rsidRDefault="00000000" w:rsidP="00E10C44">
      <w:pPr>
        <w:pStyle w:val="Heading3"/>
        <w:jc w:val="both"/>
        <w:rPr>
          <w:rFonts w:asciiTheme="minorHAnsi" w:hAnsiTheme="minorHAnsi"/>
        </w:rPr>
      </w:pPr>
      <w:r w:rsidRPr="00E10C44">
        <w:rPr>
          <w:rFonts w:asciiTheme="minorHAnsi" w:hAnsiTheme="minorHAnsi"/>
        </w:rPr>
        <w:t>Multi-year continuation</w:t>
      </w:r>
    </w:p>
    <w:p w14:paraId="542FE340"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From 2027 onwards, the same three-round monitoring schedule is to be repeated each growing season. Repeating the protocol using identical methods, timing, and tree identifiers ensures that measurements from successive years are directly comparable, enabling trend analysis at both the individual tree level and the stand level.</w:t>
      </w:r>
    </w:p>
    <w:p w14:paraId="4C2DF128"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lastRenderedPageBreak/>
        <w:t xml:space="preserve">The multi-year time series will make it possible to determine whether any differences observed between treated and reference trees in 2026 persist, strengthen, or diminish over time. It will also capture inter-annual variation driven by climatic factors — such as drought or an exceptionally wet spring — which must be </w:t>
      </w:r>
      <w:proofErr w:type="gramStart"/>
      <w:r w:rsidRPr="00E10C44">
        <w:rPr>
          <w:rFonts w:asciiTheme="minorHAnsi" w:hAnsiTheme="minorHAnsi"/>
        </w:rPr>
        <w:t>taken into account</w:t>
      </w:r>
      <w:proofErr w:type="gramEnd"/>
      <w:r w:rsidRPr="00E10C44">
        <w:rPr>
          <w:rFonts w:asciiTheme="minorHAnsi" w:hAnsiTheme="minorHAnsi"/>
        </w:rPr>
        <w:t xml:space="preserve"> when interpreting treatment effects. Where drone-based NDVI imagery is collected in multiple years, the spatial data layer will likewise accumulate into a time series that can reveal large-scale trends in canopy greenness across the burial ground.</w:t>
      </w:r>
    </w:p>
    <w:p w14:paraId="19895C62" w14:textId="77777777" w:rsidR="0065068C" w:rsidRPr="00E10C44" w:rsidRDefault="00000000" w:rsidP="00E10C44">
      <w:pPr>
        <w:spacing w:after="160" w:line="276" w:lineRule="auto"/>
        <w:jc w:val="both"/>
        <w:rPr>
          <w:rFonts w:asciiTheme="minorHAnsi" w:hAnsiTheme="minorHAnsi"/>
        </w:rPr>
      </w:pPr>
      <w:r w:rsidRPr="00E10C44">
        <w:rPr>
          <w:rFonts w:asciiTheme="minorHAnsi" w:hAnsiTheme="minorHAnsi"/>
        </w:rPr>
        <w:t>It is recommended that the monitoring protocol and data are formally reviewed by the site manager at the end of each growing season, and that the protocol is updated if methods, tree composition, or management practices change. Any updates should be documented with the date and reason for the change.</w:t>
      </w:r>
    </w:p>
    <w:sectPr w:rsidR="0065068C" w:rsidRPr="00E10C44">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651EE"/>
    <w:multiLevelType w:val="hybridMultilevel"/>
    <w:tmpl w:val="CA3AB49E"/>
    <w:lvl w:ilvl="0" w:tplc="832477CE">
      <w:start w:val="1"/>
      <w:numFmt w:val="bullet"/>
      <w:lvlText w:val="●"/>
      <w:lvlJc w:val="left"/>
      <w:pPr>
        <w:ind w:left="720" w:hanging="360"/>
      </w:pPr>
    </w:lvl>
    <w:lvl w:ilvl="1" w:tplc="8396B182">
      <w:start w:val="1"/>
      <w:numFmt w:val="bullet"/>
      <w:lvlText w:val="○"/>
      <w:lvlJc w:val="left"/>
      <w:pPr>
        <w:ind w:left="1440" w:hanging="360"/>
      </w:pPr>
    </w:lvl>
    <w:lvl w:ilvl="2" w:tplc="6212C00E">
      <w:start w:val="1"/>
      <w:numFmt w:val="bullet"/>
      <w:lvlText w:val="■"/>
      <w:lvlJc w:val="left"/>
      <w:pPr>
        <w:ind w:left="2160" w:hanging="360"/>
      </w:pPr>
    </w:lvl>
    <w:lvl w:ilvl="3" w:tplc="4E685318">
      <w:start w:val="1"/>
      <w:numFmt w:val="bullet"/>
      <w:lvlText w:val="●"/>
      <w:lvlJc w:val="left"/>
      <w:pPr>
        <w:ind w:left="2880" w:hanging="360"/>
      </w:pPr>
    </w:lvl>
    <w:lvl w:ilvl="4" w:tplc="391401CA">
      <w:start w:val="1"/>
      <w:numFmt w:val="bullet"/>
      <w:lvlText w:val="○"/>
      <w:lvlJc w:val="left"/>
      <w:pPr>
        <w:ind w:left="3600" w:hanging="360"/>
      </w:pPr>
    </w:lvl>
    <w:lvl w:ilvl="5" w:tplc="1B04CB36">
      <w:start w:val="1"/>
      <w:numFmt w:val="bullet"/>
      <w:lvlText w:val="■"/>
      <w:lvlJc w:val="left"/>
      <w:pPr>
        <w:ind w:left="4320" w:hanging="360"/>
      </w:pPr>
    </w:lvl>
    <w:lvl w:ilvl="6" w:tplc="8BD84DC8">
      <w:start w:val="1"/>
      <w:numFmt w:val="bullet"/>
      <w:lvlText w:val="●"/>
      <w:lvlJc w:val="left"/>
      <w:pPr>
        <w:ind w:left="5040" w:hanging="360"/>
      </w:pPr>
    </w:lvl>
    <w:lvl w:ilvl="7" w:tplc="556A5542">
      <w:start w:val="1"/>
      <w:numFmt w:val="bullet"/>
      <w:lvlText w:val="●"/>
      <w:lvlJc w:val="left"/>
      <w:pPr>
        <w:ind w:left="5760" w:hanging="360"/>
      </w:pPr>
    </w:lvl>
    <w:lvl w:ilvl="8" w:tplc="1E54F918">
      <w:start w:val="1"/>
      <w:numFmt w:val="bullet"/>
      <w:lvlText w:val="●"/>
      <w:lvlJc w:val="left"/>
      <w:pPr>
        <w:ind w:left="6480" w:hanging="360"/>
      </w:pPr>
    </w:lvl>
  </w:abstractNum>
  <w:abstractNum w:abstractNumId="1" w15:restartNumberingAfterBreak="0">
    <w:nsid w:val="36297DBD"/>
    <w:multiLevelType w:val="hybridMultilevel"/>
    <w:tmpl w:val="FBA829CC"/>
    <w:lvl w:ilvl="0" w:tplc="E398DF26">
      <w:start w:val="1"/>
      <w:numFmt w:val="bullet"/>
      <w:lvlText w:val="•"/>
      <w:lvlJc w:val="left"/>
      <w:pPr>
        <w:ind w:left="720" w:hanging="360"/>
      </w:pPr>
    </w:lvl>
    <w:lvl w:ilvl="1" w:tplc="757807EA">
      <w:numFmt w:val="decimal"/>
      <w:lvlText w:val=""/>
      <w:lvlJc w:val="left"/>
    </w:lvl>
    <w:lvl w:ilvl="2" w:tplc="F41A1AEE">
      <w:numFmt w:val="decimal"/>
      <w:lvlText w:val=""/>
      <w:lvlJc w:val="left"/>
    </w:lvl>
    <w:lvl w:ilvl="3" w:tplc="95CC5356">
      <w:numFmt w:val="decimal"/>
      <w:lvlText w:val=""/>
      <w:lvlJc w:val="left"/>
    </w:lvl>
    <w:lvl w:ilvl="4" w:tplc="91A4D5B2">
      <w:numFmt w:val="decimal"/>
      <w:lvlText w:val=""/>
      <w:lvlJc w:val="left"/>
    </w:lvl>
    <w:lvl w:ilvl="5" w:tplc="A50C3FBE">
      <w:numFmt w:val="decimal"/>
      <w:lvlText w:val=""/>
      <w:lvlJc w:val="left"/>
    </w:lvl>
    <w:lvl w:ilvl="6" w:tplc="E2F08E60">
      <w:numFmt w:val="decimal"/>
      <w:lvlText w:val=""/>
      <w:lvlJc w:val="left"/>
    </w:lvl>
    <w:lvl w:ilvl="7" w:tplc="64268F30">
      <w:numFmt w:val="decimal"/>
      <w:lvlText w:val=""/>
      <w:lvlJc w:val="left"/>
    </w:lvl>
    <w:lvl w:ilvl="8" w:tplc="89BC792E">
      <w:numFmt w:val="decimal"/>
      <w:lvlText w:val=""/>
      <w:lvlJc w:val="left"/>
    </w:lvl>
  </w:abstractNum>
  <w:abstractNum w:abstractNumId="2" w15:restartNumberingAfterBreak="0">
    <w:nsid w:val="71051E57"/>
    <w:multiLevelType w:val="hybridMultilevel"/>
    <w:tmpl w:val="2ED05D70"/>
    <w:lvl w:ilvl="0" w:tplc="E60C1256">
      <w:start w:val="1"/>
      <w:numFmt w:val="decimal"/>
      <w:lvlText w:val="%1."/>
      <w:lvlJc w:val="left"/>
      <w:pPr>
        <w:ind w:left="720" w:hanging="360"/>
      </w:pPr>
    </w:lvl>
    <w:lvl w:ilvl="1" w:tplc="D6143870">
      <w:numFmt w:val="decimal"/>
      <w:lvlText w:val=""/>
      <w:lvlJc w:val="left"/>
    </w:lvl>
    <w:lvl w:ilvl="2" w:tplc="9F506F82">
      <w:numFmt w:val="decimal"/>
      <w:lvlText w:val=""/>
      <w:lvlJc w:val="left"/>
    </w:lvl>
    <w:lvl w:ilvl="3" w:tplc="3B745ABE">
      <w:numFmt w:val="decimal"/>
      <w:lvlText w:val=""/>
      <w:lvlJc w:val="left"/>
    </w:lvl>
    <w:lvl w:ilvl="4" w:tplc="B6649412">
      <w:numFmt w:val="decimal"/>
      <w:lvlText w:val=""/>
      <w:lvlJc w:val="left"/>
    </w:lvl>
    <w:lvl w:ilvl="5" w:tplc="128ABD1A">
      <w:numFmt w:val="decimal"/>
      <w:lvlText w:val=""/>
      <w:lvlJc w:val="left"/>
    </w:lvl>
    <w:lvl w:ilvl="6" w:tplc="1F347F80">
      <w:numFmt w:val="decimal"/>
      <w:lvlText w:val=""/>
      <w:lvlJc w:val="left"/>
    </w:lvl>
    <w:lvl w:ilvl="7" w:tplc="DA06D2CA">
      <w:numFmt w:val="decimal"/>
      <w:lvlText w:val=""/>
      <w:lvlJc w:val="left"/>
    </w:lvl>
    <w:lvl w:ilvl="8" w:tplc="2F760AF0">
      <w:numFmt w:val="decimal"/>
      <w:lvlText w:val=""/>
      <w:lvlJc w:val="left"/>
    </w:lvl>
  </w:abstractNum>
  <w:num w:numId="1" w16cid:durableId="2082366495">
    <w:abstractNumId w:val="0"/>
    <w:lvlOverride w:ilvl="0">
      <w:startOverride w:val="1"/>
    </w:lvlOverride>
  </w:num>
  <w:num w:numId="2" w16cid:durableId="2879297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68C"/>
    <w:rsid w:val="003576F8"/>
    <w:rsid w:val="0065068C"/>
    <w:rsid w:val="00D90504"/>
    <w:rsid w:val="00E10C44"/>
    <w:rsid w:val="00E8655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4455FA"/>
  <w15:docId w15:val="{83D47F34-DCA8-3346-9592-3110436ED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28"/>
      <w:szCs w:val="28"/>
    </w:rPr>
  </w:style>
  <w:style w:type="paragraph" w:styleId="Heading2">
    <w:name w:val="heading 2"/>
    <w:uiPriority w:val="9"/>
    <w:unhideWhenUsed/>
    <w:qFormat/>
    <w:pPr>
      <w:spacing w:before="280" w:after="120"/>
      <w:outlineLvl w:val="1"/>
    </w:pPr>
    <w:rPr>
      <w:b/>
      <w:bCs/>
      <w:color w:val="2E5496"/>
      <w:sz w:val="26"/>
      <w:szCs w:val="26"/>
    </w:rPr>
  </w:style>
  <w:style w:type="paragraph" w:styleId="Heading3">
    <w:name w:val="heading 3"/>
    <w:uiPriority w:val="9"/>
    <w:unhideWhenUsed/>
    <w:qFormat/>
    <w:pPr>
      <w:spacing w:before="200" w:after="8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576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unis.eea.europa.eu/references/2324/habita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2514</Words>
  <Characters>14333</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Nalani Balcells</cp:lastModifiedBy>
  <cp:revision>2</cp:revision>
  <dcterms:created xsi:type="dcterms:W3CDTF">2026-04-19T17:29:00Z</dcterms:created>
  <dcterms:modified xsi:type="dcterms:W3CDTF">2026-04-27T10:49:00Z</dcterms:modified>
</cp:coreProperties>
</file>