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Part 1</w:t>
      </w:r>
    </w:p>
    <w:p>
      <w:pPr>
        <w:pStyle w:val="Normal"/>
        <w:rPr/>
      </w:pPr>
      <w:r>
        <w:rPr/>
      </w:r>
    </w:p>
    <w:p>
      <w:pPr>
        <w:pStyle w:val="Heading2"/>
        <w:rPr/>
      </w:pPr>
      <w:r>
        <w:rPr/>
        <w:t>Architecture</w:t>
      </w:r>
    </w:p>
    <w:p>
      <w:pPr>
        <w:pStyle w:val="Normal"/>
        <w:rPr/>
      </w:pPr>
      <w:r>
        <w:rPr/>
        <w:t xml:space="preserve">Input Nodes: </w:t>
        <w:tab/>
        <w:t>4</w:t>
        <w:br/>
        <w:t xml:space="preserve">Hidden Nodes: </w:t>
        <w:tab/>
        <w:t>2</w:t>
        <w:br/>
        <w:t xml:space="preserve">Output Nodes: </w:t>
        <w:tab/>
        <w:t>3</w:t>
      </w:r>
    </w:p>
    <w:p>
      <w:pPr>
        <w:pStyle w:val="Normal"/>
        <w:rPr/>
      </w:pPr>
      <w:r>
        <w:rPr/>
        <w:t>Input nodes is set to four as there are four different data points relating to each feature. Output nodes are set to three to account for the three different class types of the iris’s. I set hidden nodes to two. This ensured enough data was being processed without overfitting and during testing this setting resulted with the best results.</w:t>
      </w:r>
    </w:p>
    <w:p>
      <w:pPr>
        <w:pStyle w:val="Normal"/>
        <w:rPr/>
      </w:pPr>
      <w:r>
        <w:rPr/>
      </w:r>
    </w:p>
    <w:p>
      <w:pPr>
        <w:pStyle w:val="Heading2"/>
        <w:rPr/>
      </w:pPr>
      <w:r>
        <w:rPr/>
        <w:t>Learning Parameters</w:t>
      </w:r>
    </w:p>
    <w:p>
      <w:pPr>
        <w:pStyle w:val="Normal"/>
        <w:rPr/>
      </w:pPr>
      <w:r>
        <w:rPr/>
        <w:t xml:space="preserve">Learning Rate: </w:t>
        <w:tab/>
        <w:t>0.5</w:t>
        <w:br/>
        <w:t>Momentum:</w:t>
        <w:tab/>
        <w:t xml:space="preserve">0.0 </w:t>
        <w:br/>
        <w:t>Random Range: 0.1</w:t>
      </w:r>
    </w:p>
    <w:p>
      <w:pPr>
        <w:pStyle w:val="Normal"/>
        <w:rPr/>
      </w:pPr>
      <w:r>
        <w:rPr/>
        <w:t>These values were gathered from trial and error testing. They provide consistent and accurate results.</w:t>
      </w:r>
    </w:p>
    <w:p>
      <w:pPr>
        <w:pStyle w:val="Heading2"/>
        <w:rPr/>
      </w:pPr>
      <w:r>
        <w:rPr/>
        <w:t>Termination Criteria</w:t>
      </w:r>
    </w:p>
    <w:p>
      <w:pPr>
        <w:pStyle w:val="Normal"/>
        <w:rPr/>
      </w:pPr>
      <w:r>
        <w:rPr/>
        <w:t>Critical Error:</w:t>
        <w:tab/>
        <w:t>0.001</w:t>
        <w:br/>
        <w:t>Percentage:</w:t>
        <w:tab/>
        <w:t>101</w:t>
      </w:r>
    </w:p>
    <w:p>
      <w:pPr>
        <w:pStyle w:val="Normal"/>
        <w:rPr/>
      </w:pPr>
      <w:r>
        <w:rPr/>
        <w:t>Having the critical error set to 0.001 was low enough to allow for accurate weighting but also did not take too long to compute. I set the percentage over 100% so that percentage could not be used as a termination condition. With this set to 100% the learning would finish with a relatively high critical error</w:t>
      </w:r>
    </w:p>
    <w:p>
      <w:pPr>
        <w:pStyle w:val="Heading2"/>
        <w:rPr/>
      </w:pPr>
      <w:r>
        <w:rPr/>
        <w:t>Results</w:t>
      </w:r>
    </w:p>
    <w:tbl>
      <w:tblPr>
        <w:tblStyle w:val="TableGrid"/>
        <w:tblW w:w="4576" w:type="dxa"/>
        <w:jc w:val="left"/>
        <w:tblInd w:w="0" w:type="dxa"/>
        <w:tblCellMar>
          <w:top w:w="0" w:type="dxa"/>
          <w:left w:w="108" w:type="dxa"/>
          <w:bottom w:w="0" w:type="dxa"/>
          <w:right w:w="108" w:type="dxa"/>
        </w:tblCellMar>
        <w:tblLook w:val="04a0" w:noVBand="1" w:noHBand="0" w:lastColumn="0" w:firstColumn="1" w:lastRow="0" w:firstRow="1"/>
      </w:tblPr>
      <w:tblGrid>
        <w:gridCol w:w="2136"/>
        <w:gridCol w:w="2439"/>
      </w:tblGrid>
      <w:tr>
        <w:trPr/>
        <w:tc>
          <w:tcPr>
            <w:tcW w:w="2136" w:type="dxa"/>
            <w:tcBorders/>
            <w:shd w:fill="auto" w:val="clear"/>
            <w:tcMar>
              <w:left w:w="108" w:type="dxa"/>
            </w:tcMar>
          </w:tcPr>
          <w:p>
            <w:pPr>
              <w:pStyle w:val="Normal"/>
              <w:spacing w:lineRule="auto" w:line="240" w:before="0" w:after="0"/>
              <w:rPr/>
            </w:pPr>
            <w:r>
              <w:rPr/>
              <w:t>Mean Squared Error</w:t>
            </w:r>
          </w:p>
        </w:tc>
        <w:tc>
          <w:tcPr>
            <w:tcW w:w="2439" w:type="dxa"/>
            <w:tcBorders/>
            <w:shd w:fill="auto" w:val="clear"/>
            <w:tcMar>
              <w:left w:w="108" w:type="dxa"/>
            </w:tcMar>
          </w:tcPr>
          <w:p>
            <w:pPr>
              <w:pStyle w:val="Normal"/>
              <w:spacing w:lineRule="auto" w:line="240" w:before="0" w:after="0"/>
              <w:rPr/>
            </w:pPr>
            <w:r>
              <w:rPr/>
              <w:t>Incorrect Classifications</w:t>
            </w:r>
          </w:p>
        </w:tc>
      </w:tr>
      <w:tr>
        <w:trPr/>
        <w:tc>
          <w:tcPr>
            <w:tcW w:w="2136" w:type="dxa"/>
            <w:tcBorders/>
            <w:shd w:fill="auto" w:val="clear"/>
            <w:tcMar>
              <w:left w:w="108" w:type="dxa"/>
            </w:tcMar>
          </w:tcPr>
          <w:p>
            <w:pPr>
              <w:pStyle w:val="Normal"/>
              <w:spacing w:lineRule="auto" w:line="240" w:before="0" w:after="0"/>
              <w:rPr/>
            </w:pPr>
            <w:r>
              <w:rPr/>
              <w:t>0.009</w:t>
            </w:r>
          </w:p>
        </w:tc>
        <w:tc>
          <w:tcPr>
            <w:tcW w:w="2439" w:type="dxa"/>
            <w:tcBorders/>
            <w:shd w:fill="auto" w:val="clear"/>
            <w:tcMar>
              <w:left w:w="108" w:type="dxa"/>
            </w:tcMar>
          </w:tcPr>
          <w:p>
            <w:pPr>
              <w:pStyle w:val="Normal"/>
              <w:spacing w:lineRule="auto" w:line="240" w:before="0" w:after="0"/>
              <w:rPr/>
            </w:pPr>
            <w:r>
              <w:rPr/>
              <w:t>1</w:t>
            </w:r>
          </w:p>
        </w:tc>
      </w:tr>
      <w:tr>
        <w:trPr/>
        <w:tc>
          <w:tcPr>
            <w:tcW w:w="2136" w:type="dxa"/>
            <w:tcBorders/>
            <w:shd w:fill="auto" w:val="clear"/>
            <w:tcMar>
              <w:left w:w="108" w:type="dxa"/>
            </w:tcMar>
          </w:tcPr>
          <w:p>
            <w:pPr>
              <w:pStyle w:val="Normal"/>
              <w:spacing w:lineRule="auto" w:line="240" w:before="0" w:after="0"/>
              <w:rPr/>
            </w:pPr>
            <w:r>
              <w:rPr/>
              <w:t>0.009</w:t>
            </w:r>
          </w:p>
        </w:tc>
        <w:tc>
          <w:tcPr>
            <w:tcW w:w="2439" w:type="dxa"/>
            <w:tcBorders/>
            <w:shd w:fill="auto" w:val="clear"/>
            <w:tcMar>
              <w:left w:w="108" w:type="dxa"/>
            </w:tcMar>
          </w:tcPr>
          <w:p>
            <w:pPr>
              <w:pStyle w:val="Normal"/>
              <w:spacing w:lineRule="auto" w:line="240" w:before="0" w:after="0"/>
              <w:rPr/>
            </w:pPr>
            <w:r>
              <w:rPr/>
              <w:t>1</w:t>
            </w:r>
          </w:p>
        </w:tc>
      </w:tr>
      <w:tr>
        <w:trPr/>
        <w:tc>
          <w:tcPr>
            <w:tcW w:w="2136" w:type="dxa"/>
            <w:tcBorders/>
            <w:shd w:fill="auto" w:val="clear"/>
            <w:tcMar>
              <w:left w:w="108" w:type="dxa"/>
            </w:tcMar>
          </w:tcPr>
          <w:p>
            <w:pPr>
              <w:pStyle w:val="Normal"/>
              <w:spacing w:lineRule="auto" w:line="240" w:before="0" w:after="0"/>
              <w:rPr/>
            </w:pPr>
            <w:r>
              <w:rPr/>
              <w:t>0.010</w:t>
            </w:r>
          </w:p>
        </w:tc>
        <w:tc>
          <w:tcPr>
            <w:tcW w:w="2439" w:type="dxa"/>
            <w:tcBorders/>
            <w:shd w:fill="auto" w:val="clear"/>
            <w:tcMar>
              <w:left w:w="108" w:type="dxa"/>
            </w:tcMar>
          </w:tcPr>
          <w:p>
            <w:pPr>
              <w:pStyle w:val="Normal"/>
              <w:spacing w:lineRule="auto" w:line="240" w:before="0" w:after="0"/>
              <w:rPr/>
            </w:pPr>
            <w:r>
              <w:rPr/>
              <w:t>1</w:t>
            </w:r>
          </w:p>
        </w:tc>
      </w:tr>
      <w:tr>
        <w:trPr/>
        <w:tc>
          <w:tcPr>
            <w:tcW w:w="2136" w:type="dxa"/>
            <w:tcBorders/>
            <w:shd w:fill="auto" w:val="clear"/>
            <w:tcMar>
              <w:left w:w="108" w:type="dxa"/>
            </w:tcMar>
          </w:tcPr>
          <w:p>
            <w:pPr>
              <w:pStyle w:val="Normal"/>
              <w:spacing w:lineRule="auto" w:line="240" w:before="0" w:after="0"/>
              <w:rPr/>
            </w:pPr>
            <w:r>
              <w:rPr/>
              <w:t>0.010</w:t>
            </w:r>
          </w:p>
        </w:tc>
        <w:tc>
          <w:tcPr>
            <w:tcW w:w="2439" w:type="dxa"/>
            <w:tcBorders/>
            <w:shd w:fill="auto" w:val="clear"/>
            <w:tcMar>
              <w:left w:w="108" w:type="dxa"/>
            </w:tcMar>
          </w:tcPr>
          <w:p>
            <w:pPr>
              <w:pStyle w:val="Normal"/>
              <w:spacing w:lineRule="auto" w:line="240" w:before="0" w:after="0"/>
              <w:rPr/>
            </w:pPr>
            <w:r>
              <w:rPr/>
              <w:t>1</w:t>
            </w:r>
          </w:p>
        </w:tc>
      </w:tr>
      <w:tr>
        <w:trPr/>
        <w:tc>
          <w:tcPr>
            <w:tcW w:w="2136" w:type="dxa"/>
            <w:tcBorders/>
            <w:shd w:fill="auto" w:val="clear"/>
            <w:tcMar>
              <w:left w:w="108" w:type="dxa"/>
            </w:tcMar>
          </w:tcPr>
          <w:p>
            <w:pPr>
              <w:pStyle w:val="Normal"/>
              <w:spacing w:lineRule="auto" w:line="240" w:before="0" w:after="0"/>
              <w:rPr/>
            </w:pPr>
            <w:r>
              <w:rPr/>
              <w:t>0.009</w:t>
            </w:r>
          </w:p>
        </w:tc>
        <w:tc>
          <w:tcPr>
            <w:tcW w:w="2439" w:type="dxa"/>
            <w:tcBorders/>
            <w:shd w:fill="auto" w:val="clear"/>
            <w:tcMar>
              <w:left w:w="108" w:type="dxa"/>
            </w:tcMar>
          </w:tcPr>
          <w:p>
            <w:pPr>
              <w:pStyle w:val="Normal"/>
              <w:spacing w:lineRule="auto" w:line="240" w:before="0" w:after="0"/>
              <w:rPr/>
            </w:pPr>
            <w:r>
              <w:rPr/>
              <w:t>1</w:t>
            </w:r>
          </w:p>
        </w:tc>
      </w:tr>
      <w:tr>
        <w:trPr/>
        <w:tc>
          <w:tcPr>
            <w:tcW w:w="2136" w:type="dxa"/>
            <w:tcBorders/>
            <w:shd w:fill="auto" w:val="clear"/>
            <w:tcMar>
              <w:left w:w="108" w:type="dxa"/>
            </w:tcMar>
          </w:tcPr>
          <w:p>
            <w:pPr>
              <w:pStyle w:val="Normal"/>
              <w:spacing w:lineRule="auto" w:line="240" w:before="0" w:after="0"/>
              <w:rPr/>
            </w:pPr>
            <w:r>
              <w:rPr/>
              <w:t>0.009</w:t>
            </w:r>
          </w:p>
        </w:tc>
        <w:tc>
          <w:tcPr>
            <w:tcW w:w="2439" w:type="dxa"/>
            <w:tcBorders/>
            <w:shd w:fill="auto" w:val="clear"/>
            <w:tcMar>
              <w:left w:w="108" w:type="dxa"/>
            </w:tcMar>
          </w:tcPr>
          <w:p>
            <w:pPr>
              <w:pStyle w:val="Normal"/>
              <w:spacing w:lineRule="auto" w:line="240" w:before="0" w:after="0"/>
              <w:rPr/>
            </w:pPr>
            <w:r>
              <w:rPr/>
              <w:t>1</w:t>
            </w:r>
          </w:p>
        </w:tc>
      </w:tr>
      <w:tr>
        <w:trPr/>
        <w:tc>
          <w:tcPr>
            <w:tcW w:w="2136" w:type="dxa"/>
            <w:tcBorders/>
            <w:shd w:fill="auto" w:val="clear"/>
            <w:tcMar>
              <w:left w:w="108" w:type="dxa"/>
            </w:tcMar>
          </w:tcPr>
          <w:p>
            <w:pPr>
              <w:pStyle w:val="Normal"/>
              <w:spacing w:lineRule="auto" w:line="240" w:before="0" w:after="0"/>
              <w:rPr/>
            </w:pPr>
            <w:r>
              <w:rPr/>
              <w:t>0.009</w:t>
            </w:r>
          </w:p>
        </w:tc>
        <w:tc>
          <w:tcPr>
            <w:tcW w:w="2439" w:type="dxa"/>
            <w:tcBorders/>
            <w:shd w:fill="auto" w:val="clear"/>
            <w:tcMar>
              <w:left w:w="108" w:type="dxa"/>
            </w:tcMar>
          </w:tcPr>
          <w:p>
            <w:pPr>
              <w:pStyle w:val="Normal"/>
              <w:spacing w:lineRule="auto" w:line="240" w:before="0" w:after="0"/>
              <w:rPr/>
            </w:pPr>
            <w:r>
              <w:rPr/>
              <w:t>1</w:t>
            </w:r>
          </w:p>
        </w:tc>
      </w:tr>
      <w:tr>
        <w:trPr/>
        <w:tc>
          <w:tcPr>
            <w:tcW w:w="2136" w:type="dxa"/>
            <w:tcBorders/>
            <w:shd w:fill="auto" w:val="clear"/>
            <w:tcMar>
              <w:left w:w="108" w:type="dxa"/>
            </w:tcMar>
          </w:tcPr>
          <w:p>
            <w:pPr>
              <w:pStyle w:val="Normal"/>
              <w:spacing w:lineRule="auto" w:line="240" w:before="0" w:after="0"/>
              <w:rPr/>
            </w:pPr>
            <w:r>
              <w:rPr/>
              <w:t>0.011</w:t>
            </w:r>
          </w:p>
        </w:tc>
        <w:tc>
          <w:tcPr>
            <w:tcW w:w="2439" w:type="dxa"/>
            <w:tcBorders/>
            <w:shd w:fill="auto" w:val="clear"/>
            <w:tcMar>
              <w:left w:w="108" w:type="dxa"/>
            </w:tcMar>
          </w:tcPr>
          <w:p>
            <w:pPr>
              <w:pStyle w:val="Normal"/>
              <w:spacing w:lineRule="auto" w:line="240" w:before="0" w:after="0"/>
              <w:rPr/>
            </w:pPr>
            <w:r>
              <w:rPr/>
              <w:t>1</w:t>
            </w:r>
          </w:p>
        </w:tc>
      </w:tr>
      <w:tr>
        <w:trPr/>
        <w:tc>
          <w:tcPr>
            <w:tcW w:w="2136" w:type="dxa"/>
            <w:tcBorders/>
            <w:shd w:fill="auto" w:val="clear"/>
            <w:tcMar>
              <w:left w:w="108" w:type="dxa"/>
            </w:tcMar>
          </w:tcPr>
          <w:p>
            <w:pPr>
              <w:pStyle w:val="Normal"/>
              <w:spacing w:lineRule="auto" w:line="240" w:before="0" w:after="0"/>
              <w:rPr/>
            </w:pPr>
            <w:r>
              <w:rPr/>
              <w:t>0.009</w:t>
            </w:r>
          </w:p>
        </w:tc>
        <w:tc>
          <w:tcPr>
            <w:tcW w:w="2439" w:type="dxa"/>
            <w:tcBorders/>
            <w:shd w:fill="auto" w:val="clear"/>
            <w:tcMar>
              <w:left w:w="108" w:type="dxa"/>
            </w:tcMar>
          </w:tcPr>
          <w:p>
            <w:pPr>
              <w:pStyle w:val="Normal"/>
              <w:spacing w:lineRule="auto" w:line="240" w:before="0" w:after="0"/>
              <w:rPr/>
            </w:pPr>
            <w:r>
              <w:rPr/>
              <w:t>1</w:t>
            </w:r>
          </w:p>
        </w:tc>
      </w:tr>
      <w:tr>
        <w:trPr/>
        <w:tc>
          <w:tcPr>
            <w:tcW w:w="2136" w:type="dxa"/>
            <w:tcBorders/>
            <w:shd w:fill="auto" w:val="clear"/>
            <w:tcMar>
              <w:left w:w="108" w:type="dxa"/>
            </w:tcMar>
          </w:tcPr>
          <w:p>
            <w:pPr>
              <w:pStyle w:val="Normal"/>
              <w:spacing w:lineRule="auto" w:line="240" w:before="0" w:after="0"/>
              <w:rPr/>
            </w:pPr>
            <w:r>
              <w:rPr/>
              <w:t>0.010</w:t>
            </w:r>
          </w:p>
        </w:tc>
        <w:tc>
          <w:tcPr>
            <w:tcW w:w="2439" w:type="dxa"/>
            <w:tcBorders/>
            <w:shd w:fill="auto" w:val="clear"/>
            <w:tcMar>
              <w:left w:w="108" w:type="dxa"/>
            </w:tcMar>
          </w:tcPr>
          <w:p>
            <w:pPr>
              <w:pStyle w:val="Normal"/>
              <w:spacing w:lineRule="auto" w:line="240" w:before="0" w:after="0"/>
              <w:rPr/>
            </w:pPr>
            <w:r>
              <w:rPr/>
              <w:t>1</w:t>
            </w:r>
          </w:p>
        </w:tc>
      </w:tr>
    </w:tbl>
    <w:p>
      <w:pPr>
        <w:pStyle w:val="Normal"/>
        <w:rPr/>
      </w:pPr>
      <w:r>
        <w:rPr/>
        <w:t>Average = 0.0095</w:t>
      </w:r>
    </w:p>
    <w:p>
      <w:pPr>
        <w:pStyle w:val="Normal"/>
        <w:widowControl/>
        <w:bidi w:val="0"/>
        <w:spacing w:lineRule="auto" w:line="259" w:before="0" w:after="160"/>
        <w:jc w:val="left"/>
        <w:rPr/>
      </w:pPr>
      <w:r>
        <w:rPr/>
        <w:t>The results show that the parameters I have used provide very consistent results with only 1 incorrect classification but test. With the Mean squared error of the training always being 0.001 as that was the only reachable termination condition set. It is clear and expected that the test set does not achieve this value, but the results do show that it was not far off on a consistent basis.</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NZ"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NZ" w:eastAsia="en-US" w:bidi="ar-SA"/>
    </w:rPr>
  </w:style>
  <w:style w:type="paragraph" w:styleId="Heading1">
    <w:name w:val="Heading 1"/>
    <w:basedOn w:val="Normal"/>
    <w:next w:val="Normal"/>
    <w:link w:val="Heading1Char"/>
    <w:uiPriority w:val="9"/>
    <w:qFormat/>
    <w:rsid w:val="00106cb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106cb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06cb9"/>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106cb9"/>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AR PL SungtiL GB"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b78e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LibreOffice/5.4.4.2$Linux_X86_64 LibreOffice_project/2524958677847fb3bb44820e40380acbe820f960</Application>
  <Pages>1</Pages>
  <Words>257</Words>
  <Characters>1237</Characters>
  <CharactersWithSpaces>1464</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2018-05-04T07:53:00Z</dcterms:created>
  <dc:creator>Nicholas Lauder</dc:creator>
  <dc:description/>
  <dc:language>en-NZ</dc:language>
  <cp:lastModifiedBy>Nicholas Lauder</cp:lastModifiedBy>
  <dcterms:modified xsi:type="dcterms:W3CDTF">2018-05-04T08:34:00Z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