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Score: Smith v. Stellar - Case Search - Run 2</w:t>
      </w:r>
    </w:p>
    <w:p>
      <w:r>
        <w:t>Date: 2026-03-31</w:t>
      </w:r>
    </w:p>
    <w:p>
      <w:r>
        <w:rPr>
          <w:b/>
          <w:color w:val="C00000"/>
          <w:sz w:val="26"/>
        </w:rPr>
        <w:t>Combined Score: 35/100 - FAIL</w:t>
      </w:r>
    </w:p>
    <w:p>
      <w:pPr>
        <w:pStyle w:val="Heading1"/>
      </w:pPr>
      <w:r>
        <w:t>Run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Search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Results Evaluated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Relevant Results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Marsh USA Inc. v. Cook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Texas non-compete overbroad industry-wide restriction reformation employer breach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employer materially breached employment agreement by unilaterally reducing compensation then fired employee can non-compete still be enforced Texas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enforceability of overbroad non-compete agreement that restricts work in entire industry rather than just competitors under Texas Business and Commerce Code Section 15.50</w:t>
            </w:r>
          </w:p>
        </w:tc>
        <w:tc>
          <w:tcPr>
            <w:tcW w:type="dxa" w:w="1728"/>
          </w:tcPr>
          <w:p>
            <w:r>
              <w:t>9 *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Texas employee signed 2-year non-compete covering 7 states... (full fact pattern)</w:t>
            </w:r>
          </w:p>
        </w:tc>
        <w:tc>
          <w:tcPr>
            <w:tcW w:type="dxa" w:w="1728"/>
          </w:tcPr>
          <w:p>
            <w:r>
              <w:t>9 *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Tex. Bus. &amp; Com. Code § 15.50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Texas covenants not to compete act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* C4 and C5 each returned 15 results, but 6 had no reporter citation listed and were excluded from scoring (Aerotek, J.M. Davidson, Household Bank, Twin City Fire, Tastee Donuts, Olander v. Compass Bank). Only the remaining 9 cited results were evaluated.</w:t>
      </w:r>
    </w:p>
    <w:p>
      <w:pPr>
        <w:pStyle w:val="Heading1"/>
      </w:pPr>
      <w:r>
        <w:t>Per-Search Breakdown</w:t>
      </w:r>
    </w:p>
    <w:p>
      <w:r>
        <w:t>Each search is scored independently out of 100 points across 5 categories. The combined score is the average of all 7 search totals. Category maximums are shown in the column headers. For case searches (C1-C5), cases found is shown alongside points earned. Authorities searches (A1-A2) are not scored on Tier 1/2/3.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Search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Relevance</w:t>
              <w:br/>
              <w:t>(max 30)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Tier 1 Cases</w:t>
              <w:br/>
              <w:t>(max 30)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Tier 2 Cases</w:t>
              <w:br/>
              <w:t>(max 20)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Tier 3 / Bonus</w:t>
              <w:br/>
              <w:t>(max 10)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Result Quality</w:t>
              <w:br/>
              <w:t>(max 10)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Score</w:t>
              <w:br/>
              <w:t>(/100)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C1</w:t>
            </w:r>
          </w:p>
        </w:tc>
        <w:tc>
          <w:tcPr>
            <w:tcW w:type="dxa" w:w="1080"/>
          </w:tcPr>
          <w:p>
            <w:r>
              <w:t>10 / 30</w:t>
            </w:r>
          </w:p>
        </w:tc>
        <w:tc>
          <w:tcPr>
            <w:tcW w:type="dxa" w:w="1080"/>
          </w:tcPr>
          <w:p>
            <w:r>
              <w:t>7.5 / 30 (1 found)</w:t>
            </w:r>
          </w:p>
        </w:tc>
        <w:tc>
          <w:tcPr>
            <w:tcW w:type="dxa" w:w="1080"/>
          </w:tcPr>
          <w:p>
            <w:r>
              <w:t>0 / 20 (0 found)</w:t>
            </w:r>
          </w:p>
        </w:tc>
        <w:tc>
          <w:tcPr>
            <w:tcW w:type="dxa" w:w="1080"/>
          </w:tcPr>
          <w:p>
            <w:r>
              <w:t>2 / 10 (1 found)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29.5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</w:tr>
      <w:tr>
        <w:tc>
          <w:tcPr>
            <w:tcW w:type="dxa" w:w="1080"/>
          </w:tcPr>
          <w:p>
            <w:r>
              <w:t>C2</w:t>
            </w:r>
          </w:p>
        </w:tc>
        <w:tc>
          <w:tcPr>
            <w:tcW w:type="dxa" w:w="1080"/>
          </w:tcPr>
          <w:p>
            <w:r>
              <w:t>25 / 30</w:t>
            </w:r>
          </w:p>
        </w:tc>
        <w:tc>
          <w:tcPr>
            <w:tcW w:type="dxa" w:w="1080"/>
          </w:tcPr>
          <w:p>
            <w:r>
              <w:t>7.5 / 30 (1 found)</w:t>
            </w:r>
          </w:p>
        </w:tc>
        <w:tc>
          <w:tcPr>
            <w:tcW w:type="dxa" w:w="1080"/>
          </w:tcPr>
          <w:p>
            <w:r>
              <w:t>4 / 20 (1 found)</w:t>
            </w:r>
          </w:p>
        </w:tc>
        <w:tc>
          <w:tcPr>
            <w:tcW w:type="dxa" w:w="1080"/>
          </w:tcPr>
          <w:p>
            <w:r>
              <w:t>10 / 10 (5+ found)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56.5</w:t>
            </w:r>
          </w:p>
        </w:tc>
        <w:tc>
          <w:tcPr>
            <w:tcW w:type="dxa" w:w="1080"/>
          </w:tcPr>
          <w:p>
            <w:r>
              <w:t>Fair</w:t>
            </w:r>
          </w:p>
        </w:tc>
      </w:tr>
      <w:tr>
        <w:tc>
          <w:tcPr>
            <w:tcW w:type="dxa" w:w="1080"/>
          </w:tcPr>
          <w:p>
            <w:r>
              <w:t>C3</w:t>
            </w:r>
          </w:p>
        </w:tc>
        <w:tc>
          <w:tcPr>
            <w:tcW w:type="dxa" w:w="1080"/>
          </w:tcPr>
          <w:p>
            <w:r>
              <w:t>25 / 30</w:t>
            </w:r>
          </w:p>
        </w:tc>
        <w:tc>
          <w:tcPr>
            <w:tcW w:type="dxa" w:w="1080"/>
          </w:tcPr>
          <w:p>
            <w:r>
              <w:t>7.5 / 30 (1 found)</w:t>
            </w:r>
          </w:p>
        </w:tc>
        <w:tc>
          <w:tcPr>
            <w:tcW w:type="dxa" w:w="1080"/>
          </w:tcPr>
          <w:p>
            <w:r>
              <w:t>4 / 20 (1 found)</w:t>
            </w:r>
          </w:p>
        </w:tc>
        <w:tc>
          <w:tcPr>
            <w:tcW w:type="dxa" w:w="1080"/>
          </w:tcPr>
          <w:p>
            <w:r>
              <w:t>10 / 10 (5+ found)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56.5</w:t>
            </w:r>
          </w:p>
        </w:tc>
        <w:tc>
          <w:tcPr>
            <w:tcW w:type="dxa" w:w="1080"/>
          </w:tcPr>
          <w:p>
            <w:r>
              <w:t>Fair</w:t>
            </w:r>
          </w:p>
        </w:tc>
      </w:tr>
      <w:tr>
        <w:tc>
          <w:tcPr>
            <w:tcW w:type="dxa" w:w="1080"/>
          </w:tcPr>
          <w:p>
            <w:r>
              <w:t>C4</w:t>
            </w:r>
          </w:p>
        </w:tc>
        <w:tc>
          <w:tcPr>
            <w:tcW w:type="dxa" w:w="1080"/>
          </w:tcPr>
          <w:p>
            <w:r>
              <w:t>10 / 30</w:t>
            </w:r>
          </w:p>
        </w:tc>
        <w:tc>
          <w:tcPr>
            <w:tcW w:type="dxa" w:w="1080"/>
          </w:tcPr>
          <w:p>
            <w:r>
              <w:t>0 / 30 (0 found)</w:t>
            </w:r>
          </w:p>
        </w:tc>
        <w:tc>
          <w:tcPr>
            <w:tcW w:type="dxa" w:w="1080"/>
          </w:tcPr>
          <w:p>
            <w:r>
              <w:t>4 / 20 (1 found)</w:t>
            </w:r>
          </w:p>
        </w:tc>
        <w:tc>
          <w:tcPr>
            <w:tcW w:type="dxa" w:w="1080"/>
          </w:tcPr>
          <w:p>
            <w:r>
              <w:t>2 / 10 (1 found)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C5</w:t>
            </w:r>
          </w:p>
        </w:tc>
        <w:tc>
          <w:tcPr>
            <w:tcW w:type="dxa" w:w="1080"/>
          </w:tcPr>
          <w:p>
            <w:r>
              <w:t>10 / 30</w:t>
            </w:r>
          </w:p>
        </w:tc>
        <w:tc>
          <w:tcPr>
            <w:tcW w:type="dxa" w:w="1080"/>
          </w:tcPr>
          <w:p>
            <w:r>
              <w:t>0 / 30 (0 found)</w:t>
            </w:r>
          </w:p>
        </w:tc>
        <w:tc>
          <w:tcPr>
            <w:tcW w:type="dxa" w:w="1080"/>
          </w:tcPr>
          <w:p>
            <w:r>
              <w:t>4 / 20 (1 found)</w:t>
            </w:r>
          </w:p>
        </w:tc>
        <w:tc>
          <w:tcPr>
            <w:tcW w:type="dxa" w:w="1080"/>
          </w:tcPr>
          <w:p>
            <w:r>
              <w:t>2 / 10 (1 found)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A1</w:t>
            </w:r>
          </w:p>
        </w:tc>
        <w:tc>
          <w:tcPr>
            <w:tcW w:type="dxa" w:w="1080"/>
          </w:tcPr>
          <w:p>
            <w:r>
              <w:t>30 / 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Fair</w:t>
            </w:r>
          </w:p>
        </w:tc>
      </w:tr>
      <w:tr>
        <w:tc>
          <w:tcPr>
            <w:tcW w:type="dxa" w:w="1080"/>
          </w:tcPr>
          <w:p>
            <w:r>
              <w:t>A2</w:t>
            </w:r>
          </w:p>
        </w:tc>
        <w:tc>
          <w:tcPr>
            <w:tcW w:type="dxa" w:w="1080"/>
          </w:tcPr>
          <w:p>
            <w:r>
              <w:t>0 / 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10 / 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</w:tbl>
    <w:p>
      <w:r>
        <w:t>Combined score = (29.5 + 56.5 + 56.5 + 26 + 26 + 40 + 10) / 7 = 35 / 100</w:t>
      </w:r>
    </w:p>
    <w:p>
      <w:pPr>
        <w:pStyle w:val="Heading1"/>
      </w:pPr>
      <w:r>
        <w:t>Results Summary</w:t>
      </w:r>
    </w:p>
    <w:p>
      <w:pPr>
        <w:pStyle w:val="ListBullet"/>
      </w:pPr>
      <w:r>
        <w:t>C1 - 29.5/100 (Poor): Case name lookup returned Marsh USA Inc. v. Cook as the #1 result as expected, but only 2 of 10 results were relevant. No other Tier 1 or Tier 2 cases appeared. The remaining results were general commercial litigation unrelated to non-competes.</w:t>
      </w:r>
    </w:p>
    <w:p>
      <w:pPr>
        <w:pStyle w:val="ListBullet"/>
      </w:pPr>
      <w:r>
        <w:t>C2 - 56.5/100 (Fair): Best-performing case search. Keyword stacking surfaced Peat Marwick (Tier 1) and D'Onofrio (Tier 2), plus 5+ bonus cases. 9 of 15 results were relevant. Still missed 5 of 6 Tier 1 cases and 6 of 7 Tier 2 cases.</w:t>
      </w:r>
    </w:p>
    <w:p>
      <w:pPr>
        <w:pStyle w:val="ListBullet"/>
      </w:pPr>
      <w:r>
        <w:t>C3 - 56.5/100 (Fair): Returned identical results to C2. The engine did not differentiate the narrow employer-breach query from keyword stacking. Score and findings are the same as C2.</w:t>
      </w:r>
    </w:p>
    <w:p>
      <w:pPr>
        <w:pStyle w:val="ListBullet"/>
      </w:pPr>
      <w:r>
        <w:t>C4 - 26/100 (Fail): Despite explicitly referencing Section 15.50, the search returned mostly breach of contract, arbitration, and venue cases. Only 2 of 9 valid results were relevant. Guy Carpenter (Tier 2) was the only golden-eval case found. 6 results had no citation and were excluded, including Olander v. Compass Bank (Tier 1).</w:t>
      </w:r>
    </w:p>
    <w:p>
      <w:pPr>
        <w:pStyle w:val="ListBullet"/>
      </w:pPr>
      <w:r>
        <w:t>C5 - 26/100 (Fail): Returned the exact same 15-result set as C4. The full fact pattern narrative did not improve retrieval over the focused legal question. Confirms the engine does not process semantic/NLP-style queries differently from keyword queries at this length.</w:t>
      </w:r>
    </w:p>
    <w:p>
      <w:pPr>
        <w:pStyle w:val="ListBullet"/>
      </w:pPr>
      <w:r>
        <w:t>A1 - 40/40 (Pass): Exact citation lookup returned Section 15.50 correctly as the only result. Full text was available. This search type has a max score of 40 since Tier 1/2/3 scoring does not apply to authorities.</w:t>
      </w:r>
    </w:p>
    <w:p>
      <w:pPr>
        <w:pStyle w:val="ListBullet"/>
      </w:pPr>
      <w:r>
        <w:t>A2 - 10/40 (Fail): Descriptive statute query returned 15 results, but 13 were unrelated Texas administrative code sections and federal regulations. Only Sections 15.50 and 15.51 appeared; Section 15.52 was absent. The jurisdiction filter (Federal + TX) was applied but did not meaningfully improve relevance.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