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QA Score: Case Search - Smith v. Stellar (2026-04-01)</w:t>
      </w:r>
    </w:p>
    <w:p>
      <w:pPr>
        <w:pBdr>
          <w:top w:val="single" w:color="DC2626" w:sz="2" w:space="4"/>
          <w:bottom w:val="single" w:color="DC2626" w:sz="2" w:space="4"/>
          <w:left w:val="single" w:color="DC2626" w:sz="2" w:space="4"/>
          <w:right w:val="single" w:color="DC2626" w:sz="2" w:space="4"/>
        </w:pBdr>
        <w:shd w:fill="FEF2F2" w:val="clear"/>
        <w:spacing w:after="240"/>
      </w:pPr>
      <w:r>
        <w:rPr>
          <w:b/>
          <w:bCs/>
          <w:color w:val="DC2626"/>
          <w:sz w:val="28"/>
          <w:szCs w:val="28"/>
        </w:rPr>
        <w:t xml:space="preserve">38.7 / 100 - FAIL</w:t>
      </w:r>
    </w:p>
    <w:p>
      <w:pPr>
        <w:pStyle w:val="Heading2"/>
      </w:pPr>
      <w:r>
        <w:t xml:space="preserve">Run Log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4560"/>
        <w:gridCol w:w="1500"/>
        <w:gridCol w:w="15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ID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Results Eval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Marsh USA Inc. v. Cook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Texas non-compete overbroad industry-wide restriction reformation employer breach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employer materially breached employment agreement by unilaterally reducing compensation then fired employee can non-compete still be enforced Texas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enforceability of overbroad non-compete agreement that restricts work in entire industry rather than just competitors under Texas Business and Commerce Code Section 15.50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Texas employee signed 2-year non-compete covering 7 states...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Tex. Bus. &amp; Com. Code § 15.50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Texas covenants not to compete 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* C5: 1 result excluded (Sheshunoff appeared without a citation).</w:t>
      </w:r>
    </w:p>
    <w:p>
      <w:pPr>
        <w:pStyle w:val="Heading2"/>
      </w:pPr>
      <w:r>
        <w:t xml:space="preserve">Per-Search Breakdown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Each search scored out of 100 pts across 5 categories. Combined = average of all 7.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400"/>
        <w:gridCol w:w="1400"/>
        <w:gridCol w:w="1300"/>
        <w:gridCol w:w="1100"/>
        <w:gridCol w:w="900"/>
        <w:gridCol w:w="9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 (30)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 (30)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 (20)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T3/Bonus (10)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(10)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7.5 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27.5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7.5 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(5)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(3)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61.5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7.5 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(5)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(3)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61.5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22.5 (3)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(5)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70.5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Combined: (27.5 + 61.5 + 61.5 + 10 + 70.5 + 40 + 0) / 7 = 38.7 / 100</w:t>
      </w:r>
    </w:p>
    <w:p>
      <w:pPr>
        <w:pStyle w:val="Heading2"/>
      </w:pPr>
      <w:r>
        <w:t xml:space="preserve">Results Summary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C1 (27.5 - Poor): </w:t>
      </w:r>
      <w:r>
        <w:rPr>
          <w:rFonts w:ascii="Arial" w:cs="Arial" w:eastAsia="Arial" w:hAnsi="Arial"/>
          <w:sz w:val="20"/>
          <w:szCs w:val="20"/>
        </w:rPr>
        <w:t xml:space="preserve">Marsh USA v. Cook (2011) appeared as #1. 8 of 10 results irrelevant. Citation shown as BNA reporter.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C2 (61.5 - Good): </w:t>
      </w:r>
      <w:r>
        <w:rPr>
          <w:rFonts w:ascii="Arial" w:cs="Arial" w:eastAsia="Arial" w:hAnsi="Arial"/>
          <w:sz w:val="20"/>
          <w:szCs w:val="20"/>
        </w:rPr>
        <w:t xml:space="preserve">Best case search. 1 Tier 1, 5 Tier 2, 3 Tier 3. 8/15 relevant (53%).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C3 (61.5 - Good): </w:t>
      </w:r>
      <w:r>
        <w:rPr>
          <w:rFonts w:ascii="Arial" w:cs="Arial" w:eastAsia="Arial" w:hAnsi="Arial"/>
          <w:sz w:val="20"/>
          <w:szCs w:val="20"/>
        </w:rPr>
        <w:t xml:space="preserve">Identical results to C2 despite different query. Suggests overlapping keyword matching.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C4 (10 - Fail): </w:t>
      </w:r>
      <w:r>
        <w:rPr>
          <w:rFonts w:ascii="Arial" w:cs="Arial" w:eastAsia="Arial" w:hAnsi="Arial"/>
          <w:sz w:val="20"/>
          <w:szCs w:val="20"/>
        </w:rPr>
        <w:t xml:space="preserve">Zero relevant cases. All 15 results general contract/venue. Consistent with Runs 1-2.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C5 (70.5 - Good): </w:t>
      </w:r>
      <w:r>
        <w:rPr>
          <w:rFonts w:ascii="Arial" w:cs="Arial" w:eastAsia="Arial" w:hAnsi="Arial"/>
          <w:sz w:val="20"/>
          <w:szCs w:val="20"/>
        </w:rPr>
        <w:t xml:space="preserve">Strongest search. 3 Tier 1 (Olander, DeSantis, Sheshunoff), 5 bonus cases. 9/9 relevant.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A1 (40 - Excellent): </w:t>
      </w:r>
      <w:r>
        <w:rPr>
          <w:rFonts w:ascii="Arial" w:cs="Arial" w:eastAsia="Arial" w:hAnsi="Arial"/>
          <w:sz w:val="20"/>
          <w:szCs w:val="20"/>
        </w:rPr>
        <w:t xml:space="preserve">Correctly returned § 15.50. Expected behavior.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A2 (0 - Fail): </w:t>
      </w:r>
      <w:r>
        <w:rPr>
          <w:rFonts w:ascii="Arial" w:cs="Arial" w:eastAsia="Arial" w:hAnsi="Arial"/>
          <w:sz w:val="20"/>
          <w:szCs w:val="20"/>
        </w:rPr>
        <w:t xml:space="preserve">Critical failure. 15 irrelevant federal CFR regulations. No Texas statutes found.</w:t>
      </w:r>
    </w:p>
    <w:p>
      <w:pPr>
        <w:pStyle w:val="Heading2"/>
      </w:pPr>
      <w:r>
        <w:t xml:space="preserve">Deviations from Golden Evaluation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C2 and C3 returned identical result sets despite fundamentally different queries.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C4 continues to return zero relevant results (systemic weakness).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C5 showed significant improvement (9/9 relevant vs. prior runs).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Marsh USA Inc. v. Cook citation displayed as BNA reporter, not S.W.3d.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A2 returned only federal regulations instead of Texas state statutes.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Light v. Centel Cellular Co. (Tier 1) did not appear in any search.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Multiple Tier 2 cases absent from C2/C3 (Butler, Cardinal Health, Zep, Guy Carpenter, Juliette Fowler).</w:t>
      </w:r>
    </w:p>
    <w:p>
      <w:pPr>
        <w:pStyle w:val="Heading2"/>
      </w:pPr>
      <w:r>
        <w:t xml:space="preserve">New Elements Not in Golden Evaluation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800"/>
        <w:gridCol w:w="30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 Name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Surfaced By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Donald Calhoun v. Jack Doheny 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969 F.3d 232 (5th Cir. 2020)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87nbndhwvwqnnhspw5s9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CourtListener</w:t>
              </w:r>
            </w:hyperlink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2 (non-compete reformation under TX Covenants Not to Compete Act)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Envtl. Servs. v. Addison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F.3d 124 (5th Cir. 1993)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_n1-rzm9jipvq3c08w2y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CourtListener</w:t>
              </w:r>
            </w:hyperlink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3 (non-compete geographic overbreadth; Louisiana law)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Bergman v. Norris of Houston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734 S.W.2d 673 (Tex. 1987)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yin6jgf3uhc31uqadlkz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CourtListener</w:t>
              </w:r>
            </w:hyperlink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2 (TX Sup. Ct.; non-compete unenforceable, common calling)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Weatherford Oil Tool v. Campbell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161 Tex. 310 (1960)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xleuiakzk_1elaidfqc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CourtListener</w:t>
              </w:r>
            </w:hyperlink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3 (TX Sup. Ct.; unreasonable without territorial limit)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Tandy Brands v. Harper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760 F.2d 648 (5th Cir. 1985)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gqklzwiiic02dbivfk9m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CourtListener</w:t>
              </w:r>
            </w:hyperlink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3 (overbroad territorial scope; predates § 15.50)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Zoecon Indus. v. Am. Stockman 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713 F.2d 1174 (5th Cir. 1983)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brdtwpoj3aizmu3ieaa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CourtListener</w:t>
              </w:r>
            </w:hyperlink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3 (trade secret and non-compete; confidential relationship)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D0D0D0" w:sz="1" w:space="4"/>
      </w:pBdr>
      <w:spacing w:after="160" w:before="2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87nbndhwvwqnnhspw5s9" Type="http://schemas.openxmlformats.org/officeDocument/2006/relationships/hyperlink" Target="https://www.courtlistener.com/?q=969+F.3d+232&amp;type=o" TargetMode="External"/><Relationship Id="rId6_n1-rzm9jipvq3c08w2y" Type="http://schemas.openxmlformats.org/officeDocument/2006/relationships/hyperlink" Target="https://www.courtlistener.com/?q=2+F.3d+124&amp;type=o" TargetMode="External"/><Relationship Id="rIdwyin6jgf3uhc31uqadlkz" Type="http://schemas.openxmlformats.org/officeDocument/2006/relationships/hyperlink" Target="https://www.courtlistener.com/?q=734+S.W.2d+673&amp;type=o" TargetMode="External"/><Relationship Id="rId4xleuiakzk_1elaidfqcg" Type="http://schemas.openxmlformats.org/officeDocument/2006/relationships/hyperlink" Target="https://www.courtlistener.com/?q=161+Tex.+310&amp;type=o" TargetMode="External"/><Relationship Id="rIdsgqklzwiiic02dbivfk9m" Type="http://schemas.openxmlformats.org/officeDocument/2006/relationships/hyperlink" Target="https://www.courtlistener.com/?q=760+F.2d+648&amp;type=o" TargetMode="External"/><Relationship Id="rIdxbrdtwpoj3aizmu3ieaau" Type="http://schemas.openxmlformats.org/officeDocument/2006/relationships/hyperlink" Target="https://www.courtlistener.com/?q=713+F.2d+1174&amp;type=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2026-04-01T23:25:08.979Z</dcterms:created>
  <dcterms:modified xsi:type="dcterms:W3CDTF">2026-04-01T23:25:08.979Z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