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1AD4" w14:textId="77777777" w:rsidR="005E4707" w:rsidRDefault="00000000">
      <w:pPr>
        <w:pStyle w:val="centeredstyle"/>
      </w:pPr>
      <w:r>
        <w:rPr>
          <w:b/>
          <w:bCs/>
        </w:rPr>
        <w:t>LEGAL ADVISORY AND DISCLAIMER</w:t>
      </w:r>
    </w:p>
    <w:p w14:paraId="526B29A8" w14:textId="77777777" w:rsidR="005E4707" w:rsidRDefault="00000000">
      <w:pPr>
        <w:pStyle w:val="disclaimerstyle"/>
        <w:numPr>
          <w:ilvl w:val="0"/>
          <w:numId w:val="11"/>
        </w:numPr>
      </w:pPr>
      <w:r>
        <w:rPr>
          <w:b/>
          <w:bCs/>
        </w:rPr>
        <w:t>Preliminary Draft</w:t>
      </w:r>
      <w:r>
        <w:t>: This legal brief is a research and drafting tool, not a final work product. It is not ready for filing and must not be submitted to any court in its current form.</w:t>
      </w:r>
    </w:p>
    <w:p w14:paraId="7429FF80" w14:textId="77777777" w:rsidR="005E4707" w:rsidRDefault="00000000">
      <w:pPr>
        <w:pStyle w:val="disclaimerstyle"/>
        <w:numPr>
          <w:ilvl w:val="0"/>
          <w:numId w:val="9"/>
        </w:numPr>
      </w:pPr>
      <w:r>
        <w:rPr>
          <w:b/>
          <w:bCs/>
        </w:rPr>
        <w:t>Duty to Review</w:t>
      </w:r>
      <w:r>
        <w:t>: You must independently verify all factual allegations and legal theories. It is your responsibility to supplement and revise this legal brief to ensure accuracy and viability.</w:t>
      </w:r>
    </w:p>
    <w:p w14:paraId="0A3BB9CE" w14:textId="77777777" w:rsidR="005E4707" w:rsidRDefault="00000000">
      <w:pPr>
        <w:pStyle w:val="disclaimerstyle"/>
        <w:numPr>
          <w:ilvl w:val="0"/>
          <w:numId w:val="9"/>
        </w:numPr>
      </w:pPr>
      <w:r>
        <w:rPr>
          <w:b/>
          <w:bCs/>
        </w:rPr>
        <w:t>Local Rules</w:t>
      </w:r>
      <w:r>
        <w:t>: You are responsible for ensuring compliance with all local rules, standing orders, and venue-specific formatting (e.g., margins, line numbering, and signature blocks).</w:t>
      </w:r>
    </w:p>
    <w:p w14:paraId="3053C152" w14:textId="77777777" w:rsidR="005E4707" w:rsidRDefault="00000000">
      <w:pPr>
        <w:pStyle w:val="disclaimerstyle"/>
        <w:numPr>
          <w:ilvl w:val="0"/>
          <w:numId w:val="9"/>
        </w:numPr>
      </w:pPr>
      <w:r>
        <w:rPr>
          <w:b/>
          <w:bCs/>
        </w:rPr>
        <w:t>Citations</w:t>
      </w:r>
      <w:r>
        <w:t>: All legal citations must be verified for accuracy, currency, and Bluebook compliance. Formatting signals and cross-references are not yet finalized.</w:t>
      </w:r>
    </w:p>
    <w:p w14:paraId="182C2415" w14:textId="77777777" w:rsidR="005E4707" w:rsidRDefault="00000000">
      <w:pPr>
        <w:pStyle w:val="disclaimerstyle"/>
        <w:numPr>
          <w:ilvl w:val="0"/>
          <w:numId w:val="9"/>
        </w:numPr>
      </w:pPr>
      <w:r>
        <w:rPr>
          <w:b/>
          <w:bCs/>
        </w:rPr>
        <w:t>Professional Responsibility</w:t>
      </w:r>
      <w:r>
        <w:t>: The signing attorney bears sole responsibility for the legal sufficiency and ethical compliance of the final filing.</w:t>
      </w:r>
    </w:p>
    <w:p w14:paraId="7071036E" w14:textId="77777777" w:rsidR="005E4707" w:rsidRDefault="00000000">
      <w:r>
        <w:br w:type="page"/>
      </w:r>
    </w:p>
    <w:tbl>
      <w:tblPr>
        <w:tblW w:w="5000" w:type="pct"/>
        <w:tblLayout w:type="fixed"/>
        <w:tblLook w:val="04A0" w:firstRow="1" w:lastRow="0" w:firstColumn="1" w:lastColumn="0" w:noHBand="0" w:noVBand="1"/>
      </w:tblPr>
      <w:tblGrid>
        <w:gridCol w:w="9360"/>
      </w:tblGrid>
      <w:tr w:rsidR="005E4707" w14:paraId="7CA52A28" w14:textId="77777777">
        <w:tc>
          <w:tcPr>
            <w:tcW w:w="9360" w:type="dxa"/>
          </w:tcPr>
          <w:p w14:paraId="3A9D8FF1" w14:textId="77777777" w:rsidR="005E4707" w:rsidRDefault="00000000">
            <w:pPr>
              <w:pageBreakBefore/>
              <w:widowControl w:val="0"/>
              <w:spacing w:after="0"/>
            </w:pPr>
            <w:r>
              <w:lastRenderedPageBreak/>
              <w:t>[ATTORNEY NAME]</w:t>
            </w:r>
          </w:p>
          <w:p w14:paraId="49A7E97E" w14:textId="77777777" w:rsidR="005E4707" w:rsidRDefault="00000000">
            <w:pPr>
              <w:widowControl w:val="0"/>
              <w:spacing w:after="0"/>
            </w:pPr>
            <w:r>
              <w:t>[FIRM_NAME]</w:t>
            </w:r>
          </w:p>
          <w:p w14:paraId="49B5518D" w14:textId="77777777" w:rsidR="005E4707" w:rsidRDefault="00000000">
            <w:pPr>
              <w:widowControl w:val="0"/>
              <w:spacing w:after="0"/>
            </w:pPr>
            <w:r>
              <w:t>[ADDRESS]</w:t>
            </w:r>
          </w:p>
          <w:p w14:paraId="4C0672B3" w14:textId="77777777" w:rsidR="005E4707" w:rsidRDefault="00000000">
            <w:pPr>
              <w:widowControl w:val="0"/>
              <w:spacing w:after="0"/>
            </w:pPr>
            <w:r>
              <w:t>[PHONE]</w:t>
            </w:r>
          </w:p>
          <w:p w14:paraId="2E6B2D1F" w14:textId="77777777" w:rsidR="005E4707" w:rsidRDefault="00000000">
            <w:pPr>
              <w:widowControl w:val="0"/>
              <w:spacing w:after="0"/>
            </w:pPr>
            <w:r>
              <w:t>[FAX]</w:t>
            </w:r>
          </w:p>
          <w:p w14:paraId="60AECDE9" w14:textId="77777777" w:rsidR="005E4707" w:rsidRDefault="00000000">
            <w:pPr>
              <w:widowControl w:val="0"/>
              <w:spacing w:after="0"/>
            </w:pPr>
            <w:r>
              <w:t>Attorney for Plaintiff</w:t>
            </w:r>
          </w:p>
          <w:p w14:paraId="2D1E40B5" w14:textId="77777777" w:rsidR="005E4707" w:rsidRDefault="00000000">
            <w:pPr>
              <w:widowControl w:val="0"/>
              <w:spacing w:after="240"/>
            </w:pPr>
            <w:r>
              <w:t>PLAINTIFF GLOBAL MEDIA, INC.</w:t>
            </w:r>
          </w:p>
        </w:tc>
      </w:tr>
    </w:tbl>
    <w:p w14:paraId="674F2888" w14:textId="77777777" w:rsidR="005E4707" w:rsidRDefault="00000000">
      <w:pPr>
        <w:spacing w:before="240" w:after="240"/>
        <w:ind w:firstLine="720"/>
        <w:jc w:val="center"/>
      </w:pPr>
      <w:r>
        <w:rPr>
          <w:b/>
        </w:rPr>
        <w:t>UNITED STATES DISTRICT COURT, [DISTRICT] DISTRICT OF CALIFORNIA</w:t>
      </w:r>
    </w:p>
    <w:tbl>
      <w:tblPr>
        <w:tblW w:w="9360" w:type="dxa"/>
        <w:tblLayout w:type="fixed"/>
        <w:tblLook w:val="04A0" w:firstRow="1" w:lastRow="0" w:firstColumn="1" w:lastColumn="0" w:noHBand="0" w:noVBand="1"/>
      </w:tblPr>
      <w:tblGrid>
        <w:gridCol w:w="4681"/>
        <w:gridCol w:w="4679"/>
      </w:tblGrid>
      <w:tr w:rsidR="005E4707" w14:paraId="2A0E15AD" w14:textId="77777777">
        <w:tc>
          <w:tcPr>
            <w:tcW w:w="4680" w:type="dxa"/>
            <w:tcBorders>
              <w:bottom w:val="single" w:sz="4" w:space="0" w:color="000000"/>
              <w:right w:val="single" w:sz="4" w:space="0" w:color="000000"/>
            </w:tcBorders>
          </w:tcPr>
          <w:p w14:paraId="62D2C7BD" w14:textId="77777777" w:rsidR="005E4707" w:rsidRDefault="00000000">
            <w:pPr>
              <w:widowControl w:val="0"/>
              <w:spacing w:before="240" w:after="0"/>
              <w:ind w:left="40"/>
            </w:pPr>
            <w:r>
              <w:t>GLOBAL MEDIA, INC.,</w:t>
            </w:r>
          </w:p>
          <w:p w14:paraId="4B4591CC" w14:textId="77777777" w:rsidR="005E4707" w:rsidRDefault="00000000">
            <w:pPr>
              <w:widowControl w:val="0"/>
              <w:spacing w:before="240" w:after="0"/>
              <w:ind w:left="720"/>
            </w:pPr>
            <w:r>
              <w:t>Plaintiff,</w:t>
            </w:r>
          </w:p>
          <w:p w14:paraId="46F72DC7" w14:textId="77777777" w:rsidR="005E4707" w:rsidRDefault="00000000">
            <w:pPr>
              <w:widowControl w:val="0"/>
              <w:spacing w:before="240" w:after="0"/>
              <w:ind w:left="40"/>
            </w:pPr>
            <w:r>
              <w:t>v.</w:t>
            </w:r>
          </w:p>
          <w:p w14:paraId="13A41000" w14:textId="77777777" w:rsidR="005E4707" w:rsidRDefault="00000000">
            <w:pPr>
              <w:widowControl w:val="0"/>
              <w:spacing w:before="240" w:after="0"/>
              <w:ind w:left="40"/>
            </w:pPr>
            <w:r>
              <w:t>JANE SMITH,</w:t>
            </w:r>
          </w:p>
          <w:p w14:paraId="18068846" w14:textId="77777777" w:rsidR="005E4707" w:rsidRDefault="00000000">
            <w:pPr>
              <w:widowControl w:val="0"/>
              <w:spacing w:before="240" w:after="0"/>
              <w:ind w:left="720"/>
            </w:pPr>
            <w:r>
              <w:t>Defendant.</w:t>
            </w:r>
          </w:p>
        </w:tc>
        <w:tc>
          <w:tcPr>
            <w:tcW w:w="4679" w:type="dxa"/>
            <w:tcBorders>
              <w:left w:val="single" w:sz="4" w:space="0" w:color="000000"/>
            </w:tcBorders>
            <w:tcMar>
              <w:left w:w="100" w:type="dxa"/>
            </w:tcMar>
          </w:tcPr>
          <w:p w14:paraId="4DA6A8B7" w14:textId="77777777" w:rsidR="005E4707" w:rsidRDefault="00000000">
            <w:pPr>
              <w:widowControl w:val="0"/>
              <w:spacing w:before="240" w:after="0"/>
              <w:ind w:left="720" w:hanging="360"/>
            </w:pPr>
            <w:r>
              <w:t>Case No.: [CASE NO.]</w:t>
            </w:r>
          </w:p>
          <w:p w14:paraId="0DA352AB" w14:textId="77777777" w:rsidR="005E4707" w:rsidRDefault="00000000">
            <w:pPr>
              <w:widowControl w:val="0"/>
              <w:spacing w:before="240" w:after="240"/>
              <w:ind w:left="360"/>
            </w:pPr>
            <w:r>
              <w:rPr>
                <w:b/>
                <w:caps/>
              </w:rPr>
              <w:t>LEGAL BRIEF</w:t>
            </w:r>
          </w:p>
          <w:p w14:paraId="4DA729F6" w14:textId="77777777" w:rsidR="005E4707" w:rsidRDefault="00000000">
            <w:pPr>
              <w:widowControl w:val="0"/>
              <w:spacing w:after="0" w:line="300" w:lineRule="auto"/>
              <w:ind w:left="360"/>
            </w:pPr>
            <w:r>
              <w:t>Date: [DATE]</w:t>
            </w:r>
          </w:p>
          <w:p w14:paraId="210192EB" w14:textId="77777777" w:rsidR="005E4707" w:rsidRDefault="00000000">
            <w:pPr>
              <w:widowControl w:val="0"/>
              <w:spacing w:after="0" w:line="300" w:lineRule="auto"/>
              <w:ind w:left="360"/>
            </w:pPr>
            <w:r>
              <w:t>Time: [TIME]</w:t>
            </w:r>
          </w:p>
          <w:p w14:paraId="546DFEF6" w14:textId="77777777" w:rsidR="005E4707" w:rsidRDefault="00000000">
            <w:pPr>
              <w:widowControl w:val="0"/>
              <w:spacing w:after="0" w:line="300" w:lineRule="auto"/>
              <w:ind w:left="360"/>
            </w:pPr>
            <w:r>
              <w:t>Dept: [DEPT]</w:t>
            </w:r>
          </w:p>
          <w:p w14:paraId="1ADB090C" w14:textId="77777777" w:rsidR="005E4707" w:rsidRDefault="00000000">
            <w:pPr>
              <w:widowControl w:val="0"/>
              <w:spacing w:after="0" w:line="300" w:lineRule="auto"/>
              <w:ind w:left="360"/>
            </w:pPr>
            <w:r>
              <w:t>Judge: [JUDGE]</w:t>
            </w:r>
          </w:p>
          <w:p w14:paraId="5FF6D77E" w14:textId="77777777" w:rsidR="005E4707" w:rsidRDefault="00000000">
            <w:pPr>
              <w:widowControl w:val="0"/>
              <w:spacing w:after="0" w:line="300" w:lineRule="auto"/>
              <w:ind w:left="360"/>
            </w:pPr>
            <w:r>
              <w:t>Reservation No.: [RESERVATION NO.]</w:t>
            </w:r>
          </w:p>
          <w:p w14:paraId="1BB5D737" w14:textId="77777777" w:rsidR="005E4707" w:rsidRDefault="00000000">
            <w:pPr>
              <w:widowControl w:val="0"/>
              <w:spacing w:after="0" w:line="300" w:lineRule="auto"/>
              <w:ind w:left="360"/>
            </w:pPr>
            <w:r>
              <w:t>Date Filed: [DATE FILED]</w:t>
            </w:r>
          </w:p>
        </w:tc>
      </w:tr>
    </w:tbl>
    <w:p w14:paraId="79624644" w14:textId="77777777" w:rsidR="005E4707" w:rsidRDefault="005E4707">
      <w:pPr>
        <w:spacing w:before="240" w:after="240"/>
      </w:pPr>
    </w:p>
    <w:p w14:paraId="4A2E964A" w14:textId="77777777" w:rsidR="005E4707" w:rsidRDefault="005E4707"/>
    <w:sdt>
      <w:sdtPr>
        <w:rPr>
          <w:rFonts w:ascii="Constantia" w:eastAsiaTheme="minorHAnsi" w:hAnsi="Constantia" w:cs="Times New Roman (Body CS)"/>
          <w:b w:val="0"/>
          <w:caps/>
          <w:sz w:val="24"/>
          <w:szCs w:val="24"/>
        </w:rPr>
        <w:id w:val="236885376"/>
        <w:docPartObj>
          <w:docPartGallery w:val="Table of Contents"/>
          <w:docPartUnique/>
        </w:docPartObj>
      </w:sdtPr>
      <w:sdtContent>
        <w:p w14:paraId="78486AD3" w14:textId="77777777" w:rsidR="005E4707" w:rsidRDefault="00000000">
          <w:pPr>
            <w:pStyle w:val="TOCHeading"/>
          </w:pPr>
          <w:r>
            <w:br w:type="page"/>
          </w:r>
          <w:r>
            <w:lastRenderedPageBreak/>
            <w:t>Table of Contents</w:t>
          </w:r>
        </w:p>
        <w:p w14:paraId="0D37079B" w14:textId="77777777" w:rsidR="005E4707" w:rsidRDefault="00000000">
          <w:pPr>
            <w:pStyle w:val="TOC1"/>
            <w:rPr>
              <w:rFonts w:asciiTheme="minorHAnsi" w:hAnsiTheme="minorHAnsi"/>
              <w:noProof/>
              <w:sz w:val="22"/>
            </w:rPr>
          </w:pPr>
          <w:r>
            <w:fldChar w:fldCharType="begin"/>
          </w:r>
          <w:r>
            <w:rPr>
              <w:rStyle w:val="IndexLink"/>
              <w:webHidden/>
            </w:rPr>
            <w:instrText xml:space="preserve"> TOC \z \o "1-3" \u \h</w:instrText>
          </w:r>
          <w:r>
            <w:rPr>
              <w:rStyle w:val="IndexLink"/>
            </w:rPr>
            <w:fldChar w:fldCharType="separate"/>
          </w:r>
          <w:hyperlink w:anchor="_Toc256000000" w:history="1">
            <w:r>
              <w:rPr>
                <w:rStyle w:val="Hyperlink"/>
              </w:rPr>
              <w:t>Table of Authorities</w:t>
            </w:r>
            <w:r>
              <w:tab/>
            </w:r>
            <w:r>
              <w:fldChar w:fldCharType="begin"/>
            </w:r>
            <w:r>
              <w:instrText xml:space="preserve"> PAGEREF _Toc256000000 \h </w:instrText>
            </w:r>
            <w:r>
              <w:fldChar w:fldCharType="separate"/>
            </w:r>
            <w:r>
              <w:t>4</w:t>
            </w:r>
            <w:r>
              <w:fldChar w:fldCharType="end"/>
            </w:r>
          </w:hyperlink>
        </w:p>
        <w:p w14:paraId="132B8EF7" w14:textId="77777777" w:rsidR="005E4707" w:rsidRDefault="00000000">
          <w:pPr>
            <w:pStyle w:val="TOC1"/>
            <w:rPr>
              <w:rFonts w:asciiTheme="minorHAnsi" w:hAnsiTheme="minorHAnsi"/>
              <w:noProof/>
              <w:sz w:val="22"/>
            </w:rPr>
          </w:pPr>
          <w:hyperlink w:anchor="_Toc256000001" w:history="1">
            <w:r>
              <w:rPr>
                <w:rStyle w:val="Hyperlink"/>
              </w:rPr>
              <w:t>Introduction</w:t>
            </w:r>
            <w:r>
              <w:tab/>
            </w:r>
            <w:r>
              <w:fldChar w:fldCharType="begin"/>
            </w:r>
            <w:r>
              <w:instrText xml:space="preserve"> PAGEREF _Toc256000001 \h </w:instrText>
            </w:r>
            <w:r>
              <w:fldChar w:fldCharType="separate"/>
            </w:r>
            <w:r>
              <w:t>5</w:t>
            </w:r>
            <w:r>
              <w:fldChar w:fldCharType="end"/>
            </w:r>
          </w:hyperlink>
        </w:p>
        <w:p w14:paraId="0918626A" w14:textId="77777777" w:rsidR="005E4707" w:rsidRDefault="00000000">
          <w:pPr>
            <w:pStyle w:val="TOC1"/>
            <w:rPr>
              <w:rFonts w:asciiTheme="minorHAnsi" w:hAnsiTheme="minorHAnsi"/>
              <w:noProof/>
              <w:sz w:val="22"/>
            </w:rPr>
          </w:pPr>
          <w:hyperlink w:anchor="_Toc256000002" w:history="1">
            <w:r>
              <w:rPr>
                <w:rStyle w:val="Hyperlink"/>
              </w:rPr>
              <w:t>Statement of Jurisdiction</w:t>
            </w:r>
            <w:r>
              <w:tab/>
            </w:r>
            <w:r>
              <w:fldChar w:fldCharType="begin"/>
            </w:r>
            <w:r>
              <w:instrText xml:space="preserve"> PAGEREF _Toc256000002 \h </w:instrText>
            </w:r>
            <w:r>
              <w:fldChar w:fldCharType="separate"/>
            </w:r>
            <w:r>
              <w:t>7</w:t>
            </w:r>
            <w:r>
              <w:fldChar w:fldCharType="end"/>
            </w:r>
          </w:hyperlink>
        </w:p>
        <w:p w14:paraId="07843755" w14:textId="77777777" w:rsidR="005E4707" w:rsidRDefault="00000000">
          <w:pPr>
            <w:pStyle w:val="TOC1"/>
            <w:rPr>
              <w:rFonts w:asciiTheme="minorHAnsi" w:hAnsiTheme="minorHAnsi"/>
              <w:noProof/>
              <w:sz w:val="22"/>
            </w:rPr>
          </w:pPr>
          <w:hyperlink w:anchor="_Toc256000003" w:history="1">
            <w:r>
              <w:rPr>
                <w:rStyle w:val="Hyperlink"/>
              </w:rPr>
              <w:t>Statement of Issues</w:t>
            </w:r>
            <w:r>
              <w:tab/>
            </w:r>
            <w:r>
              <w:fldChar w:fldCharType="begin"/>
            </w:r>
            <w:r>
              <w:instrText xml:space="preserve"> PAGEREF _Toc256000003 \h </w:instrText>
            </w:r>
            <w:r>
              <w:fldChar w:fldCharType="separate"/>
            </w:r>
            <w:r>
              <w:t>9</w:t>
            </w:r>
            <w:r>
              <w:fldChar w:fldCharType="end"/>
            </w:r>
          </w:hyperlink>
        </w:p>
        <w:p w14:paraId="764B5B8B" w14:textId="77777777" w:rsidR="005E4707" w:rsidRDefault="00000000">
          <w:pPr>
            <w:pStyle w:val="TOC1"/>
            <w:rPr>
              <w:rFonts w:asciiTheme="minorHAnsi" w:hAnsiTheme="minorHAnsi"/>
              <w:noProof/>
              <w:sz w:val="22"/>
            </w:rPr>
          </w:pPr>
          <w:hyperlink w:anchor="_Toc256000004" w:history="1">
            <w:r>
              <w:rPr>
                <w:rStyle w:val="Hyperlink"/>
              </w:rPr>
              <w:t>Statement of the Case</w:t>
            </w:r>
            <w:r>
              <w:tab/>
            </w:r>
            <w:r>
              <w:fldChar w:fldCharType="begin"/>
            </w:r>
            <w:r>
              <w:instrText xml:space="preserve"> PAGEREF _Toc256000004 \h </w:instrText>
            </w:r>
            <w:r>
              <w:fldChar w:fldCharType="separate"/>
            </w:r>
            <w:r>
              <w:t>10</w:t>
            </w:r>
            <w:r>
              <w:fldChar w:fldCharType="end"/>
            </w:r>
          </w:hyperlink>
        </w:p>
        <w:p w14:paraId="4403CF05" w14:textId="77777777" w:rsidR="005E4707" w:rsidRDefault="00000000">
          <w:pPr>
            <w:pStyle w:val="TOC1"/>
            <w:rPr>
              <w:rFonts w:asciiTheme="minorHAnsi" w:hAnsiTheme="minorHAnsi"/>
              <w:noProof/>
              <w:sz w:val="22"/>
            </w:rPr>
          </w:pPr>
          <w:hyperlink w:anchor="_Toc256000005" w:history="1">
            <w:r>
              <w:rPr>
                <w:rStyle w:val="Hyperlink"/>
              </w:rPr>
              <w:t>Statement of the Facts</w:t>
            </w:r>
            <w:r>
              <w:tab/>
            </w:r>
            <w:r>
              <w:fldChar w:fldCharType="begin"/>
            </w:r>
            <w:r>
              <w:instrText xml:space="preserve"> PAGEREF _Toc256000005 \h </w:instrText>
            </w:r>
            <w:r>
              <w:fldChar w:fldCharType="separate"/>
            </w:r>
            <w:r>
              <w:t>11</w:t>
            </w:r>
            <w:r>
              <w:fldChar w:fldCharType="end"/>
            </w:r>
          </w:hyperlink>
        </w:p>
        <w:p w14:paraId="6129BF77" w14:textId="77777777" w:rsidR="005E4707" w:rsidRDefault="00000000">
          <w:pPr>
            <w:pStyle w:val="TOC1"/>
            <w:rPr>
              <w:rFonts w:asciiTheme="minorHAnsi" w:hAnsiTheme="minorHAnsi"/>
              <w:noProof/>
              <w:sz w:val="22"/>
            </w:rPr>
          </w:pPr>
          <w:hyperlink w:anchor="_Toc256000006" w:history="1">
            <w:r>
              <w:rPr>
                <w:rStyle w:val="Hyperlink"/>
              </w:rPr>
              <w:t>Argument</w:t>
            </w:r>
            <w:r>
              <w:tab/>
            </w:r>
            <w:r>
              <w:fldChar w:fldCharType="begin"/>
            </w:r>
            <w:r>
              <w:instrText xml:space="preserve"> PAGEREF _Toc256000006 \h </w:instrText>
            </w:r>
            <w:r>
              <w:fldChar w:fldCharType="separate"/>
            </w:r>
            <w:r>
              <w:t>12</w:t>
            </w:r>
            <w:r>
              <w:fldChar w:fldCharType="end"/>
            </w:r>
          </w:hyperlink>
        </w:p>
        <w:p w14:paraId="19A33178" w14:textId="77777777" w:rsidR="005E4707" w:rsidRDefault="00000000">
          <w:pPr>
            <w:pStyle w:val="TOC2"/>
            <w:rPr>
              <w:rFonts w:asciiTheme="minorHAnsi" w:hAnsiTheme="minorHAnsi"/>
              <w:noProof/>
              <w:sz w:val="22"/>
            </w:rPr>
          </w:pPr>
          <w:hyperlink w:anchor="_Toc256000007" w:history="1">
            <w:r>
              <w:rPr>
                <w:rStyle w:val="Hyperlink"/>
              </w:rPr>
              <w:t>I.</w:t>
            </w:r>
            <w:r>
              <w:rPr>
                <w:rFonts w:asciiTheme="minorHAnsi" w:hAnsiTheme="minorHAnsi"/>
                <w:noProof/>
                <w:sz w:val="22"/>
              </w:rPr>
              <w:tab/>
            </w:r>
            <w:r>
              <w:rPr>
                <w:rStyle w:val="Hyperlink"/>
              </w:rPr>
              <w:t>Global Media cannot show substantial similarity after filtering unprotectable ideas and facts</w:t>
            </w:r>
            <w:r>
              <w:tab/>
            </w:r>
            <w:r>
              <w:fldChar w:fldCharType="begin"/>
            </w:r>
            <w:r>
              <w:instrText xml:space="preserve"> PAGEREF _Toc256000007 \h </w:instrText>
            </w:r>
            <w:r>
              <w:fldChar w:fldCharType="separate"/>
            </w:r>
            <w:r>
              <w:t>12</w:t>
            </w:r>
            <w:r>
              <w:fldChar w:fldCharType="end"/>
            </w:r>
          </w:hyperlink>
        </w:p>
        <w:p w14:paraId="24AD7806" w14:textId="77777777" w:rsidR="005E4707" w:rsidRDefault="00000000">
          <w:pPr>
            <w:pStyle w:val="TOC2"/>
            <w:rPr>
              <w:rFonts w:asciiTheme="minorHAnsi" w:hAnsiTheme="minorHAnsi"/>
              <w:noProof/>
              <w:sz w:val="22"/>
            </w:rPr>
          </w:pPr>
          <w:hyperlink w:anchor="_Toc256000008" w:history="1">
            <w:r>
              <w:rPr>
                <w:rStyle w:val="Hyperlink"/>
              </w:rPr>
              <w:t>II.</w:t>
            </w:r>
            <w:r>
              <w:rPr>
                <w:rFonts w:asciiTheme="minorHAnsi" w:hAnsiTheme="minorHAnsi"/>
                <w:noProof/>
                <w:sz w:val="22"/>
              </w:rPr>
              <w:tab/>
            </w:r>
            <w:r>
              <w:rPr>
                <w:rStyle w:val="Hyperlink"/>
              </w:rPr>
              <w:t>Fair use likely applies to non-advertising blog excerpts with criticism</w:t>
            </w:r>
            <w:r>
              <w:tab/>
            </w:r>
            <w:r>
              <w:fldChar w:fldCharType="begin"/>
            </w:r>
            <w:r>
              <w:instrText xml:space="preserve"> PAGEREF _Toc256000008 \h </w:instrText>
            </w:r>
            <w:r>
              <w:fldChar w:fldCharType="separate"/>
            </w:r>
            <w:r>
              <w:t>15</w:t>
            </w:r>
            <w:r>
              <w:fldChar w:fldCharType="end"/>
            </w:r>
          </w:hyperlink>
        </w:p>
        <w:p w14:paraId="2DE25732" w14:textId="77777777" w:rsidR="005E4707" w:rsidRDefault="00000000">
          <w:pPr>
            <w:pStyle w:val="TOC2"/>
            <w:rPr>
              <w:rFonts w:asciiTheme="minorHAnsi" w:hAnsiTheme="minorHAnsi"/>
              <w:noProof/>
              <w:sz w:val="22"/>
            </w:rPr>
          </w:pPr>
          <w:hyperlink w:anchor="_Toc256000009" w:history="1">
            <w:r>
              <w:rPr>
                <w:rStyle w:val="Hyperlink"/>
              </w:rPr>
              <w:t>III.</w:t>
            </w:r>
            <w:r>
              <w:rPr>
                <w:rFonts w:asciiTheme="minorHAnsi" w:hAnsiTheme="minorHAnsi"/>
                <w:noProof/>
                <w:sz w:val="22"/>
              </w:rPr>
              <w:tab/>
            </w:r>
            <w:r>
              <w:rPr>
                <w:rStyle w:val="Hyperlink"/>
              </w:rPr>
              <w:t>The Blog Post did not publish a false factual statement injuring the Magazine</w:t>
            </w:r>
            <w:r>
              <w:tab/>
            </w:r>
            <w:r>
              <w:fldChar w:fldCharType="begin"/>
            </w:r>
            <w:r>
              <w:instrText xml:space="preserve"> PAGEREF _Toc256000009 \h </w:instrText>
            </w:r>
            <w:r>
              <w:fldChar w:fldCharType="separate"/>
            </w:r>
            <w:r>
              <w:t>18</w:t>
            </w:r>
            <w:r>
              <w:fldChar w:fldCharType="end"/>
            </w:r>
          </w:hyperlink>
        </w:p>
        <w:p w14:paraId="5F37EAE9" w14:textId="77777777" w:rsidR="005E4707" w:rsidRDefault="00000000">
          <w:pPr>
            <w:pStyle w:val="TOC2"/>
            <w:rPr>
              <w:rFonts w:asciiTheme="minorHAnsi" w:hAnsiTheme="minorHAnsi"/>
              <w:noProof/>
              <w:sz w:val="22"/>
            </w:rPr>
          </w:pPr>
          <w:hyperlink w:anchor="_Toc256000010" w:history="1">
            <w:r>
              <w:rPr>
                <w:rStyle w:val="Hyperlink"/>
              </w:rPr>
              <w:t>IV.</w:t>
            </w:r>
            <w:r>
              <w:rPr>
                <w:rFonts w:asciiTheme="minorHAnsi" w:hAnsiTheme="minorHAnsi"/>
                <w:noProof/>
                <w:sz w:val="22"/>
              </w:rPr>
              <w:tab/>
            </w:r>
            <w:r>
              <w:rPr>
                <w:rStyle w:val="Hyperlink"/>
              </w:rPr>
              <w:t>If the critique is per quod, Global Media must prove special damages</w:t>
            </w:r>
            <w:r>
              <w:tab/>
            </w:r>
            <w:r>
              <w:fldChar w:fldCharType="begin"/>
            </w:r>
            <w:r>
              <w:instrText xml:space="preserve"> PAGEREF _Toc256000010 \h </w:instrText>
            </w:r>
            <w:r>
              <w:fldChar w:fldCharType="separate"/>
            </w:r>
            <w:r>
              <w:t>20</w:t>
            </w:r>
            <w:r>
              <w:fldChar w:fldCharType="end"/>
            </w:r>
          </w:hyperlink>
        </w:p>
        <w:p w14:paraId="7F3BCD00" w14:textId="77777777" w:rsidR="005E4707" w:rsidRDefault="00000000">
          <w:pPr>
            <w:pStyle w:val="TOC1"/>
            <w:rPr>
              <w:rFonts w:asciiTheme="minorHAnsi" w:hAnsiTheme="minorHAnsi"/>
              <w:noProof/>
              <w:sz w:val="22"/>
            </w:rPr>
          </w:pPr>
          <w:hyperlink w:anchor="_Toc256000011" w:history="1">
            <w:r>
              <w:rPr>
                <w:rStyle w:val="Hyperlink"/>
              </w:rPr>
              <w:t>Conclusion</w:t>
            </w:r>
            <w:r>
              <w:tab/>
            </w:r>
            <w:r>
              <w:fldChar w:fldCharType="begin"/>
            </w:r>
            <w:r>
              <w:instrText xml:space="preserve"> PAGEREF _Toc256000011 \h </w:instrText>
            </w:r>
            <w:r>
              <w:fldChar w:fldCharType="separate"/>
            </w:r>
            <w:r>
              <w:t>23</w:t>
            </w:r>
            <w:r>
              <w:fldChar w:fldCharType="end"/>
            </w:r>
          </w:hyperlink>
        </w:p>
        <w:p w14:paraId="34346978" w14:textId="77777777" w:rsidR="005E4707" w:rsidRDefault="00000000">
          <w:pPr>
            <w:pStyle w:val="TOC1"/>
            <w:rPr>
              <w:rFonts w:asciiTheme="minorHAnsi" w:hAnsiTheme="minorHAnsi"/>
              <w:noProof/>
              <w:sz w:val="22"/>
            </w:rPr>
          </w:pPr>
          <w:hyperlink w:anchor="_Toc256000012" w:history="1">
            <w:r>
              <w:rPr>
                <w:rStyle w:val="Hyperlink"/>
              </w:rPr>
              <w:t>Certificate of Compliance</w:t>
            </w:r>
            <w:r>
              <w:tab/>
            </w:r>
            <w:r>
              <w:fldChar w:fldCharType="begin"/>
            </w:r>
            <w:r>
              <w:instrText xml:space="preserve"> PAGEREF _Toc256000012 \h </w:instrText>
            </w:r>
            <w:r>
              <w:fldChar w:fldCharType="separate"/>
            </w:r>
            <w:r>
              <w:t>24</w:t>
            </w:r>
            <w:r>
              <w:fldChar w:fldCharType="end"/>
            </w:r>
          </w:hyperlink>
        </w:p>
        <w:p w14:paraId="59BEECCB" w14:textId="77777777" w:rsidR="005E4707" w:rsidRDefault="00000000">
          <w:pPr>
            <w:pStyle w:val="TOC1"/>
            <w:rPr>
              <w:rFonts w:asciiTheme="minorHAnsi" w:hAnsiTheme="minorHAnsi"/>
              <w:noProof/>
              <w:sz w:val="22"/>
            </w:rPr>
          </w:pPr>
          <w:hyperlink w:anchor="_Toc256000013" w:history="1">
            <w:r>
              <w:rPr>
                <w:rStyle w:val="Hyperlink"/>
              </w:rPr>
              <w:t>Certificate of Service</w:t>
            </w:r>
            <w:r>
              <w:tab/>
            </w:r>
            <w:r>
              <w:fldChar w:fldCharType="begin"/>
            </w:r>
            <w:r>
              <w:instrText xml:space="preserve"> PAGEREF _Toc256000013 \h </w:instrText>
            </w:r>
            <w:r>
              <w:fldChar w:fldCharType="separate"/>
            </w:r>
            <w:r>
              <w:t>25</w:t>
            </w:r>
            <w:r>
              <w:fldChar w:fldCharType="end"/>
            </w:r>
          </w:hyperlink>
        </w:p>
        <w:p w14:paraId="0C8F1D89" w14:textId="77777777" w:rsidR="005E4707" w:rsidRDefault="00000000">
          <w:pPr>
            <w:pStyle w:val="TOC1"/>
            <w:tabs>
              <w:tab w:val="clear" w:pos="9350"/>
              <w:tab w:val="right" w:leader="dot" w:pos="9360"/>
            </w:tabs>
          </w:pPr>
          <w:r>
            <w:rPr>
              <w:rStyle w:val="IndexLink"/>
            </w:rPr>
            <w:fldChar w:fldCharType="end"/>
          </w:r>
        </w:p>
      </w:sdtContent>
    </w:sdt>
    <w:p w14:paraId="696CD8EC" w14:textId="77777777" w:rsidR="005E4707" w:rsidRDefault="00000000">
      <w:r>
        <w:br w:type="page"/>
      </w:r>
    </w:p>
    <w:p w14:paraId="0FCAD2DE" w14:textId="77777777" w:rsidR="005E4707" w:rsidRDefault="00000000">
      <w:pPr>
        <w:pStyle w:val="Heading1"/>
      </w:pPr>
      <w:bookmarkStart w:id="0" w:name="_Toc256000000"/>
      <w:r>
        <w:lastRenderedPageBreak/>
        <w:t>Table of Authorities</w:t>
      </w:r>
      <w:bookmarkEnd w:id="0"/>
    </w:p>
    <w:sdt>
      <w:sdtPr>
        <w:rPr>
          <w:rFonts w:ascii="Constantia" w:eastAsiaTheme="minorHAnsi" w:hAnsi="Constantia" w:cstheme="minorBidi"/>
          <w:b w:val="0"/>
          <w:bCs w:val="0"/>
        </w:rPr>
        <w:id w:val="1802570259"/>
      </w:sdtPr>
      <w:sdtContent>
        <w:p w14:paraId="73084F29" w14:textId="77777777" w:rsidR="005E4707" w:rsidRDefault="00000000">
          <w:pPr>
            <w:pStyle w:val="TOAHeading"/>
            <w:tabs>
              <w:tab w:val="right" w:leader="dot" w:pos="9350"/>
            </w:tabs>
          </w:pPr>
          <w:r>
            <w:fldChar w:fldCharType="begin"/>
          </w:r>
          <w:r>
            <w:instrText>TOA \h \c "1" \f</w:instrText>
          </w:r>
          <w:r>
            <w:fldChar w:fldCharType="separate"/>
          </w:r>
          <w:r>
            <w:t>Cases</w:t>
          </w:r>
        </w:p>
        <w:p w14:paraId="20D1C0CC" w14:textId="77777777" w:rsidR="005E4707" w:rsidRDefault="00000000">
          <w:pPr>
            <w:pStyle w:val="TableofAuthorities"/>
          </w:pPr>
          <w:r>
            <w:t>Andy Warhol Foundation for Visual Arts, Inc. v. Goldsmith,     598 U.S. 508 (2023)</w:t>
          </w:r>
          <w:r>
            <w:tab/>
            <w:t>15, 16, 17</w:t>
          </w:r>
        </w:p>
        <w:p w14:paraId="29DE10FA" w14:textId="77777777" w:rsidR="005E4707" w:rsidRDefault="00000000">
          <w:pPr>
            <w:pStyle w:val="TableofAuthorities"/>
          </w:pPr>
          <w:r>
            <w:t>Campbell v. Acuff-Rose Music, Inc.,     510 U.S. 569 (1994)</w:t>
          </w:r>
          <w:r>
            <w:tab/>
            <w:t>14, 15, 16, 17, 18</w:t>
          </w:r>
        </w:p>
        <w:p w14:paraId="473E0982" w14:textId="77777777" w:rsidR="005E4707" w:rsidRDefault="00000000">
          <w:pPr>
            <w:pStyle w:val="TableofAuthorities"/>
          </w:pPr>
          <w:r>
            <w:t>Harper &amp; Row, Publishers, Inc. v. Nation Enterprises, 471 U.S. 539 (1985)</w:t>
          </w:r>
          <w:r>
            <w:tab/>
            <w:t>13, 16, 18</w:t>
          </w:r>
        </w:p>
        <w:p w14:paraId="31FF8D07" w14:textId="77777777" w:rsidR="005E4707" w:rsidRDefault="00000000">
          <w:pPr>
            <w:pStyle w:val="TableofAuthorities"/>
          </w:pPr>
          <w:r>
            <w:t>Hustler Magazine, Inc. v. Moral Majority, Inc.,     796 F.2d 1148 (9th Cir. 1986)</w:t>
          </w:r>
          <w:r>
            <w:tab/>
            <w:t>17</w:t>
          </w:r>
        </w:p>
        <w:p w14:paraId="33D2265A" w14:textId="77777777" w:rsidR="005E4707" w:rsidRDefault="00000000">
          <w:pPr>
            <w:pStyle w:val="TableofAuthorities"/>
          </w:pPr>
          <w:r>
            <w:t>Milkovich v. Lorain Journal Co.,     497 U.S. 1 (1990)</w:t>
          </w:r>
          <w:r>
            <w:tab/>
            <w:t>18, 19</w:t>
          </w:r>
        </w:p>
        <w:p w14:paraId="20161840" w14:textId="77777777" w:rsidR="005E4707" w:rsidRDefault="00000000">
          <w:pPr>
            <w:pStyle w:val="TableofAuthorities"/>
          </w:pPr>
          <w:r>
            <w:t>Noelia Monge v. Maya Magazines, Inc.,     688 F.3d 1164 (9th Cir. 2012)</w:t>
          </w:r>
          <w:r>
            <w:tab/>
            <w:t>12, 13</w:t>
          </w:r>
        </w:p>
        <w:p w14:paraId="0AAD02A8" w14:textId="77777777" w:rsidR="005E4707" w:rsidRDefault="00000000">
          <w:r>
            <w:fldChar w:fldCharType="end"/>
          </w:r>
        </w:p>
        <w:p w14:paraId="2A4B8B60" w14:textId="77777777" w:rsidR="005E4707" w:rsidRDefault="00000000">
          <w:pPr>
            <w:pStyle w:val="TOAHeading"/>
            <w:tabs>
              <w:tab w:val="right" w:leader="dot" w:pos="9350"/>
            </w:tabs>
          </w:pPr>
          <w:r>
            <w:fldChar w:fldCharType="begin"/>
          </w:r>
          <w:r>
            <w:instrText>TOA \h \c "2" \f</w:instrText>
          </w:r>
          <w:r>
            <w:fldChar w:fldCharType="separate"/>
          </w:r>
          <w:r>
            <w:t>Statutes</w:t>
          </w:r>
        </w:p>
        <w:p w14:paraId="2F2E9906" w14:textId="77777777" w:rsidR="005E4707" w:rsidRDefault="00000000">
          <w:pPr>
            <w:pStyle w:val="TableofAuthorities"/>
          </w:pPr>
          <w:r>
            <w:t>17 U.S.C. § 106 - Exclusive rights in copyrighted works</w:t>
          </w:r>
          <w:r>
            <w:tab/>
            <w:t>12, 15</w:t>
          </w:r>
        </w:p>
        <w:p w14:paraId="29B14908" w14:textId="77777777" w:rsidR="005E4707" w:rsidRDefault="00000000">
          <w:pPr>
            <w:pStyle w:val="TableofAuthorities"/>
          </w:pPr>
          <w:r>
            <w:t>17 U.S.C. § 501 - Infringement of copyright</w:t>
          </w:r>
          <w:r>
            <w:tab/>
            <w:t>12, 15</w:t>
          </w:r>
        </w:p>
        <w:p w14:paraId="114B872F" w14:textId="77777777" w:rsidR="005E4707" w:rsidRDefault="00000000">
          <w:pPr>
            <w:pStyle w:val="TableofAuthorities"/>
          </w:pPr>
          <w:r>
            <w:t>Cal. Civ. Code § 44</w:t>
          </w:r>
          <w:r>
            <w:tab/>
            <w:t>18</w:t>
          </w:r>
        </w:p>
        <w:p w14:paraId="198DD04C" w14:textId="77777777" w:rsidR="005E4707" w:rsidRDefault="00000000">
          <w:pPr>
            <w:pStyle w:val="TableofAuthorities"/>
          </w:pPr>
          <w:r>
            <w:t>Cal. Civ. Code § 45</w:t>
          </w:r>
          <w:r>
            <w:tab/>
            <w:t>18, 19, 20</w:t>
          </w:r>
        </w:p>
        <w:p w14:paraId="707CAC41" w14:textId="77777777" w:rsidR="005E4707" w:rsidRDefault="00000000">
          <w:pPr>
            <w:pStyle w:val="TableofAuthorities"/>
          </w:pPr>
          <w:r>
            <w:t>Cal. Civ. Code § 45a</w:t>
          </w:r>
          <w:r>
            <w:tab/>
            <w:t>20, 21, 22</w:t>
          </w:r>
        </w:p>
        <w:p w14:paraId="79E91FBD" w14:textId="77777777" w:rsidR="005E4707" w:rsidRDefault="00000000">
          <w:r>
            <w:fldChar w:fldCharType="end"/>
          </w:r>
        </w:p>
      </w:sdtContent>
    </w:sdt>
    <w:p w14:paraId="7F7385AD" w14:textId="77777777" w:rsidR="005E4707" w:rsidRDefault="00000000">
      <w:bookmarkStart w:id="1" w:name="table-of-authorities"/>
      <w:bookmarkEnd w:id="1"/>
      <w:r>
        <w:br w:type="page"/>
      </w:r>
    </w:p>
    <w:p w14:paraId="0DDC2CF8" w14:textId="77777777" w:rsidR="005E4707" w:rsidRDefault="00000000">
      <w:pPr>
        <w:pStyle w:val="Heading1"/>
      </w:pPr>
      <w:bookmarkStart w:id="2" w:name="_Toc256000001"/>
      <w:r>
        <w:lastRenderedPageBreak/>
        <w:t>Introduction</w:t>
      </w:r>
      <w:bookmarkEnd w:id="2"/>
    </w:p>
    <w:p w14:paraId="52B5E7F4" w14:textId="77777777" w:rsidR="005E4707" w:rsidRDefault="00000000">
      <w:pPr>
        <w:pStyle w:val="FirstParagraph"/>
      </w:pPr>
      <w:r>
        <w:t>Plaintiff GLOBAL MEDIA (“Global Media”) publishes a magazine containing original editorial content, including the magazine article at issue (the “Magazine Article”). Defendant MS. SMITH (“Ms. Smith”) operates an online blog (the “Blog”), which has no advertisers. This case arises from Ms. Smith’s publication of a blog post (the “Blog Post”) that quoted portions of the Magazine Article and then criticized the Magazine Article in harsh terms.</w:t>
      </w:r>
    </w:p>
    <w:p w14:paraId="27906EE2" w14:textId="77777777" w:rsidR="005E4707" w:rsidRDefault="00000000">
      <w:pPr>
        <w:pStyle w:val="BodyText"/>
      </w:pPr>
      <w:r>
        <w:t>Global Media alleges that the Blog Post reproduced verbatim excerpts that Global Media characterizes as the “heart” of the Magazine Article, and that the Blog Post contained little content beyond the quoted material. After the reproduced excerpts, Ms. Smith added criticism that was short relative to the amount of quoted material. Global Media further contends the Blog Post harmed the magazine’s credibility and cost the magazine business, while Ms. Smith allegedly benefited through increased voluntary contributions to the Blog following publication of the Blog Post.</w:t>
      </w:r>
    </w:p>
    <w:p w14:paraId="6AFA9583" w14:textId="77777777" w:rsidR="005E4707" w:rsidRDefault="00000000">
      <w:pPr>
        <w:pStyle w:val="BodyText"/>
      </w:pPr>
      <w:r>
        <w:t xml:space="preserve">The briefing presents interrelated questions under federal copyright law and California defamation law. On the copyright side, the issues include whether Global Media can show actionable copying—given the Ninth Circuit’s substantial-similarity framework and the principle that copyright does not protect facts or ideas, see 17 U.S.C. § 102(b); </w:t>
      </w:r>
      <w:r>
        <w:rPr>
          <w:i/>
          <w:iCs/>
        </w:rPr>
        <w:t xml:space="preserve">Feist </w:t>
      </w:r>
      <w:proofErr w:type="spellStart"/>
      <w:r>
        <w:rPr>
          <w:i/>
          <w:iCs/>
        </w:rPr>
        <w:t>Publ’ns</w:t>
      </w:r>
      <w:proofErr w:type="spellEnd"/>
      <w:r>
        <w:rPr>
          <w:i/>
          <w:iCs/>
        </w:rPr>
        <w:t>, Inc.</w:t>
      </w:r>
      <w:r>
        <w:t xml:space="preserve"> v. </w:t>
      </w:r>
      <w:r>
        <w:rPr>
          <w:i/>
          <w:iCs/>
        </w:rPr>
        <w:t>Rural Tel. Serv. Co.</w:t>
      </w:r>
      <w:r>
        <w:t xml:space="preserve">, 499 U.S. 340 (1991); </w:t>
      </w:r>
      <w:r>
        <w:rPr>
          <w:i/>
          <w:iCs/>
        </w:rPr>
        <w:t>Satava</w:t>
      </w:r>
      <w:r>
        <w:t xml:space="preserve"> v. </w:t>
      </w:r>
      <w:r>
        <w:rPr>
          <w:i/>
          <w:iCs/>
        </w:rPr>
        <w:t>Lowry</w:t>
      </w:r>
      <w:r>
        <w:t xml:space="preserve">, 323 F.3d 805 (9th Cir. 2003); </w:t>
      </w:r>
      <w:r>
        <w:rPr>
          <w:i/>
          <w:iCs/>
        </w:rPr>
        <w:t>Mattel, Inc.</w:t>
      </w:r>
      <w:r>
        <w:t xml:space="preserve"> v. </w:t>
      </w:r>
      <w:r>
        <w:rPr>
          <w:i/>
          <w:iCs/>
        </w:rPr>
        <w:t>MGA Ent., Inc.</w:t>
      </w:r>
      <w:r>
        <w:t xml:space="preserve">, 616 F.3d 904 (9th Cir. 2010); </w:t>
      </w:r>
      <w:r>
        <w:rPr>
          <w:i/>
          <w:iCs/>
        </w:rPr>
        <w:t xml:space="preserve">L.A. </w:t>
      </w:r>
      <w:proofErr w:type="spellStart"/>
      <w:r>
        <w:rPr>
          <w:i/>
          <w:iCs/>
        </w:rPr>
        <w:t>Printex</w:t>
      </w:r>
      <w:proofErr w:type="spellEnd"/>
      <w:r>
        <w:rPr>
          <w:i/>
          <w:iCs/>
        </w:rPr>
        <w:t xml:space="preserve"> Indus., Inc.</w:t>
      </w:r>
      <w:r>
        <w:t xml:space="preserve"> v. </w:t>
      </w:r>
      <w:r>
        <w:rPr>
          <w:i/>
          <w:iCs/>
        </w:rPr>
        <w:t>Aeropostale, Inc.</w:t>
      </w:r>
      <w:r>
        <w:t xml:space="preserve">, 676 F.3d 841 (9th Cir. 2012)—and whether Ms. Smith’s use of excerpts for criticism on a non-advertising personal blog is protected </w:t>
      </w:r>
      <w:r>
        <w:lastRenderedPageBreak/>
        <w:t xml:space="preserve">fair use under 17 U.S.C. § 107, see </w:t>
      </w:r>
      <w:r>
        <w:rPr>
          <w:i/>
          <w:iCs/>
        </w:rPr>
        <w:t>Campbell</w:t>
      </w:r>
      <w:r>
        <w:t xml:space="preserve"> v. </w:t>
      </w:r>
      <w:r>
        <w:rPr>
          <w:i/>
          <w:iCs/>
        </w:rPr>
        <w:t>Acuff-Rose Music, Inc.</w:t>
      </w:r>
      <w:r>
        <w:t xml:space="preserve">, 510 U.S. 569 (1994); </w:t>
      </w:r>
      <w:r>
        <w:rPr>
          <w:i/>
          <w:iCs/>
        </w:rPr>
        <w:t>Harper &amp; Row, Publishers, Inc.</w:t>
      </w:r>
      <w:r>
        <w:t xml:space="preserve"> v. </w:t>
      </w:r>
      <w:r>
        <w:rPr>
          <w:i/>
          <w:iCs/>
        </w:rPr>
        <w:t>Nation Enters.</w:t>
      </w:r>
      <w:r>
        <w:t xml:space="preserve">, 471 U.S. 539 (1985); </w:t>
      </w:r>
      <w:r>
        <w:rPr>
          <w:i/>
          <w:iCs/>
        </w:rPr>
        <w:t>Sony Corp. of Am.</w:t>
      </w:r>
      <w:r>
        <w:t xml:space="preserve"> v. </w:t>
      </w:r>
      <w:r>
        <w:rPr>
          <w:i/>
          <w:iCs/>
        </w:rPr>
        <w:t>Universal City Studios, Inc.</w:t>
      </w:r>
      <w:r>
        <w:t xml:space="preserve">, 464 U.S. 417 (1984); </w:t>
      </w:r>
      <w:r>
        <w:rPr>
          <w:i/>
          <w:iCs/>
        </w:rPr>
        <w:t>Seltzer</w:t>
      </w:r>
      <w:r>
        <w:t xml:space="preserve"> v. </w:t>
      </w:r>
      <w:r>
        <w:rPr>
          <w:i/>
          <w:iCs/>
        </w:rPr>
        <w:t>Green Day, Inc.</w:t>
      </w:r>
      <w:r>
        <w:t>, 725 F.3d 1170 (9th Cir. 2013).</w:t>
      </w:r>
    </w:p>
    <w:p w14:paraId="2A46B262" w14:textId="77777777" w:rsidR="005E4707" w:rsidRDefault="00000000">
      <w:pPr>
        <w:pStyle w:val="BodyText"/>
      </w:pPr>
      <w:r>
        <w:t xml:space="preserve">On the defamation side, Global Media’s libel theory depends on whether Ms. Smith’s caustic critique constitutes a provably false, unprivileged assertion of fact tending to injure Global Media in its business, as opposed to nonactionable opinion, see Cal. Civ. Code § 45; </w:t>
      </w:r>
      <w:r>
        <w:rPr>
          <w:i/>
          <w:iCs/>
        </w:rPr>
        <w:t>Milkovich</w:t>
      </w:r>
      <w:r>
        <w:t xml:space="preserve"> v. </w:t>
      </w:r>
      <w:r>
        <w:rPr>
          <w:i/>
          <w:iCs/>
        </w:rPr>
        <w:t>Lorain J. Co.</w:t>
      </w:r>
      <w:r>
        <w:t xml:space="preserve">, 497 U.S. 1 (1990); </w:t>
      </w:r>
      <w:r>
        <w:rPr>
          <w:i/>
          <w:iCs/>
        </w:rPr>
        <w:t>Baker</w:t>
      </w:r>
      <w:r>
        <w:t xml:space="preserve"> v. </w:t>
      </w:r>
      <w:r>
        <w:rPr>
          <w:i/>
          <w:iCs/>
        </w:rPr>
        <w:t>L.A. Herald Exam’r</w:t>
      </w:r>
      <w:r>
        <w:t xml:space="preserve">, 42 Cal. 3d 254 (1986); </w:t>
      </w:r>
      <w:proofErr w:type="spellStart"/>
      <w:r>
        <w:rPr>
          <w:i/>
          <w:iCs/>
        </w:rPr>
        <w:t>Taus</w:t>
      </w:r>
      <w:proofErr w:type="spellEnd"/>
      <w:r>
        <w:t xml:space="preserve"> v. </w:t>
      </w:r>
      <w:r>
        <w:rPr>
          <w:i/>
          <w:iCs/>
        </w:rPr>
        <w:t>Loftus</w:t>
      </w:r>
      <w:r>
        <w:t xml:space="preserve">, 40 Cal. 4th 683 (2007). If any allegedly defamatory meaning is not apparent on the face of the Blog Post and instead depends on extrinsic facts, Global Media must satisfy the special-damages requirement applicable to libel per </w:t>
      </w:r>
      <w:proofErr w:type="spellStart"/>
      <w:r>
        <w:t>quod</w:t>
      </w:r>
      <w:proofErr w:type="spellEnd"/>
      <w:r>
        <w:t xml:space="preserve">. Cal. Civ. Code § 45a; </w:t>
      </w:r>
      <w:r>
        <w:rPr>
          <w:i/>
          <w:iCs/>
        </w:rPr>
        <w:t>Slaughter</w:t>
      </w:r>
      <w:r>
        <w:t xml:space="preserve"> v. </w:t>
      </w:r>
      <w:r>
        <w:rPr>
          <w:i/>
          <w:iCs/>
        </w:rPr>
        <w:t>Friedman</w:t>
      </w:r>
      <w:r>
        <w:t xml:space="preserve">, 32 Cal. 3d 149 (1982); </w:t>
      </w:r>
      <w:r>
        <w:rPr>
          <w:i/>
          <w:iCs/>
        </w:rPr>
        <w:t>Smith</w:t>
      </w:r>
      <w:r>
        <w:t xml:space="preserve"> v. </w:t>
      </w:r>
      <w:r>
        <w:rPr>
          <w:i/>
          <w:iCs/>
        </w:rPr>
        <w:t>Maldonado</w:t>
      </w:r>
      <w:r>
        <w:t xml:space="preserve">, 72 Cal. App. 4th 637 (1999); </w:t>
      </w:r>
      <w:r>
        <w:rPr>
          <w:i/>
          <w:iCs/>
        </w:rPr>
        <w:t>Erlich</w:t>
      </w:r>
      <w:r>
        <w:t xml:space="preserve"> v. </w:t>
      </w:r>
      <w:r>
        <w:rPr>
          <w:i/>
          <w:iCs/>
        </w:rPr>
        <w:t>Etner</w:t>
      </w:r>
      <w:r>
        <w:t>, 224 Cal. App. 2d 69 (1964).</w:t>
      </w:r>
    </w:p>
    <w:p w14:paraId="753633BD" w14:textId="77777777" w:rsidR="005E4707" w:rsidRDefault="00000000">
      <w:bookmarkStart w:id="3" w:name="introduction"/>
      <w:bookmarkEnd w:id="3"/>
      <w:r>
        <w:br w:type="page"/>
      </w:r>
    </w:p>
    <w:p w14:paraId="3B6BC735" w14:textId="77777777" w:rsidR="005E4707" w:rsidRDefault="00000000">
      <w:pPr>
        <w:pStyle w:val="Heading1"/>
      </w:pPr>
      <w:bookmarkStart w:id="4" w:name="_Toc256000002"/>
      <w:r>
        <w:lastRenderedPageBreak/>
        <w:t>Statement of Jurisdiction</w:t>
      </w:r>
      <w:bookmarkEnd w:id="4"/>
    </w:p>
    <w:p w14:paraId="30C6054F" w14:textId="77777777" w:rsidR="005E4707" w:rsidRDefault="00000000">
      <w:pPr>
        <w:pStyle w:val="FirstParagraph"/>
      </w:pPr>
      <w:r>
        <w:t>This Court has subject-matter jurisdiction over Global Media’s state-law claims arising from Ms. Smith’s publication of the Blog Post because California superior courts are courts of general jurisdiction empowered to hear “all causes” except those given by statute to other courts. Cal. Const. art. VI, § 10. The claims at issue sound in California tort law governing reputational injury caused by publication, including libel/defamation as defined by statute. Cal. Civ. Code §§ 44–45a.</w:t>
      </w:r>
    </w:p>
    <w:p w14:paraId="37C6855C" w14:textId="77777777" w:rsidR="005E4707" w:rsidRDefault="00000000">
      <w:pPr>
        <w:pStyle w:val="BodyText"/>
      </w:pPr>
      <w:r>
        <w:t>To the extent the operative claims depend on whether the Blog Post conveyed defamatory meaning and caused reputational or business harm to Global Media’s magazine, those issues fall squarely within California law defining and regulating defamatory publications. Cal. Civ. Code §§ 44 (defamation), 45 (libel), 45a (libel not defamatory on its face). Resolution of these claims does not require this Court to adjudicate exclusive rights under federal copyright law; rather, the gravamen concerns the alleged harm from Ms. Smith’s publication and criticism and the alleged resulting injury to credibility and business interests under California tort standards. Cal. Const. art. VI, § 10.</w:t>
      </w:r>
    </w:p>
    <w:p w14:paraId="55F6F635" w14:textId="77777777" w:rsidR="005E4707" w:rsidRDefault="00000000">
      <w:pPr>
        <w:pStyle w:val="BodyText"/>
      </w:pPr>
      <w:r>
        <w:t xml:space="preserve">This Court also has personal jurisdiction over Ms. Smith because she is a California resident who operated the Blog and made the challenged publication from within California, creating suit-related contacts with the forum. California’s long-arm statute authorizes the exercise of jurisdiction “on any basis not inconsistent with the Constitution of this state or of the United States.” Cal. Civ. Proc. Code § 410.10. Under California’s jurisdictional framework, jurisdiction is proper where the defendant’s forum </w:t>
      </w:r>
      <w:r>
        <w:lastRenderedPageBreak/>
        <w:t xml:space="preserve">contacts satisfy due process, including where the defendant purposefully engaged in forum-directed conduct giving rise to the claims. </w:t>
      </w:r>
      <w:r>
        <w:rPr>
          <w:i/>
          <w:iCs/>
        </w:rPr>
        <w:t>Vons Cos.</w:t>
      </w:r>
      <w:r>
        <w:t xml:space="preserve"> v. </w:t>
      </w:r>
      <w:proofErr w:type="spellStart"/>
      <w:r>
        <w:rPr>
          <w:i/>
          <w:iCs/>
        </w:rPr>
        <w:t>Seabest</w:t>
      </w:r>
      <w:proofErr w:type="spellEnd"/>
      <w:r>
        <w:rPr>
          <w:i/>
          <w:iCs/>
        </w:rPr>
        <w:t xml:space="preserve"> Foods, Inc.</w:t>
      </w:r>
      <w:r>
        <w:t>, 14 Cal. 4th 434 (1996).</w:t>
      </w:r>
    </w:p>
    <w:p w14:paraId="7E503CA5" w14:textId="77777777" w:rsidR="005E4707" w:rsidRDefault="00000000">
      <w:pPr>
        <w:pStyle w:val="BodyText"/>
      </w:pPr>
      <w:r>
        <w:t xml:space="preserve">Personal jurisdiction is independently proper because the alleged tortious publication was directed at, and foreseeably caused effects in, California, where Global Media resides and where the magazine’s reputation and business were allegedly harmed. Cal. Civ. Proc. Code § 410.10; </w:t>
      </w:r>
      <w:r>
        <w:rPr>
          <w:i/>
          <w:iCs/>
        </w:rPr>
        <w:t>Pavlovich</w:t>
      </w:r>
      <w:r>
        <w:t xml:space="preserve"> v. </w:t>
      </w:r>
      <w:r>
        <w:rPr>
          <w:i/>
          <w:iCs/>
        </w:rPr>
        <w:t>Superior Court</w:t>
      </w:r>
      <w:r>
        <w:t>, 29 Cal. 4th 262 (2002). On the pleaded facts, Ms. Smith’s in-state conduct and the in-state effects of the publication provide constitutionally sufficient minimum contacts to support jurisdiction. Cal. Civ. Proc. Code § 410.10.</w:t>
      </w:r>
    </w:p>
    <w:p w14:paraId="67338DA2" w14:textId="77777777" w:rsidR="005E4707" w:rsidRDefault="00000000">
      <w:pPr>
        <w:pStyle w:val="BodyText"/>
      </w:pPr>
      <w:r>
        <w:t>Venue is proper in this Court because Ms. Smith is a resident of California and, in an action not otherwise specifically provided for, venue lies in the county where the defendant resides at the commencement of the action. Cal. Civ. Proc. Code § 395(a). Venue is also proper because the alleged wrongful publication and resulting injury to Global Media’s reputation and business were suffered in California, making this forum a proper location for trial of the alleged tort. Cal. Civ. Proc. Code § 395(a).</w:t>
      </w:r>
    </w:p>
    <w:p w14:paraId="3FCD7E42" w14:textId="77777777" w:rsidR="005E4707" w:rsidRDefault="00000000">
      <w:pPr>
        <w:pStyle w:val="BodyText"/>
      </w:pPr>
      <w:r>
        <w:t xml:space="preserve">Accordingly, because this Court is a court of general jurisdiction empowered to adjudicate the pleaded California defamation-based claims, Cal. Const. art. VI, § 10; Cal. Civ. Code §§ 44–45a, and because it may constitutionally exercise personal jurisdiction over Ms. Smith under California’s long-arm statute, Cal. Civ. Proc. Code § 410.10; </w:t>
      </w:r>
      <w:r>
        <w:rPr>
          <w:i/>
          <w:iCs/>
        </w:rPr>
        <w:t>Vons Cos.</w:t>
      </w:r>
      <w:r>
        <w:t xml:space="preserve"> v. </w:t>
      </w:r>
      <w:proofErr w:type="spellStart"/>
      <w:r>
        <w:rPr>
          <w:i/>
          <w:iCs/>
        </w:rPr>
        <w:t>Seabest</w:t>
      </w:r>
      <w:proofErr w:type="spellEnd"/>
      <w:r>
        <w:rPr>
          <w:i/>
          <w:iCs/>
        </w:rPr>
        <w:t xml:space="preserve"> Foods, Inc.</w:t>
      </w:r>
      <w:r>
        <w:t>, 14 Cal. 4th 434 (1996), this Court has authority to hear and decide this action, and venue is proper. Cal. Civ. Proc. Code § 395(a).</w:t>
      </w:r>
    </w:p>
    <w:p w14:paraId="49716DDD" w14:textId="77777777" w:rsidR="005E4707" w:rsidRDefault="00000000">
      <w:bookmarkStart w:id="5" w:name="statement-of-jurisdiction"/>
      <w:bookmarkEnd w:id="5"/>
      <w:r>
        <w:lastRenderedPageBreak/>
        <w:br w:type="page"/>
      </w:r>
    </w:p>
    <w:p w14:paraId="1F90807E" w14:textId="77777777" w:rsidR="005E4707" w:rsidRDefault="00000000">
      <w:pPr>
        <w:pStyle w:val="Heading1"/>
      </w:pPr>
      <w:bookmarkStart w:id="6" w:name="_Toc256000003"/>
      <w:r>
        <w:lastRenderedPageBreak/>
        <w:t>Statement of Issues</w:t>
      </w:r>
      <w:bookmarkEnd w:id="6"/>
    </w:p>
    <w:p w14:paraId="059E2703" w14:textId="77777777" w:rsidR="005E4707" w:rsidRDefault="00000000">
      <w:pPr>
        <w:numPr>
          <w:ilvl w:val="0"/>
          <w:numId w:val="10"/>
        </w:numPr>
      </w:pPr>
      <w:r>
        <w:t xml:space="preserve">Whether Global Media cannot satisfy the Ninth Circuit’s substantial-similarity requirement for actionable copying because Ms. Smith’s blog post reproduced limited verbatim excerpts (including passages Global Media characterizes as the article’s “heart”) chiefly to convey unprotectable facts and ideas, and any protectable expressive phrasing allegedly copied was incidental and not substantially similar in protected expression. See 17 U.S.C. § 102(b); </w:t>
      </w:r>
      <w:r>
        <w:rPr>
          <w:i/>
          <w:iCs/>
        </w:rPr>
        <w:t xml:space="preserve">Feist </w:t>
      </w:r>
      <w:proofErr w:type="spellStart"/>
      <w:r>
        <w:rPr>
          <w:i/>
          <w:iCs/>
        </w:rPr>
        <w:t>Publ’ns</w:t>
      </w:r>
      <w:proofErr w:type="spellEnd"/>
      <w:r>
        <w:rPr>
          <w:i/>
          <w:iCs/>
        </w:rPr>
        <w:t>, Inc.</w:t>
      </w:r>
      <w:r>
        <w:t xml:space="preserve"> v. </w:t>
      </w:r>
      <w:r>
        <w:rPr>
          <w:i/>
          <w:iCs/>
        </w:rPr>
        <w:t>Rural Tel. Serv. Co.</w:t>
      </w:r>
      <w:r>
        <w:t xml:space="preserve">, 499 U.S. 340 (1991); </w:t>
      </w:r>
      <w:r>
        <w:rPr>
          <w:i/>
          <w:iCs/>
        </w:rPr>
        <w:t>Satava</w:t>
      </w:r>
      <w:r>
        <w:t xml:space="preserve"> v. </w:t>
      </w:r>
      <w:r>
        <w:rPr>
          <w:i/>
          <w:iCs/>
        </w:rPr>
        <w:t>Lowry</w:t>
      </w:r>
      <w:r>
        <w:t xml:space="preserve">, 323 F.3d 805 (9th Cir. 2003); </w:t>
      </w:r>
      <w:r>
        <w:rPr>
          <w:i/>
          <w:iCs/>
        </w:rPr>
        <w:t>Mattel, Inc.</w:t>
      </w:r>
      <w:r>
        <w:t xml:space="preserve"> v. </w:t>
      </w:r>
      <w:r>
        <w:rPr>
          <w:i/>
          <w:iCs/>
        </w:rPr>
        <w:t>MGA Ent., Inc.</w:t>
      </w:r>
      <w:r>
        <w:t xml:space="preserve">, 616 F.3d 904 (9th Cir. 2010); </w:t>
      </w:r>
      <w:r>
        <w:rPr>
          <w:i/>
          <w:iCs/>
        </w:rPr>
        <w:t xml:space="preserve">L.A. </w:t>
      </w:r>
      <w:proofErr w:type="spellStart"/>
      <w:r>
        <w:rPr>
          <w:i/>
          <w:iCs/>
        </w:rPr>
        <w:t>Printex</w:t>
      </w:r>
      <w:proofErr w:type="spellEnd"/>
      <w:r>
        <w:rPr>
          <w:i/>
          <w:iCs/>
        </w:rPr>
        <w:t xml:space="preserve"> Indus., Inc.</w:t>
      </w:r>
      <w:r>
        <w:t xml:space="preserve"> v. </w:t>
      </w:r>
      <w:r>
        <w:rPr>
          <w:i/>
          <w:iCs/>
        </w:rPr>
        <w:t>Aeropostale, Inc.</w:t>
      </w:r>
      <w:r>
        <w:t>, 676 F.3d 841 (9th Cir. 2012).</w:t>
      </w:r>
    </w:p>
    <w:p w14:paraId="1F4B4B46" w14:textId="77777777" w:rsidR="005E4707" w:rsidRDefault="00000000">
      <w:pPr>
        <w:numPr>
          <w:ilvl w:val="0"/>
          <w:numId w:val="10"/>
        </w:numPr>
      </w:pPr>
      <w:r>
        <w:t xml:space="preserve">Whether Ms. Smith’s use is fair under 17 U.S.C. § 107 where she posted excerpts on a non-advertising personal blog for purposes of criticism, the post was noncommercial and did not serve as a market substitute for the magazine article, and Global Media’s asserted harm is primarily reputational and speculative rather than cognizable market harm under the fourth factor. See 17 U.S.C. § 107; </w:t>
      </w:r>
      <w:r>
        <w:rPr>
          <w:i/>
          <w:iCs/>
        </w:rPr>
        <w:t>Campbell</w:t>
      </w:r>
      <w:r>
        <w:t xml:space="preserve"> v. </w:t>
      </w:r>
      <w:r>
        <w:rPr>
          <w:i/>
          <w:iCs/>
        </w:rPr>
        <w:t>Acuff-Rose Music, Inc.</w:t>
      </w:r>
      <w:r>
        <w:t xml:space="preserve">, 510 U.S. 569 (1994); </w:t>
      </w:r>
      <w:r>
        <w:rPr>
          <w:i/>
          <w:iCs/>
        </w:rPr>
        <w:t>Harper &amp; Row, Publishers, Inc.</w:t>
      </w:r>
      <w:r>
        <w:t xml:space="preserve"> v. </w:t>
      </w:r>
      <w:r>
        <w:rPr>
          <w:i/>
          <w:iCs/>
        </w:rPr>
        <w:t>Nation Enters.</w:t>
      </w:r>
      <w:r>
        <w:t xml:space="preserve">, 471 U.S. 539 (1985); </w:t>
      </w:r>
      <w:r>
        <w:rPr>
          <w:i/>
          <w:iCs/>
        </w:rPr>
        <w:t>Sony Corp. of Am.</w:t>
      </w:r>
      <w:r>
        <w:t xml:space="preserve"> v. </w:t>
      </w:r>
      <w:r>
        <w:rPr>
          <w:i/>
          <w:iCs/>
        </w:rPr>
        <w:t>Universal City Studios, Inc.</w:t>
      </w:r>
      <w:r>
        <w:t xml:space="preserve">, 464 U.S. 417 (1984); </w:t>
      </w:r>
      <w:r>
        <w:rPr>
          <w:i/>
          <w:iCs/>
        </w:rPr>
        <w:t>Seltzer</w:t>
      </w:r>
      <w:r>
        <w:t xml:space="preserve"> v. </w:t>
      </w:r>
      <w:r>
        <w:rPr>
          <w:i/>
          <w:iCs/>
        </w:rPr>
        <w:t>Green Day, Inc.</w:t>
      </w:r>
      <w:r>
        <w:t>, 725 F.3d 1170 (9th Cir. 2013).</w:t>
      </w:r>
    </w:p>
    <w:p w14:paraId="26938436" w14:textId="77777777" w:rsidR="005E4707" w:rsidRDefault="00000000">
      <w:pPr>
        <w:numPr>
          <w:ilvl w:val="0"/>
          <w:numId w:val="10"/>
        </w:numPr>
      </w:pPr>
      <w:r>
        <w:t xml:space="preserve">Whether Global Media can establish libel under Cal. Civ. Code § 45 based on Ms. Smith’s short, caustic critique accompanying quoted excerpts where the challenged statements are properly understood as nonactionable opinion and/or do not state a provably false, unprivileged assertion of fact tending to injure Global Media in its business. See Cal. Civ. Code § 45; </w:t>
      </w:r>
      <w:r>
        <w:rPr>
          <w:i/>
          <w:iCs/>
        </w:rPr>
        <w:t>Milkovich</w:t>
      </w:r>
      <w:r>
        <w:t xml:space="preserve"> v. </w:t>
      </w:r>
      <w:r>
        <w:rPr>
          <w:i/>
          <w:iCs/>
        </w:rPr>
        <w:t>Lorain J. Co.</w:t>
      </w:r>
      <w:r>
        <w:t xml:space="preserve">, 497 U.S. 1 (1990); </w:t>
      </w:r>
      <w:r>
        <w:rPr>
          <w:i/>
          <w:iCs/>
        </w:rPr>
        <w:t>Baker</w:t>
      </w:r>
      <w:r>
        <w:t xml:space="preserve"> v. </w:t>
      </w:r>
      <w:r>
        <w:rPr>
          <w:i/>
          <w:iCs/>
        </w:rPr>
        <w:t>L.A. Herald Exam’r</w:t>
      </w:r>
      <w:r>
        <w:t xml:space="preserve">, 42 Cal. 3d 254 (1986); </w:t>
      </w:r>
      <w:proofErr w:type="spellStart"/>
      <w:r>
        <w:rPr>
          <w:i/>
          <w:iCs/>
        </w:rPr>
        <w:t>Taus</w:t>
      </w:r>
      <w:proofErr w:type="spellEnd"/>
      <w:r>
        <w:t xml:space="preserve"> v. </w:t>
      </w:r>
      <w:r>
        <w:rPr>
          <w:i/>
          <w:iCs/>
        </w:rPr>
        <w:t>Loftus</w:t>
      </w:r>
      <w:r>
        <w:t>, 40 Cal. 4th 683 (2007).</w:t>
      </w:r>
    </w:p>
    <w:p w14:paraId="0443E5E9" w14:textId="77777777" w:rsidR="005E4707" w:rsidRDefault="00000000">
      <w:pPr>
        <w:numPr>
          <w:ilvl w:val="0"/>
          <w:numId w:val="10"/>
        </w:numPr>
      </w:pPr>
      <w:r>
        <w:t xml:space="preserve">If any defamatory meaning is not apparent on the face of the blog post and instead depends on extrinsic facts (i.e., is libel per </w:t>
      </w:r>
      <w:proofErr w:type="spellStart"/>
      <w:r>
        <w:t>quod</w:t>
      </w:r>
      <w:proofErr w:type="spellEnd"/>
      <w:r>
        <w:t xml:space="preserve">), whether Global Media must—and cannot—plead and prove special damages as required by Cal. Civ. Code § 45a. See Cal. Civ. Code § 45a; </w:t>
      </w:r>
      <w:r>
        <w:rPr>
          <w:i/>
          <w:iCs/>
        </w:rPr>
        <w:t>Slaughter</w:t>
      </w:r>
      <w:r>
        <w:t xml:space="preserve"> v. </w:t>
      </w:r>
      <w:r>
        <w:rPr>
          <w:i/>
          <w:iCs/>
        </w:rPr>
        <w:t>Friedman</w:t>
      </w:r>
      <w:r>
        <w:t xml:space="preserve">, 32 Cal. 3d 149 (1982); </w:t>
      </w:r>
      <w:r>
        <w:rPr>
          <w:i/>
          <w:iCs/>
        </w:rPr>
        <w:t>Smith</w:t>
      </w:r>
      <w:r>
        <w:t xml:space="preserve"> v. </w:t>
      </w:r>
      <w:r>
        <w:rPr>
          <w:i/>
          <w:iCs/>
        </w:rPr>
        <w:t>Maldonado</w:t>
      </w:r>
      <w:r>
        <w:t xml:space="preserve">, 72 Cal. App. 4th 637 (1999); </w:t>
      </w:r>
      <w:r>
        <w:rPr>
          <w:i/>
          <w:iCs/>
        </w:rPr>
        <w:t>Erlich</w:t>
      </w:r>
      <w:r>
        <w:t xml:space="preserve"> v. </w:t>
      </w:r>
      <w:r>
        <w:rPr>
          <w:i/>
          <w:iCs/>
        </w:rPr>
        <w:t>Etner</w:t>
      </w:r>
      <w:r>
        <w:t>, 224 Cal. App. 2d 69 (1964).</w:t>
      </w:r>
    </w:p>
    <w:p w14:paraId="3BD7CA66" w14:textId="77777777" w:rsidR="005E4707" w:rsidRDefault="00000000">
      <w:bookmarkStart w:id="7" w:name="statement-of-issues"/>
      <w:bookmarkEnd w:id="7"/>
      <w:r>
        <w:br w:type="page"/>
      </w:r>
    </w:p>
    <w:p w14:paraId="607C9214" w14:textId="77777777" w:rsidR="005E4707" w:rsidRDefault="00000000">
      <w:pPr>
        <w:pStyle w:val="Heading1"/>
      </w:pPr>
      <w:bookmarkStart w:id="8" w:name="_Toc256000004"/>
      <w:r>
        <w:lastRenderedPageBreak/>
        <w:t>Statement of the Case</w:t>
      </w:r>
      <w:bookmarkEnd w:id="8"/>
    </w:p>
    <w:p w14:paraId="25FD001B" w14:textId="77777777" w:rsidR="005E4707" w:rsidRDefault="00000000">
      <w:pPr>
        <w:pStyle w:val="FirstParagraph"/>
      </w:pPr>
      <w:r>
        <w:t>Plaintiff is suing Defendant.</w:t>
      </w:r>
    </w:p>
    <w:p w14:paraId="75F9C26E" w14:textId="77777777" w:rsidR="005E4707" w:rsidRDefault="00000000">
      <w:bookmarkStart w:id="9" w:name="statement-of-the-case"/>
      <w:bookmarkEnd w:id="9"/>
      <w:r>
        <w:br w:type="page"/>
      </w:r>
    </w:p>
    <w:p w14:paraId="09A4DFC3" w14:textId="77777777" w:rsidR="005E4707" w:rsidRDefault="00000000">
      <w:pPr>
        <w:pStyle w:val="Heading1"/>
      </w:pPr>
      <w:bookmarkStart w:id="10" w:name="_Toc256000005"/>
      <w:r>
        <w:lastRenderedPageBreak/>
        <w:t>Statement of the Facts</w:t>
      </w:r>
      <w:bookmarkEnd w:id="10"/>
    </w:p>
    <w:p w14:paraId="1529019A" w14:textId="77777777" w:rsidR="005E4707" w:rsidRDefault="00000000">
      <w:pPr>
        <w:pStyle w:val="FirstParagraph"/>
      </w:pPr>
      <w:r>
        <w:t>Global Media publishes a magazine that includes original editorial content, including the magazine article at issue here (the “Magazine Article”).</w:t>
      </w:r>
    </w:p>
    <w:p w14:paraId="612F288A" w14:textId="77777777" w:rsidR="005E4707" w:rsidRDefault="00000000">
      <w:pPr>
        <w:pStyle w:val="BodyText"/>
      </w:pPr>
      <w:r>
        <w:t>Ms. Smith operates an online blog (the “Blog”). The Blog does not have any advertisers.</w:t>
      </w:r>
    </w:p>
    <w:p w14:paraId="69332DCB" w14:textId="77777777" w:rsidR="005E4707" w:rsidRDefault="00000000">
      <w:pPr>
        <w:pStyle w:val="BodyText"/>
      </w:pPr>
      <w:r>
        <w:t>At some point prior to this lawsuit, Global Media published the Magazine Article in its magazine. The Magazine Article was authored and distributed as part of Global Media’s magazine publication.</w:t>
      </w:r>
    </w:p>
    <w:p w14:paraId="6B70A1A8" w14:textId="77777777" w:rsidR="005E4707" w:rsidRDefault="00000000">
      <w:pPr>
        <w:pStyle w:val="BodyText"/>
      </w:pPr>
      <w:r>
        <w:t>Ms. Smith later published a post on the Blog (the “Blog Post”). The Blog Post quoted the Magazine Article, including what Global Media characterizes as the “heart” of the Magazine Article.</w:t>
      </w:r>
    </w:p>
    <w:p w14:paraId="5AF68CDC" w14:textId="77777777" w:rsidR="005E4707" w:rsidRDefault="00000000">
      <w:pPr>
        <w:pStyle w:val="BodyText"/>
      </w:pPr>
      <w:r>
        <w:t>The Blog Post contained little content beyond the quoted material from the Magazine Article. After reproducing the quoted portion, Ms. Smith included criticism of the Magazine Article.</w:t>
      </w:r>
    </w:p>
    <w:p w14:paraId="3F86C43D" w14:textId="77777777" w:rsidR="005E4707" w:rsidRDefault="00000000">
      <w:pPr>
        <w:pStyle w:val="BodyText"/>
      </w:pPr>
      <w:r>
        <w:t>Ms. Smith’s criticism was short relative to the portion of the Magazine Article that the Blog Post quoted. The criticism was harsh in tone and described by Global Media as ruthless.</w:t>
      </w:r>
    </w:p>
    <w:p w14:paraId="30233CB7" w14:textId="77777777" w:rsidR="005E4707" w:rsidRDefault="00000000">
      <w:pPr>
        <w:pStyle w:val="BodyText"/>
      </w:pPr>
      <w:r>
        <w:t>Global Media contends that the Blog Post may have harmed the credibility of the magazine. Global Media further contends that the Blog has cost the magazine business.</w:t>
      </w:r>
    </w:p>
    <w:p w14:paraId="52DD092D" w14:textId="77777777" w:rsidR="005E4707" w:rsidRDefault="00000000">
      <w:pPr>
        <w:pStyle w:val="BodyText"/>
      </w:pPr>
      <w:r>
        <w:t>Global Media also contends that Ms. Smith benefited from the Blog Post because she allegedly saw increased voluntary contributions to the Blog following publication of the Blog Post.</w:t>
      </w:r>
    </w:p>
    <w:p w14:paraId="04B5F53E" w14:textId="77777777" w:rsidR="005E4707" w:rsidRDefault="00000000">
      <w:pPr>
        <w:pStyle w:val="BodyText"/>
      </w:pPr>
      <w:r>
        <w:lastRenderedPageBreak/>
        <w:t>Global Media has filed this lawsuit based on Ms. Smith’s publication of the Blog Post and the resulting alleged impacts on the magazine and on Ms. Smith’s Blog.</w:t>
      </w:r>
    </w:p>
    <w:p w14:paraId="538E0298" w14:textId="77777777" w:rsidR="005E4707" w:rsidRDefault="00000000">
      <w:bookmarkStart w:id="11" w:name="statement-of-the-facts"/>
      <w:bookmarkEnd w:id="11"/>
      <w:r>
        <w:br w:type="page"/>
      </w:r>
    </w:p>
    <w:p w14:paraId="0A066E78" w14:textId="77777777" w:rsidR="005E4707" w:rsidRDefault="00000000">
      <w:pPr>
        <w:pStyle w:val="Heading1"/>
      </w:pPr>
      <w:bookmarkStart w:id="12" w:name="_Toc256000006"/>
      <w:r>
        <w:lastRenderedPageBreak/>
        <w:t>Argument</w:t>
      </w:r>
      <w:bookmarkEnd w:id="12"/>
    </w:p>
    <w:p w14:paraId="33C89EA0" w14:textId="77777777" w:rsidR="005E4707" w:rsidRDefault="00000000">
      <w:pPr>
        <w:pStyle w:val="Heading2"/>
      </w:pPr>
      <w:bookmarkStart w:id="13" w:name="_Toc256000007"/>
      <w:bookmarkStart w:id="14" w:name="Xc1f25a8b574157ca5395cdaf56a78957d42d9b5"/>
      <w:r>
        <w:t>Global Media cannot show substantial similarity after filtering unprotectable ideas and facts</w:t>
      </w:r>
      <w:bookmarkEnd w:id="13"/>
    </w:p>
    <w:p w14:paraId="327A4056" w14:textId="77777777" w:rsidR="005E4707" w:rsidRDefault="00000000">
      <w:pPr>
        <w:pStyle w:val="FirstParagraph"/>
      </w:pPr>
      <w:r>
        <w:t xml:space="preserve">To prove infringement, Global Media must show violation of its exclusive rights under 17 U.S.C. § 106 </w:t>
      </w:r>
      <w:r>
        <w:fldChar w:fldCharType="begin"/>
      </w:r>
      <w:r>
        <w:instrText>TA \l "17 U.S.C. § 106 - Exclusive rights in copyrighted works" \s "Exclusive rights in copyrighted works" \c 2</w:instrText>
      </w:r>
      <w:r>
        <w:fldChar w:fldCharType="end"/>
      </w:r>
      <w:r>
        <w:t xml:space="preserve"> and thereby establish infringement under 17 U.S.C. § 501 </w:t>
      </w:r>
      <w:r>
        <w:fldChar w:fldCharType="begin"/>
      </w:r>
      <w:r>
        <w:instrText>TA \l "17 U.S.C. § 501 - Infringement of copyright" \s "Infringement of Copyright" \c 2</w:instrText>
      </w:r>
      <w:r>
        <w:fldChar w:fldCharType="end"/>
      </w:r>
      <w:r>
        <w:t>, including that the Blog Post is substantially similar to protectable expression in the Magazine Article. In the Ninth Circuit, substantial similarity is evaluated through an extrinsic test (objective comparison of protectable expressive elements after analytic dissection and filtration) and an intrinsic test (the ordinary reader’s impression of the protectable expression’s “total concept and feel”). Where the similarities largely reflect unprotectable subject matter, the substantial-similarity element is not met.</w:t>
      </w:r>
    </w:p>
    <w:p w14:paraId="1702DF6A" w14:textId="77777777" w:rsidR="005E4707" w:rsidRDefault="00000000">
      <w:pPr>
        <w:pStyle w:val="BodyText"/>
      </w:pPr>
      <w:r>
        <w:t xml:space="preserve">The extrinsic test begins with the idea/expression dichotomy. The court filters out unprotectable material—such as facts, the underlying ideas communicated by the Magazine Article, and other non-original informational content—and compares only the author’s protectable expressive choices (including original phrasing, selection, arrangement, and sequence). Here, the record reflects that the Blog Post “quoted the Magazine Article,” including what Global Media characterizes as “the heart,” and that the Blog Post “did not include much content beyond that,” followed by criticism that was “short” relative to the quoted portion. On these facts, the critical question is not whether the Blog Post reproduced important content, but whether the quoted material (or the aspects allegedly taken) constitutes protectable expression rather than the Magazine Article’s underlying ideas and facts. </w:t>
      </w:r>
      <w:r>
        <w:fldChar w:fldCharType="begin"/>
      </w:r>
      <w:r>
        <w:instrText>TA \l "Noelia Monge v. Maya Magazines, Inc.,     688 F.3d 1164 (9th Cir. 2012)" \s "Noelia Monge v. Maya Magazines, Inc., 688 F.3d" \c 1</w:instrText>
      </w:r>
      <w:r>
        <w:fldChar w:fldCharType="end"/>
      </w:r>
    </w:p>
    <w:p w14:paraId="64419383" w14:textId="77777777" w:rsidR="005E4707" w:rsidRDefault="00000000">
      <w:pPr>
        <w:pStyle w:val="BodyText"/>
      </w:pPr>
      <w:r>
        <w:lastRenderedPageBreak/>
        <w:t xml:space="preserve">Global Media’s emphasis on the “heart” of the Magazine Article does not itself resolve the substantial-similarity inquiry. The Supreme Court’s discussion of copying the “heart” of a work in </w:t>
      </w:r>
      <w:r>
        <w:rPr>
          <w:i/>
          <w:iCs/>
        </w:rPr>
        <w:t>Harper &amp; Row, Publishers, Inc.</w:t>
      </w:r>
      <w:r>
        <w:t xml:space="preserve"> v. </w:t>
      </w:r>
      <w:r>
        <w:rPr>
          <w:i/>
          <w:iCs/>
        </w:rPr>
        <w:t>Nation Enterprises</w:t>
      </w:r>
      <w:r>
        <w:t xml:space="preserve">, 471 U.S. 539 (1985), arises in the fair-use analysis—especially the qualitative “amount and substantiality” factor—and does not displace the threshold requirement, in a substantial-similarity analysis, to filter out unprotectable facts and ideas before assessing similarity in protected expression. </w:t>
      </w:r>
      <w:r>
        <w:fldChar w:fldCharType="begin"/>
      </w:r>
      <w:r>
        <w:instrText>TA \l "Harper &amp; Row, Publishers, Inc. v. Nation Enterprises, 471 U.S. 539 (1985)" \s "Harper &amp; Row, Publishers, Inc. v. Nation Enterprises, 471 U.S." \c 1</w:instrText>
      </w:r>
      <w:r>
        <w:fldChar w:fldCharType="end"/>
      </w:r>
      <w:r>
        <w:t xml:space="preserve"> Thus, even accepting Global Media’s characterization that the Blog Post quoted the Article’s “heart,” Global Media must still identify protectable expression within that portion and show the Blog Post is substantially similar to that protectable expression, not merely to the Article’s informational substance.</w:t>
      </w:r>
    </w:p>
    <w:p w14:paraId="42C4F6A9" w14:textId="77777777" w:rsidR="005E4707" w:rsidRDefault="00000000">
      <w:pPr>
        <w:pStyle w:val="BodyText"/>
      </w:pPr>
      <w:r>
        <w:t xml:space="preserve">Related doctrines further narrow what can be protected in a fact- and idea-driven magazine article. When a work’s communicative purpose constrains how facts and ideas can be expressed, the merger doctrine and </w:t>
      </w:r>
      <w:proofErr w:type="spellStart"/>
      <w:r>
        <w:t>scènes</w:t>
      </w:r>
      <w:proofErr w:type="spellEnd"/>
      <w:r>
        <w:t xml:space="preserve"> à faire principles limit protection to a “thin” layer of genuinely original expressive choices; standard or inevitable ways of presenting the same facts and ideas are not protectable. </w:t>
      </w:r>
      <w:r>
        <w:fldChar w:fldCharType="begin"/>
      </w:r>
      <w:r>
        <w:instrText>TA \l "Noelia Monge v. Maya Magazines, Inc.,     688 F.3d 1164 (9th Cir. 2012)" \s "Noelia Monge v. Maya Magazines, Inc., 688 F.3d" \c 1</w:instrText>
      </w:r>
      <w:r>
        <w:fldChar w:fldCharType="end"/>
      </w:r>
      <w:r>
        <w:t xml:space="preserve"> If, as Global Media contends, the quoted portion is the Article’s “heart,” that description may also indicate the excerpted content is the core thesis, key narrative, or principal factual account—material that is often chiefly informational. In that circumstance, the protectable residue after filtration can be narrow, and substantial similarity requires appropriation of original expressive choices rather than reproduction of the underlying informational content. </w:t>
      </w:r>
      <w:r>
        <w:fldChar w:fldCharType="begin"/>
      </w:r>
      <w:r>
        <w:instrText>TA \l "Harper &amp; Row, Publishers, Inc. v. Nation Enterprises, 471 U.S. 539 (1985)" \s "Harper &amp; Row, Publishers, Inc. v. Nation Enterprises, 471 U.S." \c 1</w:instrText>
      </w:r>
      <w:r>
        <w:fldChar w:fldCharType="end"/>
      </w:r>
    </w:p>
    <w:p w14:paraId="193784B8" w14:textId="77777777" w:rsidR="005E4707" w:rsidRDefault="00000000">
      <w:pPr>
        <w:pStyle w:val="BodyText"/>
      </w:pPr>
      <w:r>
        <w:t xml:space="preserve">Even where there is verbatim quotation, infringement still requires that what was taken is substantially similar in protectable expression, not merely literally identical text </w:t>
      </w:r>
      <w:r>
        <w:lastRenderedPageBreak/>
        <w:t xml:space="preserve">in the abstract. Under the </w:t>
      </w:r>
      <w:proofErr w:type="gramStart"/>
      <w:r>
        <w:t>fragmented-literal</w:t>
      </w:r>
      <w:proofErr w:type="gramEnd"/>
      <w:r>
        <w:t xml:space="preserve">-similarity and de minimis principles, the inquiry asks whether the copied protectable phrasing is quantitatively and qualitatively substantial relative to the Magazine Article’s protectable expression, as opposed to incidental to the permitted objective of conveying the unprotected ideas and facts being discussed. </w:t>
      </w:r>
      <w:r>
        <w:fldChar w:fldCharType="begin"/>
      </w:r>
      <w:r>
        <w:instrText>TA \l "Noelia Monge v. Maya Magazines, Inc.,     688 F.3d 1164 (9th Cir. 2012)" \s "Noelia Monge v. Maya Magazines, Inc., 688 F.3d" \c 1</w:instrText>
      </w:r>
      <w:r>
        <w:fldChar w:fldCharType="end"/>
      </w:r>
      <w:r>
        <w:t xml:space="preserve"> On this record, the Blog Post’s excerpts function as the subject of commentary: after quoting, Ms. Smith “criticized the article,” and that criticism—though “short” and “ruthless”—frames the quotations as material being addressed rather than as an attempt to present the Magazine Article’s protected expression as Ms. Smith’s own original writing. </w:t>
      </w:r>
      <w:r>
        <w:fldChar w:fldCharType="begin"/>
      </w:r>
      <w:r>
        <w:instrText>TA \l "Campbell v. Acuff-Rose Music, Inc.,     510 U.S. 569 (1994)" \s "Campbell v. Acuff-Rose Music, Inc., 510 U.S." \c 1</w:instrText>
      </w:r>
      <w:r>
        <w:fldChar w:fldCharType="end"/>
      </w:r>
      <w:r>
        <w:t xml:space="preserve"> If the quoted language is largely necessary to communicate the Magazine Article’s unprotectable ideas and facts for purposes of critique, then any protectable expressive phrasing copied may be limited and incidental, and therefore not actionable as substantial similarity. </w:t>
      </w:r>
      <w:r>
        <w:fldChar w:fldCharType="begin"/>
      </w:r>
      <w:r>
        <w:instrText>TA \l "Campbell v. Acuff-Rose Music, Inc.,     510 U.S. 569 (1994)" \s "Campbell v. Acuff-Rose Music, Inc., 510 U.S." \c 1</w:instrText>
      </w:r>
      <w:r>
        <w:fldChar w:fldCharType="end"/>
      </w:r>
    </w:p>
    <w:p w14:paraId="01EB39B9" w14:textId="77777777" w:rsidR="005E4707" w:rsidRDefault="00000000">
      <w:pPr>
        <w:pStyle w:val="BodyText"/>
      </w:pPr>
      <w:r>
        <w:t xml:space="preserve">The intrinsic test likewise focuses on whether an ordinary reader would perceive the Blog Post as sharing the Magazine Article’s protectable “total concept and feel.” The record indicates the Blog Post largely consists of quotation followed by criticism, not a standalone magazine-style narrative. In that posture, the Blog Post is likely experienced as a critical presentation of excerpts rather than as a substitute expressive work that captures the Magazine Article’s protected aesthetic, voice, or presentation. This aligns with the Supreme Court’s recognition that criticism can change how the copied material is used and perceived.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end"/>
      </w:r>
      <w:r>
        <w:t xml:space="preserve"> While fair use is a separate defense, the critical context described in the record is also relevant to </w:t>
      </w:r>
      <w:r>
        <w:lastRenderedPageBreak/>
        <w:t>whether the ordinary reader perceives appropriation of protected expression, as opposed to quotation to identify and address the Article’s underlying content.</w:t>
      </w:r>
    </w:p>
    <w:p w14:paraId="38122E7F" w14:textId="77777777" w:rsidR="005E4707" w:rsidRDefault="00000000">
      <w:pPr>
        <w:pStyle w:val="BodyText"/>
      </w:pPr>
      <w:r>
        <w:t xml:space="preserve">Accordingly, applying the Ninth Circuit’s extrinsic filtration and intrinsic “total concept and feel” inquiries to the record, Global Media’s reliance on verbatim quotation of the alleged “heart” does not, without more, establish substantial similarity in protected expression. Where the excerpts are used principally to convey and critique the Magazine Article’s unprotectable ideas and facts, and any protectable expressive phrasing that accompanies those ideas and facts is limited and incidental, Global Media cannot carry its burden to prove actionable substantial similarity as required to show infringement under 17 U.S.C. §§ 106 and 501. </w:t>
      </w:r>
      <w:r>
        <w:fldChar w:fldCharType="begin"/>
      </w:r>
      <w:r>
        <w:instrText>TA \l "17 U.S.C. § 106 - Exclusive rights in copyrighted works" \s "Exclusive rights in copyrighted works" \c 2</w:instrText>
      </w:r>
      <w:r>
        <w:fldChar w:fldCharType="end"/>
      </w:r>
      <w:r>
        <w:t xml:space="preserve"> </w:t>
      </w:r>
      <w:r>
        <w:fldChar w:fldCharType="begin"/>
      </w:r>
      <w:r>
        <w:instrText>TA \l "17 U.S.C. § 501 - Infringement of copyright" \s "Infringement of Copyright" \c 2</w:instrText>
      </w:r>
      <w:r>
        <w:fldChar w:fldCharType="end"/>
      </w:r>
      <w:bookmarkEnd w:id="14"/>
    </w:p>
    <w:p w14:paraId="2C8E9223" w14:textId="77777777" w:rsidR="005E4707" w:rsidRDefault="00000000">
      <w:pPr>
        <w:pStyle w:val="Heading2"/>
      </w:pPr>
      <w:bookmarkStart w:id="15" w:name="_Toc256000008"/>
      <w:bookmarkStart w:id="16" w:name="Xdddfc1962e50a7052ea0053e919410a3cab48b8"/>
      <w:r>
        <w:t>Fair use likely applies to non-advertising blog excerpts with criticism</w:t>
      </w:r>
      <w:bookmarkEnd w:id="15"/>
    </w:p>
    <w:p w14:paraId="74890494" w14:textId="77777777" w:rsidR="005E4707" w:rsidRDefault="00000000">
      <w:pPr>
        <w:pStyle w:val="FirstParagraph"/>
      </w:pPr>
      <w:r>
        <w:t xml:space="preserve">The fair-use inquiry is a mixed question of law and fact guided by the four statutory factors in 17 U.S.C. § 107, evaluated </w:t>
      </w:r>
      <w:proofErr w:type="gramStart"/>
      <w:r>
        <w:t>in light of</w:t>
      </w:r>
      <w:proofErr w:type="gramEnd"/>
      <w:r>
        <w:t xml:space="preserve"> copyright’s purposes and the exclusive rights in 17 U.S.C. § 106. </w:t>
      </w:r>
      <w:r>
        <w:fldChar w:fldCharType="begin"/>
      </w:r>
      <w:r>
        <w:instrText>TA \l "17 U.S.C. § 106 - Exclusive rights in copyrighted works" \s "Exclusive rights in copyrighted works" \c 2</w:instrText>
      </w:r>
      <w:r>
        <w:fldChar w:fldCharType="end"/>
      </w:r>
      <w:r>
        <w:t xml:space="preserve"> While Global Media sues for infringement under 17 U.S.C. § 501 based on Ms. Smith’s quotation of the heart of the Magazine Article, the record frames the central dispute as whether the Blog Post functioned as criticism or instead as a substitute republication that usurped protected markets. </w:t>
      </w:r>
      <w:r>
        <w:fldChar w:fldCharType="begin"/>
      </w:r>
      <w:r>
        <w:instrText>TA \l "17 U.S.C. § 501 - Infringement of copyright" \s "Infringement of Copyright" \c 2</w:instrText>
      </w:r>
      <w:r>
        <w:fldChar w:fldCharType="end"/>
      </w:r>
    </w:p>
    <w:p w14:paraId="4781A6FD" w14:textId="77777777" w:rsidR="005E4707" w:rsidRDefault="00000000">
      <w:pPr>
        <w:pStyle w:val="BodyText"/>
      </w:pPr>
      <w:r>
        <w:t xml:space="preserve">Factor one (purpose and character) generally favors fair use where the challenged use is for criticism or commentary, but the analysis turns on the use’s actual function and its relationship to the copying.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end"/>
      </w:r>
      <w:r>
        <w:t xml:space="preserve"> Here, the Blog Post quoted the Magazine Article and then criticized it; criticism is a </w:t>
      </w:r>
      <w:r>
        <w:lastRenderedPageBreak/>
        <w:t xml:space="preserve">paradigmatic favored purpose. The Blog has no advertisers, which tends to reduce the commercial character of the use, though Global Media maintains that Ms. Smith benefited through increased voluntary contributions. That asserted benefit may still be relevant to commerciality, but it is not equivalent to selling the Magazine Article or monetizing it through advertising, and it does not itself establish that the Blog Post served the same purpose as the Magazine Article. See </w:t>
      </w:r>
      <w:r w:rsidRPr="00C87B4C">
        <w:rPr>
          <w:i/>
          <w:iCs/>
          <w:highlight w:val="yellow"/>
        </w:rPr>
        <w:t>Andy Warhol Found. for Visual Arts, Inc.</w:t>
      </w:r>
      <w:r w:rsidRPr="00C87B4C">
        <w:rPr>
          <w:highlight w:val="yellow"/>
        </w:rPr>
        <w:t xml:space="preserve"> v. </w:t>
      </w:r>
      <w:r w:rsidRPr="00C87B4C">
        <w:rPr>
          <w:i/>
          <w:iCs/>
          <w:highlight w:val="yellow"/>
        </w:rPr>
        <w:t>Goldsmith</w:t>
      </w:r>
      <w:r w:rsidRPr="00C87B4C">
        <w:rPr>
          <w:highlight w:val="yellow"/>
        </w:rPr>
        <w:t>, 598 U.S. 508</w:t>
      </w:r>
      <w:r>
        <w:t xml:space="preserve"> (2023). </w:t>
      </w:r>
      <w:r>
        <w:fldChar w:fldCharType="begin"/>
      </w:r>
      <w:r>
        <w:instrText>TA \l "Andy Warhol Foundation for Visual Arts, Inc. v. Goldsmith,     598 U.S. 508 (2023)" \s "Andy Warhol Foundation for Visual Arts, Inc. v. Goldsmith, 598 U.S." \c 1</w:instrText>
      </w:r>
      <w:r>
        <w:fldChar w:fldCharType="end"/>
      </w:r>
    </w:p>
    <w:p w14:paraId="53F01040" w14:textId="77777777" w:rsidR="005E4707" w:rsidRDefault="00000000">
      <w:pPr>
        <w:pStyle w:val="BodyText"/>
      </w:pPr>
      <w:r>
        <w:t xml:space="preserve">At the same time, factor one presents a plausible countervailing concern because the Blog Post did not include much content beyond the quotations, and Ms. Smith’s criticism was short relative to what she quoted. Where the copying is extensive and the added commentary is thin, courts scrutinize whether the asserted justification (criticism) is reasonably related to the amount taken or whether the use is effectively “superseding.” </w:t>
      </w:r>
      <w:r w:rsidRPr="00C87B4C">
        <w:rPr>
          <w:i/>
          <w:iCs/>
          <w:highlight w:val="yellow"/>
        </w:rPr>
        <w:t>Harper &amp; Row, Publishers, Inc.</w:t>
      </w:r>
      <w:r w:rsidRPr="00C87B4C">
        <w:rPr>
          <w:highlight w:val="yellow"/>
        </w:rPr>
        <w:t xml:space="preserve"> v. </w:t>
      </w:r>
      <w:r w:rsidRPr="00C87B4C">
        <w:rPr>
          <w:i/>
          <w:iCs/>
          <w:highlight w:val="yellow"/>
        </w:rPr>
        <w:t>Nation Enters.</w:t>
      </w:r>
      <w:r w:rsidRPr="00C87B4C">
        <w:rPr>
          <w:highlight w:val="yellow"/>
        </w:rPr>
        <w:t xml:space="preserve">, 471 U.S. 539 (1985) </w:t>
      </w:r>
      <w:r w:rsidRPr="00C87B4C">
        <w:rPr>
          <w:highlight w:val="yellow"/>
        </w:rPr>
        <w:fldChar w:fldCharType="begin"/>
      </w:r>
      <w:r w:rsidRPr="00C87B4C">
        <w:rPr>
          <w:highlight w:val="yellow"/>
        </w:rPr>
        <w:instrText>TA \l "Harper &amp; Row, Publishers, Inc. v. Nation Enterprises, 471 U.S. 539 (1985)" \s "Harper &amp; Row, Publishers, Inc. v. Nation Enterprises, 471 U.S." \c 1</w:instrText>
      </w:r>
      <w:r w:rsidRPr="00C87B4C">
        <w:rPr>
          <w:highlight w:val="yellow"/>
        </w:rPr>
        <w:fldChar w:fldCharType="end"/>
      </w:r>
      <w:r w:rsidRPr="00C87B4C">
        <w:rPr>
          <w:highlight w:val="yellow"/>
        </w:rPr>
        <w:t xml:space="preserve">; </w:t>
      </w:r>
      <w:r w:rsidRPr="00C87B4C">
        <w:rPr>
          <w:i/>
          <w:iCs/>
          <w:highlight w:val="yellow"/>
        </w:rPr>
        <w:t>Andy Warhol Found. for Visual Arts, Inc.</w:t>
      </w:r>
      <w:r w:rsidRPr="00C87B4C">
        <w:rPr>
          <w:highlight w:val="yellow"/>
        </w:rPr>
        <w:t xml:space="preserve"> v. </w:t>
      </w:r>
      <w:r w:rsidRPr="00C87B4C">
        <w:rPr>
          <w:i/>
          <w:iCs/>
          <w:highlight w:val="yellow"/>
        </w:rPr>
        <w:t>Goldsmith</w:t>
      </w:r>
      <w:r w:rsidRPr="00C87B4C">
        <w:rPr>
          <w:highlight w:val="yellow"/>
        </w:rPr>
        <w:t>, 598 U.S. 508 (2023)</w:t>
      </w:r>
      <w:r>
        <w:t xml:space="preserve"> </w:t>
      </w:r>
      <w:r>
        <w:fldChar w:fldCharType="begin"/>
      </w:r>
      <w:r>
        <w:instrText>TA \l "Andy Warhol Foundation for Visual Arts, Inc. v. Goldsmith,     598 U.S. 508 (2023)" \s "Andy Warhol Foundation for Visual Arts, Inc. v. Goldsmith, 598 U.S." \c 1</w:instrText>
      </w:r>
      <w:r>
        <w:fldChar w:fldCharType="end"/>
      </w:r>
      <w:r>
        <w:t xml:space="preserve"> On these facts, the closer question under factor one is not whether criticism can qualify as fair use, but whether the Blog Post’s limited added content indicates a republishing purpose that overwhelms the critical purpose.</w:t>
      </w:r>
    </w:p>
    <w:p w14:paraId="3BAC4702" w14:textId="77777777" w:rsidR="005E4707" w:rsidRDefault="00000000">
      <w:pPr>
        <w:pStyle w:val="BodyText"/>
      </w:pPr>
      <w:r>
        <w:t xml:space="preserve">Factor two (nature of the copyrighted work) is likely neutral to modestly favorable to fair use because the Magazine Article is described as a magazine article and there is no indication it was unpublished. Published status generally reduces the weight </w:t>
      </w:r>
      <w:proofErr w:type="gramStart"/>
      <w:r>
        <w:t>accorded</w:t>
      </w:r>
      <w:proofErr w:type="gramEnd"/>
      <w:r>
        <w:t xml:space="preserve"> to first-publication interests. </w:t>
      </w:r>
      <w:r w:rsidRPr="00C87B4C">
        <w:rPr>
          <w:i/>
          <w:iCs/>
          <w:highlight w:val="yellow"/>
        </w:rPr>
        <w:t>Harper &amp; Row, Publishers, Inc.</w:t>
      </w:r>
      <w:r w:rsidRPr="00C87B4C">
        <w:rPr>
          <w:highlight w:val="yellow"/>
        </w:rPr>
        <w:t xml:space="preserve"> v. </w:t>
      </w:r>
      <w:r w:rsidRPr="00C87B4C">
        <w:rPr>
          <w:i/>
          <w:iCs/>
          <w:highlight w:val="yellow"/>
        </w:rPr>
        <w:t>Nation Enters.</w:t>
      </w:r>
      <w:r w:rsidRPr="00C87B4C">
        <w:rPr>
          <w:highlight w:val="yellow"/>
        </w:rPr>
        <w:t>, 471 U.S. 539</w:t>
      </w:r>
      <w:r>
        <w:t xml:space="preserve"> (1985). </w:t>
      </w:r>
      <w:r>
        <w:fldChar w:fldCharType="begin"/>
      </w:r>
      <w:r>
        <w:instrText>TA \l "Harper &amp; Row, Publishers, Inc. v. Nation Enterprises, 471 U.S. 539 (1985)" \s "Harper &amp; Row, Publishers, Inc. v. Nation Enterprises, 471 U.S." \c 1</w:instrText>
      </w:r>
      <w:r>
        <w:fldChar w:fldCharType="end"/>
      </w:r>
      <w:r>
        <w:t xml:space="preserve"> To the extent a magazine article contains factual or informational material, that </w:t>
      </w:r>
      <w:r>
        <w:lastRenderedPageBreak/>
        <w:t>characteristic typically makes fair use more likely than in the context of highly imaginative works, while still recognizing that the article’s expressive choices remain protected.</w:t>
      </w:r>
    </w:p>
    <w:p w14:paraId="5B2CF6CF" w14:textId="77777777" w:rsidR="005E4707" w:rsidRDefault="00000000">
      <w:pPr>
        <w:pStyle w:val="BodyText"/>
      </w:pPr>
      <w:r>
        <w:t xml:space="preserve">Factor three (amount and substantiality) tends to favor Global Media on this record because Ms. Smith quoted the heart of the Magazine Article and added little beyond that quotation. Copying the “heart” of a work is qualitatively significant even if the overall excerpt is less than the whole. </w:t>
      </w:r>
      <w:r>
        <w:rPr>
          <w:i/>
          <w:iCs/>
        </w:rPr>
        <w:t>Harper &amp; Row, Publishers, Inc.</w:t>
      </w:r>
      <w:r>
        <w:t xml:space="preserve"> v. </w:t>
      </w:r>
      <w:r>
        <w:rPr>
          <w:i/>
          <w:iCs/>
        </w:rPr>
        <w:t>Nation Enters.</w:t>
      </w:r>
      <w:r>
        <w:t xml:space="preserve">, 471 U.S. 539 (1985). </w:t>
      </w:r>
      <w:r>
        <w:fldChar w:fldCharType="begin"/>
      </w:r>
      <w:r>
        <w:instrText>TA \l "Harper &amp; Row, Publishers, Inc. v. Nation Enterprises, 471 U.S. 539 (1985)" \s "Harper &amp; Row, Publishers, Inc. v. Nation Enterprises, 471 U.S." \c 1</w:instrText>
      </w:r>
      <w:r>
        <w:fldChar w:fldCharType="end"/>
      </w:r>
      <w:r>
        <w:t xml:space="preserve"> Even in criticism cases, the amount taken must be reasonably related to the critical purpose.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end"/>
      </w:r>
      <w:r>
        <w:t xml:space="preserve"> Given that the criticism was short relative to the quoted portion, Global Media can credibly argue the Blog Post appropriated more of the Magazine Article than was necessary to make the critical point; conversely, Ms. Smith can argue that quotation was needed to allow readers to evaluate the criticism directed at the Magazine Article’s content.</w:t>
      </w:r>
    </w:p>
    <w:p w14:paraId="6705504B" w14:textId="77777777" w:rsidR="005E4707" w:rsidRDefault="00000000">
      <w:pPr>
        <w:pStyle w:val="BodyText"/>
      </w:pPr>
      <w:r>
        <w:t xml:space="preserve">Factor four (effect on the potential market) materially favors fair use on the injury theories Global Media advances. The core question is whether the Blog Post serves as a market substitute for the Magazine Article or otherwise harms traditional or reasonably likely markets that copyright protects, not whether the criticism is damaging to reputation. </w:t>
      </w:r>
      <w:r>
        <w:rPr>
          <w:i/>
          <w:iCs/>
        </w:rPr>
        <w:t>Campbell</w:t>
      </w:r>
      <w:r>
        <w:t xml:space="preserve"> v. </w:t>
      </w:r>
      <w:r>
        <w:rPr>
          <w:i/>
          <w:iCs/>
        </w:rPr>
        <w:t>Acuff-Rose Music, Inc.</w:t>
      </w:r>
      <w:r>
        <w:t xml:space="preserve">, 510 U.S. 569 (1994); </w:t>
      </w:r>
      <w:r>
        <w:rPr>
          <w:i/>
          <w:iCs/>
        </w:rPr>
        <w:t>Andy Warhol Found. for Visual Arts, Inc.</w:t>
      </w:r>
      <w:r>
        <w:t xml:space="preserve"> v. </w:t>
      </w:r>
      <w:r>
        <w:rPr>
          <w:i/>
          <w:iCs/>
        </w:rPr>
        <w:t>Goldsmith</w:t>
      </w:r>
      <w:r>
        <w:t xml:space="preserve">, 598 U.S. 508 (2023). </w:t>
      </w:r>
      <w:r>
        <w:fldChar w:fldCharType="begin"/>
      </w:r>
      <w:r>
        <w:instrText>TA \l "Campbell v. Acuff-Rose Music, Inc.,     510 U.S. 569 (1994)" \s "Campbell v. Acuff-Rose Music, Inc., 510 U.S." \c 1</w:instrText>
      </w:r>
      <w:r>
        <w:fldChar w:fldCharType="end"/>
      </w:r>
      <w:r>
        <w:t xml:space="preserve"> </w:t>
      </w:r>
      <w:r>
        <w:fldChar w:fldCharType="begin"/>
      </w:r>
      <w:r>
        <w:instrText>TA \l "Andy Warhol Foundation for Visual Arts, Inc. v. Goldsmith,     598 U.S. 508 (2023)" \s "Andy Warhol Foundation for Visual Arts, Inc. v. Goldsmith, 598 U.S." \c 1</w:instrText>
      </w:r>
      <w:r>
        <w:fldChar w:fldCharType="end"/>
      </w:r>
      <w:r>
        <w:t xml:space="preserve"> Global Media maintains that Ms. Smith’s ruthless criticism may have harmed the Magazine’s credibility and that the Blog has cost the Magazine business; however, harm flowing from readers’ negative reaction to criticism—standing alone—does not establish cognizable market substitution </w:t>
      </w:r>
      <w:r>
        <w:lastRenderedPageBreak/>
        <w:t xml:space="preserve">for the Magazine Article itself. See </w:t>
      </w:r>
      <w:r>
        <w:rPr>
          <w:i/>
          <w:iCs/>
        </w:rPr>
        <w:t>Hustler Mag., Inc.</w:t>
      </w:r>
      <w:r>
        <w:t xml:space="preserve"> v. </w:t>
      </w:r>
      <w:r>
        <w:rPr>
          <w:i/>
          <w:iCs/>
        </w:rPr>
        <w:t>Moral Majority, Inc.</w:t>
      </w:r>
      <w:r>
        <w:t xml:space="preserve">, 796 F.2d 1148 (9th Cir. 1986). </w:t>
      </w:r>
      <w:r>
        <w:fldChar w:fldCharType="begin"/>
      </w:r>
      <w:r>
        <w:instrText>TA \l "Hustler Magazine, Inc. v. Moral Majority, Inc.,     796 F.2d 1148 (9th Cir. 1986)" \s "Hustler Magazine, Inc. v. Moral Majority, Inc., 796 F.2d" \c 1</w:instrText>
      </w:r>
      <w:r>
        <w:fldChar w:fldCharType="end"/>
      </w:r>
    </w:p>
    <w:p w14:paraId="51E63911" w14:textId="77777777" w:rsidR="005E4707" w:rsidRDefault="00000000">
      <w:pPr>
        <w:pStyle w:val="BodyText"/>
      </w:pPr>
      <w:r>
        <w:t xml:space="preserve">Relatedly, Global Media’s assertion that lost business is speculative underscores the need for a concrete showing that readers used the Blog Post instead of obtaining the Magazine Article through legitimate channels, or that the Blog Post impaired a traditional or likely licensing market for such excerpts.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end"/>
      </w:r>
      <w:r>
        <w:t xml:space="preserve"> The record, as characterized, emphasizes reputational harm and Ms. Smith’s increased voluntary contributions rather than identifying market-substituting demand for the Magazine Article; increased voluntary contributions may bear </w:t>
      </w:r>
      <w:proofErr w:type="gramStart"/>
      <w:r>
        <w:t>on</w:t>
      </w:r>
      <w:proofErr w:type="gramEnd"/>
      <w:r>
        <w:t xml:space="preserve"> the character of the use under factor one, but it does not itself demonstrate factor-four substitution or interference with a protected market for the Magazine Article.</w:t>
      </w:r>
    </w:p>
    <w:p w14:paraId="082829A1" w14:textId="77777777" w:rsidR="005E4707" w:rsidRDefault="00000000">
      <w:pPr>
        <w:pStyle w:val="BodyText"/>
      </w:pPr>
      <w:r>
        <w:t xml:space="preserve">Weighing the factors together, the analysis is mixed but overall supports application of fair use </w:t>
      </w:r>
      <w:proofErr w:type="gramStart"/>
      <w:r>
        <w:t>in light of</w:t>
      </w:r>
      <w:proofErr w:type="gramEnd"/>
      <w:r>
        <w:t xml:space="preserve"> the criticism purpose and the absence of a developed showing of market substitution. The principal litigation risk for Ms. Smith lies in factors one and three because the Blog Post quoted the heart of the Magazine Article and did not include much content beyond that while the criticism was short. Nevertheless, where the asserted harms center on harmed credibility and speculative lost business rather than displacement of demand for the Magazine Article, the balance of the statutory factors—particularly factor four—supports </w:t>
      </w:r>
      <w:proofErr w:type="gramStart"/>
      <w:r>
        <w:t>a finding</w:t>
      </w:r>
      <w:proofErr w:type="gramEnd"/>
      <w:r>
        <w:t xml:space="preserve"> of fair use.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end"/>
      </w:r>
      <w:r>
        <w:t xml:space="preserve">; </w:t>
      </w:r>
      <w:r>
        <w:rPr>
          <w:i/>
          <w:iCs/>
        </w:rPr>
        <w:t>Harper &amp; Row, Publishers, Inc.</w:t>
      </w:r>
      <w:r>
        <w:t xml:space="preserve"> v. </w:t>
      </w:r>
      <w:r>
        <w:rPr>
          <w:i/>
          <w:iCs/>
        </w:rPr>
        <w:t>Nation Enters.</w:t>
      </w:r>
      <w:r>
        <w:t xml:space="preserve">, 471 U.S. 539 (1985) </w:t>
      </w:r>
      <w:r>
        <w:fldChar w:fldCharType="begin"/>
      </w:r>
      <w:r>
        <w:instrText>TA \l "Harper &amp; Row, Publishers, Inc. v. Nation Enterprises, 471 U.S. 539 (1985)" \s "Harper &amp; Row, Publishers, Inc. v. Nation Enterprises, 471 U.S." \c 1</w:instrText>
      </w:r>
      <w:r>
        <w:fldChar w:fldCharType="end"/>
      </w:r>
      <w:bookmarkEnd w:id="16"/>
    </w:p>
    <w:p w14:paraId="07D1C0E9" w14:textId="77777777" w:rsidR="005E4707" w:rsidRDefault="00000000">
      <w:pPr>
        <w:pStyle w:val="Heading2"/>
      </w:pPr>
      <w:bookmarkStart w:id="17" w:name="_Toc256000009"/>
      <w:bookmarkStart w:id="18" w:name="X35444d94563cc93f16061c301f9c7395a7ac59f"/>
      <w:r>
        <w:lastRenderedPageBreak/>
        <w:t>The Blog Post did not publish a false factual statement injuring the Magazine</w:t>
      </w:r>
      <w:bookmarkEnd w:id="17"/>
    </w:p>
    <w:p w14:paraId="14E25FB2" w14:textId="77777777" w:rsidR="005E4707" w:rsidRDefault="00000000">
      <w:pPr>
        <w:pStyle w:val="FirstParagraph"/>
      </w:pPr>
      <w:r>
        <w:t xml:space="preserve">California defines defamation as libel or slander, and libel requires a “false and unprivileged publication by writing” that, among other things, “tends to injure” the target in its occupation. Cal. Civ. Code §§ 44–45. </w:t>
      </w:r>
      <w:r>
        <w:fldChar w:fldCharType="begin"/>
      </w:r>
      <w:r>
        <w:instrText>TA \l "Cal. Civ. Code § 44" \s "California Civil Code Section 44" \c 2</w:instrText>
      </w:r>
      <w:r>
        <w:fldChar w:fldCharType="end"/>
      </w:r>
      <w:r>
        <w:t xml:space="preserve"> </w:t>
      </w:r>
      <w:r>
        <w:fldChar w:fldCharType="begin"/>
      </w:r>
      <w:r>
        <w:instrText>TA \l "Cal. Civ. Code § 45" \s "California Civil Code Section 45" \c 2</w:instrText>
      </w:r>
      <w:r>
        <w:fldChar w:fldCharType="end"/>
      </w:r>
      <w:r>
        <w:t xml:space="preserve"> The publication and subject-identification elements are largely undisputed on these facts: the challenged content was a Blog post in a fixed written medium, and it centered on and quoted the heart of a specific Magazine Article owned by Global Media. The dispositive question is whether anything in the Blog Post amounts to a false statement of fact—express or implied—about the Magazine that is capable of being proven true or false and that carries a defamatory tendency in the Magazine’s business. </w:t>
      </w:r>
      <w:r>
        <w:fldChar w:fldCharType="begin"/>
      </w:r>
      <w:r>
        <w:instrText>TA \l "Milkovich v. Lorain Journal Co.,     497 U.S. 1 (1990)" \s "Milkovich v. Lorain Journal Co., 497 U.S." \c 1</w:instrText>
      </w:r>
      <w:r>
        <w:fldChar w:fldCharType="end"/>
      </w:r>
    </w:p>
    <w:p w14:paraId="4B7DFA38" w14:textId="77777777" w:rsidR="005E4707" w:rsidRDefault="00000000">
      <w:pPr>
        <w:pStyle w:val="BodyText"/>
      </w:pPr>
      <w:r>
        <w:t xml:space="preserve">The Blog Post’s predominant content—quotation of the heart of the Magazine Article—does not itself supply falsity about the Magazine. Where the Blog Post reproduces the Magazine’s own published words, the post </w:t>
      </w:r>
      <w:proofErr w:type="gramStart"/>
      <w:r>
        <w:t>is</w:t>
      </w:r>
      <w:proofErr w:type="gramEnd"/>
      <w:r>
        <w:t xml:space="preserve"> not </w:t>
      </w:r>
      <w:proofErr w:type="gramStart"/>
      <w:r>
        <w:t>stating</w:t>
      </w:r>
      <w:proofErr w:type="gramEnd"/>
      <w:r>
        <w:t xml:space="preserve"> a new, independent factual claim about the Magazine; it </w:t>
      </w:r>
      <w:proofErr w:type="gramStart"/>
      <w:r>
        <w:t>is presenting</w:t>
      </w:r>
      <w:proofErr w:type="gramEnd"/>
      <w:r>
        <w:t xml:space="preserve"> what the Magazine Article said. That matters because Cal. Civ. Code § 45 requires a “false” publication, and accurate quotation of the Magazine Article cannot be false as to what the Magazine published. </w:t>
      </w:r>
      <w:r>
        <w:fldChar w:fldCharType="begin"/>
      </w:r>
      <w:r>
        <w:instrText>TA \l "Cal. Civ. Code § 45" \s "California Civil Code Section 45" \c 2</w:instrText>
      </w:r>
      <w:r>
        <w:fldChar w:fldCharType="end"/>
      </w:r>
    </w:p>
    <w:p w14:paraId="3AF505EB" w14:textId="77777777" w:rsidR="005E4707" w:rsidRDefault="00000000">
      <w:pPr>
        <w:pStyle w:val="BodyText"/>
      </w:pPr>
      <w:r>
        <w:t xml:space="preserve">The remaining content is described in the record as criticism that was short relative to the quoted portion and ruthless in tone. In determining whether criticism is actionable, courts ask whether the challenged material would be understood by a reasonable reader as stating or implying a provably false assertion of fact, rather than expressing evaluative judgment. See </w:t>
      </w:r>
      <w:r>
        <w:rPr>
          <w:i/>
          <w:iCs/>
        </w:rPr>
        <w:t>Milkovich</w:t>
      </w:r>
      <w:r>
        <w:t xml:space="preserve"> v. </w:t>
      </w:r>
      <w:r>
        <w:rPr>
          <w:i/>
          <w:iCs/>
        </w:rPr>
        <w:t>Lorain Journal Co.</w:t>
      </w:r>
      <w:r>
        <w:t xml:space="preserve">, 497 U.S. 1 (1990). </w:t>
      </w:r>
      <w:r>
        <w:fldChar w:fldCharType="begin"/>
      </w:r>
      <w:r>
        <w:instrText>TA \l "Milkovich v. Lorain Journal Co.,     497 U.S. 1 (1990)" \s "Milkovich v. Lorain Journal Co., 497 U.S." \c 1</w:instrText>
      </w:r>
      <w:r>
        <w:fldChar w:fldCharType="end"/>
      </w:r>
      <w:r>
        <w:t xml:space="preserve"> Here, the Blog Post’s structure and context—substantial quotation followed by a brief </w:t>
      </w:r>
      <w:r>
        <w:lastRenderedPageBreak/>
        <w:t xml:space="preserve">critique—signals a reaction to disclosed material (the Magazine’s own text), not a presentation of undisclosed, verifiable facts about the Magazine. A short, ruthless critique may be damaging, but without a specific, factual representation capable of being proven false, it aligns with nonactionable opinion and rhetorical condemnation rather than libelous fact under the Milkovich framework. See </w:t>
      </w:r>
      <w:r>
        <w:rPr>
          <w:i/>
          <w:iCs/>
        </w:rPr>
        <w:t>Milkovich</w:t>
      </w:r>
      <w:r>
        <w:t xml:space="preserve"> v. </w:t>
      </w:r>
      <w:r>
        <w:rPr>
          <w:i/>
          <w:iCs/>
        </w:rPr>
        <w:t>Lorain Journal Co.</w:t>
      </w:r>
      <w:r>
        <w:t xml:space="preserve">, 497 U.S. 1 (1990). </w:t>
      </w:r>
      <w:r>
        <w:fldChar w:fldCharType="begin"/>
      </w:r>
      <w:r>
        <w:instrText>TA \l "Milkovich v. Lorain Journal Co.,     497 U.S. 1 (1990)" \s "Milkovich v. Lorain Journal Co., 497 U.S." \c 1</w:instrText>
      </w:r>
      <w:r>
        <w:fldChar w:fldCharType="end"/>
      </w:r>
    </w:p>
    <w:p w14:paraId="64F0DE76" w14:textId="77777777" w:rsidR="005E4707" w:rsidRDefault="00000000">
      <w:pPr>
        <w:pStyle w:val="BodyText"/>
      </w:pPr>
      <w:r>
        <w:t xml:space="preserve">Relatedly, the record’s description that Ms. Smith’s criticism “may have harmed the credibility of the Magazine” and that Global Media maintains the Blog has “cost the Magazine business” does not establish the statutory element of falsity. Cal. Civ. Code § 45. </w:t>
      </w:r>
      <w:r>
        <w:fldChar w:fldCharType="begin"/>
      </w:r>
      <w:r>
        <w:instrText>TA \l "Cal. Civ. Code § 45" \s "California Civil Code Section 45" \c 2</w:instrText>
      </w:r>
      <w:r>
        <w:fldChar w:fldCharType="end"/>
      </w:r>
      <w:r>
        <w:t xml:space="preserve"> Credibility harm can flow from readers’ exposure to the Magazine Article itself and disagreement with it, combined with a critic’s negative evaluation. Without an identified false factual assertion, reputational or business impact does not convert a critique into a false statement of fact, and it does not satisfy § 45’s requirement that the publication be “false.” </w:t>
      </w:r>
      <w:r>
        <w:fldChar w:fldCharType="begin"/>
      </w:r>
      <w:r>
        <w:instrText>TA \l "Cal. Civ. Code § 45" \s "California Civil Code Section 45" \c 2</w:instrText>
      </w:r>
      <w:r>
        <w:fldChar w:fldCharType="end"/>
      </w:r>
    </w:p>
    <w:p w14:paraId="079349C2" w14:textId="77777777" w:rsidR="005E4707" w:rsidRDefault="00000000">
      <w:pPr>
        <w:pStyle w:val="BodyText"/>
      </w:pPr>
      <w:r>
        <w:t xml:space="preserve">Nor </w:t>
      </w:r>
      <w:proofErr w:type="gramStart"/>
      <w:r>
        <w:t>does</w:t>
      </w:r>
      <w:proofErr w:type="gramEnd"/>
      <w:r>
        <w:t xml:space="preserve"> the record supply facts </w:t>
      </w:r>
      <w:proofErr w:type="gramStart"/>
      <w:r>
        <w:t>supporting</w:t>
      </w:r>
      <w:proofErr w:type="gramEnd"/>
      <w:r>
        <w:t xml:space="preserve"> falsity-by-implication. The Blog Post quoted the Magazine Article and then criticized it. Where the underlying material is disclosed (the heart of the Magazine Article is quoted), the critique does not inherently insinuate additional undisclosed defamatory facts; instead, the reader is placed in a position to assess the Magazine’s words directly and then consider Ms. Smith’s reaction. On these facts, the complained-of “sting” appears to arise from the combination of (</w:t>
      </w:r>
      <w:proofErr w:type="spellStart"/>
      <w:r>
        <w:t>i</w:t>
      </w:r>
      <w:proofErr w:type="spellEnd"/>
      <w:r>
        <w:t xml:space="preserve">) the Magazine’s own published content and (ii) Ms. Smith’s negative viewpoint, rather than from a materially false factual proposition about the Magazine. </w:t>
      </w:r>
      <w:r>
        <w:fldChar w:fldCharType="begin"/>
      </w:r>
      <w:r>
        <w:instrText>TA \l "Milkovich v. Lorain Journal Co.,     497 U.S. 1 (1990)" \s "Milkovich v. Lorain Journal Co., 497 U.S." \c 1</w:instrText>
      </w:r>
      <w:r>
        <w:fldChar w:fldCharType="end"/>
      </w:r>
    </w:p>
    <w:p w14:paraId="388158BD" w14:textId="77777777" w:rsidR="005E4707" w:rsidRDefault="00000000">
      <w:pPr>
        <w:pStyle w:val="BodyText"/>
      </w:pPr>
      <w:r>
        <w:lastRenderedPageBreak/>
        <w:t xml:space="preserve">Finally, § 45 requires an “unprivileged” publication with a defamatory tendency to injure in business. Cal. Civ. Code § 45. </w:t>
      </w:r>
      <w:r>
        <w:fldChar w:fldCharType="begin"/>
      </w:r>
      <w:r>
        <w:instrText>TA \l "Cal. Civ. Code § 45" \s "California Civil Code Section 45" \c 2</w:instrText>
      </w:r>
      <w:r>
        <w:fldChar w:fldCharType="end"/>
      </w:r>
      <w:r>
        <w:t xml:space="preserve"> </w:t>
      </w:r>
      <w:proofErr w:type="gramStart"/>
      <w:r>
        <w:t>Even</w:t>
      </w:r>
      <w:proofErr w:type="gramEnd"/>
      <w:r>
        <w:t xml:space="preserve"> assuming no privilege applies on this record, the defamatory-tendency inquiry still depends on the existence of a statement of fact that is false and injurious in its natural and probable effect. The fact that Global Media maintains the Blog Post harmed credibility and cost business does not substitute for the threshold requirement that Ms. Smith published a false and defamatory statement of fact. And to the extent the challenged language would not be defamatory “on its face,” Global Media would face the additional burden associated with non-facial libel. Cal. Civ. Code § 45a. </w:t>
      </w:r>
      <w:r>
        <w:fldChar w:fldCharType="begin"/>
      </w:r>
      <w:r>
        <w:instrText>TA \l "Cal. Civ. Code § 45a" \s "California Civil Code Section 45a" \c 2</w:instrText>
      </w:r>
      <w:r>
        <w:fldChar w:fldCharType="end"/>
      </w:r>
      <w:r>
        <w:t xml:space="preserve"> Given the record’s framing of the post as mostly quotation plus brief, ruthless criticism, the Blog Post is best understood as criticism of a Magazine Article rather than a publication of false, unprivileged factual assertions tending to injure the Magazine in its business under § 45. </w:t>
      </w:r>
      <w:r>
        <w:fldChar w:fldCharType="begin"/>
      </w:r>
      <w:r>
        <w:instrText>TA \l "Cal. Civ. Code § 45" \s "California Civil Code Section 45" \c 2</w:instrText>
      </w:r>
      <w:r>
        <w:fldChar w:fldCharType="end"/>
      </w:r>
      <w:bookmarkEnd w:id="18"/>
    </w:p>
    <w:p w14:paraId="55362C84" w14:textId="77777777" w:rsidR="005E4707" w:rsidRDefault="00000000">
      <w:pPr>
        <w:pStyle w:val="Heading2"/>
      </w:pPr>
      <w:bookmarkStart w:id="19" w:name="_Toc256000010"/>
      <w:r>
        <w:t xml:space="preserve">If the critique is per </w:t>
      </w:r>
      <w:proofErr w:type="spellStart"/>
      <w:r>
        <w:t>quod</w:t>
      </w:r>
      <w:proofErr w:type="spellEnd"/>
      <w:r>
        <w:t>, Global Media must prove special damages</w:t>
      </w:r>
      <w:bookmarkEnd w:id="19"/>
    </w:p>
    <w:p w14:paraId="1A56A656" w14:textId="77777777" w:rsidR="005E4707" w:rsidRDefault="00000000">
      <w:pPr>
        <w:pStyle w:val="FirstParagraph"/>
      </w:pPr>
      <w:r>
        <w:t xml:space="preserve">California law distinguishes between libel that is defamatory “on its face” and libel that becomes defamatory only when combined with extrinsic facts. Cal. Civ. Code § 45a. </w:t>
      </w:r>
      <w:r>
        <w:fldChar w:fldCharType="begin"/>
      </w:r>
      <w:r>
        <w:instrText>TA \l "Cal. Civ. Code § 45a" \s "California Civil Code Section 45a" \c 2</w:instrText>
      </w:r>
      <w:r>
        <w:fldChar w:fldCharType="end"/>
      </w:r>
      <w:r>
        <w:t xml:space="preserve"> Where the alleged defamatory sting is not apparent from the publication itself and requires inducement or innuendo to understand, the publication is not a “libel on its face” within the meaning of § 45a, and the plaintiff may not proceed on presumed or general damages. Id. </w:t>
      </w:r>
      <w:r>
        <w:fldChar w:fldCharType="begin"/>
      </w:r>
      <w:r>
        <w:instrText>TA \l "Cal. Civ. Code § 45a" \s "California Civil Code Section 45a" \c 2</w:instrText>
      </w:r>
      <w:r>
        <w:fldChar w:fldCharType="end"/>
      </w:r>
      <w:r>
        <w:t xml:space="preserve"> Instead, the statute imposes a special-damages requirement as a condition of recovery for such a claim. Id. </w:t>
      </w:r>
      <w:r>
        <w:fldChar w:fldCharType="begin"/>
      </w:r>
      <w:r>
        <w:instrText>TA \l "Cal. Civ. Code § 45a" \s "California Civil Code Section 45a" \c 2</w:instrText>
      </w:r>
      <w:r>
        <w:fldChar w:fldCharType="end"/>
      </w:r>
    </w:p>
    <w:p w14:paraId="0937F7AE" w14:textId="77777777" w:rsidR="005E4707" w:rsidRDefault="00000000">
      <w:pPr>
        <w:pStyle w:val="BodyText"/>
      </w:pPr>
      <w:r>
        <w:lastRenderedPageBreak/>
        <w:t xml:space="preserve">Applied here, if the court determines that any defamatory meaning of Ms. Smith’s critique is not apparent from the four corners of the Blog Post—particularly given that the Blog Post primarily quoted the heart of the Magazine Article and included limited additional content beyond Ms. Smith’s short (though “ruthless”) criticism—then § 45a controls. </w:t>
      </w:r>
      <w:r>
        <w:fldChar w:fldCharType="begin"/>
      </w:r>
      <w:r>
        <w:instrText>TA \l "Cal. Civ. Code § 45a" \s "California Civil Code Section 45a" \c 2</w:instrText>
      </w:r>
      <w:r>
        <w:fldChar w:fldCharType="end"/>
      </w:r>
      <w:r>
        <w:t xml:space="preserve"> On that characterization, Global Media cannot satisfy its burden merely by asserting that Ms. Smith’s criticism “may have harmed the credibility of the Magazine” or by alleging in general terms that the Blog “has cost the Magazine business.” Those assertions describe reputational or credibility harm, which—without more—does not establish the concrete pecuniary loss § 45a requires. </w:t>
      </w:r>
      <w:r>
        <w:fldChar w:fldCharType="begin"/>
      </w:r>
      <w:r>
        <w:instrText>TA \l "Cal. Civ. Code § 45a" \s "California Civil Code Section 45a" \c 2</w:instrText>
      </w:r>
      <w:r>
        <w:fldChar w:fldCharType="end"/>
      </w:r>
    </w:p>
    <w:p w14:paraId="432577CC" w14:textId="77777777" w:rsidR="005E4707" w:rsidRDefault="00000000">
      <w:pPr>
        <w:pStyle w:val="BodyText"/>
      </w:pPr>
      <w:r>
        <w:t xml:space="preserve">Section 45a’s special-damages requirement focuses on actual economic loss to the plaintiff, not simply unfavorable commentary or diminished credibility. Cal. Civ. Code § 45a. </w:t>
      </w:r>
      <w:r>
        <w:fldChar w:fldCharType="begin"/>
      </w:r>
      <w:r>
        <w:instrText>TA \l "Cal. Civ. Code § 45a" \s "California Civil Code Section 45a" \c 2</w:instrText>
      </w:r>
      <w:r>
        <w:fldChar w:fldCharType="end"/>
      </w:r>
      <w:r>
        <w:t xml:space="preserve"> Accordingly, to proceed on a per </w:t>
      </w:r>
      <w:proofErr w:type="spellStart"/>
      <w:r>
        <w:t>quod</w:t>
      </w:r>
      <w:proofErr w:type="spellEnd"/>
      <w:r>
        <w:t xml:space="preserve"> theory, Global Media must identify a non-speculative monetary loss attributable to the Blog Post itself (for example, specific lost revenue or other measurable economic injury), rather than relying on broad statements that the Magazine was harmed in the marketplace. Id. </w:t>
      </w:r>
      <w:r>
        <w:fldChar w:fldCharType="begin"/>
      </w:r>
      <w:r>
        <w:instrText>TA \l "Cal. Civ. Code § 45a" \s "California Civil Code Section 45a" \c 2</w:instrText>
      </w:r>
      <w:r>
        <w:fldChar w:fldCharType="end"/>
      </w:r>
      <w:r>
        <w:t xml:space="preserve"> A generalized claim of “lost business,” untethered to identified pecuniary loss, does not supply the type of special damages contemplated by § 45a.</w:t>
      </w:r>
    </w:p>
    <w:p w14:paraId="0F719FAF" w14:textId="77777777" w:rsidR="005E4707" w:rsidRDefault="00000000">
      <w:pPr>
        <w:pStyle w:val="BodyText"/>
      </w:pPr>
      <w:r>
        <w:t xml:space="preserve">The record as stated also underscores the difficulty of proving special </w:t>
      </w:r>
      <w:proofErr w:type="gramStart"/>
      <w:r>
        <w:t>damages</w:t>
      </w:r>
      <w:proofErr w:type="gramEnd"/>
      <w:r>
        <w:t xml:space="preserve"> with the necessary causal connection to the Blog Post. The Blog has no advertisers, and the Blog Post largely consisted of quoting the Magazine Article followed by brief criticism. In that posture, even if Global Media attempts to quantify a downturn in the Magazine’s business, § 45a still requires proof that the Blog Post was a substantial factor </w:t>
      </w:r>
      <w:r>
        <w:lastRenderedPageBreak/>
        <w:t xml:space="preserve">in causing the specific pecuniary losses claimed, and that any amount is reasonably certain rather than speculative. Cal. Civ. Code § 45a. </w:t>
      </w:r>
      <w:r>
        <w:fldChar w:fldCharType="begin"/>
      </w:r>
      <w:r>
        <w:instrText>TA \l "Cal. Civ. Code § 45a" \s "California Civil Code Section 45a" \c 2</w:instrText>
      </w:r>
      <w:r>
        <w:fldChar w:fldCharType="end"/>
      </w:r>
      <w:r>
        <w:t xml:space="preserve"> Without transaction-level evidence tying particular economic losses to the Blog Post, a damages theory risks resting on inference from alleged credibility harm—precisely the type of generalized harm that does not satisfy § 45a’s requirement.</w:t>
      </w:r>
    </w:p>
    <w:p w14:paraId="1507B67F" w14:textId="77777777" w:rsidR="005E4707" w:rsidRDefault="00000000">
      <w:pPr>
        <w:pStyle w:val="BodyText"/>
      </w:pPr>
      <w:r>
        <w:t xml:space="preserve">Finally, Global Media’s assertion that Ms. Smith benefited through increased voluntary contributions to her Blog does not itself establish Global Media’s special damages. Cal. Civ. Code § 45a. </w:t>
      </w:r>
      <w:r>
        <w:fldChar w:fldCharType="begin"/>
      </w:r>
      <w:r>
        <w:instrText>TA \l "Cal. Civ. Code § 45a" \s "California Civil Code Section 45a" \c 2</w:instrText>
      </w:r>
      <w:r>
        <w:fldChar w:fldCharType="end"/>
      </w:r>
      <w:r>
        <w:t xml:space="preserve"> The statute requires proof of the plaintiff’s pecuniary loss; an alleged benefit to the speaker does not substitute for a showing that Global Media incurred specific, quantifiable economic harm because of the Blog Post. Id. </w:t>
      </w:r>
      <w:r>
        <w:fldChar w:fldCharType="begin"/>
      </w:r>
      <w:r>
        <w:instrText>TA \l "Cal. Civ. Code § 45a" \s "California Civil Code Section 45a" \c 2</w:instrText>
      </w:r>
      <w:r>
        <w:fldChar w:fldCharType="end"/>
      </w:r>
    </w:p>
    <w:p w14:paraId="63F0E945" w14:textId="77777777" w:rsidR="005E4707" w:rsidRDefault="00000000">
      <w:bookmarkStart w:id="20" w:name="argument"/>
      <w:bookmarkStart w:id="21" w:name="Xfffb7bdf3499f0a622df5eeedf94a7421bc6fef"/>
      <w:bookmarkEnd w:id="20"/>
      <w:bookmarkEnd w:id="21"/>
      <w:r>
        <w:br w:type="page"/>
      </w:r>
    </w:p>
    <w:p w14:paraId="2C31F2AE" w14:textId="77777777" w:rsidR="005E4707" w:rsidRDefault="00000000">
      <w:pPr>
        <w:pStyle w:val="Heading1"/>
      </w:pPr>
      <w:bookmarkStart w:id="22" w:name="_Toc256000011"/>
      <w:r>
        <w:lastRenderedPageBreak/>
        <w:t>Conclusion</w:t>
      </w:r>
      <w:bookmarkEnd w:id="22"/>
    </w:p>
    <w:p w14:paraId="1337C54C" w14:textId="77777777" w:rsidR="005E4707" w:rsidRDefault="00000000">
      <w:pPr>
        <w:pStyle w:val="FirstParagraph"/>
      </w:pPr>
      <w:r>
        <w:t xml:space="preserve">For the foregoing reasons, Global Media cannot establish the elements necessary to prevail on its copyright or libel claims, and Ms. Smith is entitled to judgment as a matter of law. The record confirms that any limited copying was not substantially </w:t>
      </w:r>
      <w:proofErr w:type="gramStart"/>
      <w:r>
        <w:t>similar to</w:t>
      </w:r>
      <w:proofErr w:type="gramEnd"/>
      <w:r>
        <w:t xml:space="preserve"> protectable expression and, in any event, is independently justified as fair use under 17 U.S.C. § 107. Global Media’s libel theory likewise fails because the Blog Post does not convey a provably false, unprivileged statement of fact actionable under Cal. Civ. Code § 45; and to the extent any defamatory meaning depends on extrinsic facts, Cal. Civ. Code § 45a requires proof of special </w:t>
      </w:r>
      <w:proofErr w:type="gramStart"/>
      <w:r>
        <w:t>damages</w:t>
      </w:r>
      <w:proofErr w:type="gramEnd"/>
      <w:r>
        <w:t xml:space="preserve"> that Global Media has not shown. Accordingly, the Court should enter judgment in favor of Ms. Smith and against Global Media.</w:t>
      </w:r>
    </w:p>
    <w:p w14:paraId="5D989E0B" w14:textId="77777777" w:rsidR="005E4707" w:rsidRDefault="005E4707">
      <w:pPr>
        <w:spacing w:before="240" w:after="240"/>
      </w:pPr>
    </w:p>
    <w:tbl>
      <w:tblPr>
        <w:tblW w:w="9360" w:type="dxa"/>
        <w:tblLayout w:type="fixed"/>
        <w:tblLook w:val="04A0" w:firstRow="1" w:lastRow="0" w:firstColumn="1" w:lastColumn="0" w:noHBand="0" w:noVBand="1"/>
      </w:tblPr>
      <w:tblGrid>
        <w:gridCol w:w="4681"/>
        <w:gridCol w:w="4679"/>
      </w:tblGrid>
      <w:tr w:rsidR="005E4707" w14:paraId="46DEBDB2" w14:textId="77777777">
        <w:tc>
          <w:tcPr>
            <w:tcW w:w="4680" w:type="dxa"/>
          </w:tcPr>
          <w:p w14:paraId="42F3F6FE" w14:textId="77777777" w:rsidR="005E4707" w:rsidRDefault="00000000">
            <w:pPr>
              <w:widowControl w:val="0"/>
              <w:spacing w:before="240"/>
            </w:pPr>
            <w:r>
              <w:t>Dated: [DATE]</w:t>
            </w:r>
          </w:p>
        </w:tc>
        <w:tc>
          <w:tcPr>
            <w:tcW w:w="4679" w:type="dxa"/>
          </w:tcPr>
          <w:p w14:paraId="245756CD" w14:textId="77777777" w:rsidR="005E4707" w:rsidRDefault="00000000">
            <w:pPr>
              <w:widowControl w:val="0"/>
              <w:spacing w:after="240"/>
            </w:pPr>
            <w:r>
              <w:t>Respectfully submitted,</w:t>
            </w:r>
          </w:p>
          <w:p w14:paraId="45A9B8DC" w14:textId="77777777" w:rsidR="005E4707" w:rsidRDefault="00000000">
            <w:pPr>
              <w:widowControl w:val="0"/>
              <w:spacing w:before="480" w:after="0"/>
            </w:pPr>
            <w:r>
              <w:t>____________________________</w:t>
            </w:r>
          </w:p>
          <w:p w14:paraId="1B25A737" w14:textId="77777777" w:rsidR="005E4707" w:rsidRDefault="00000000">
            <w:pPr>
              <w:widowControl w:val="0"/>
              <w:spacing w:before="120" w:after="0"/>
            </w:pPr>
            <w:r>
              <w:t>[ATTORNEY NAME]</w:t>
            </w:r>
          </w:p>
          <w:p w14:paraId="0E8CB3E9" w14:textId="77777777" w:rsidR="005E4707" w:rsidRDefault="00000000">
            <w:pPr>
              <w:widowControl w:val="0"/>
              <w:spacing w:after="0"/>
            </w:pPr>
            <w:r>
              <w:t>Attorney for Plaintiff</w:t>
            </w:r>
          </w:p>
        </w:tc>
      </w:tr>
    </w:tbl>
    <w:p w14:paraId="6A203D83" w14:textId="77777777" w:rsidR="005E4707" w:rsidRDefault="00000000">
      <w:bookmarkStart w:id="23" w:name="conclusion"/>
      <w:bookmarkEnd w:id="23"/>
      <w:r>
        <w:br w:type="page"/>
      </w:r>
    </w:p>
    <w:p w14:paraId="71E4C159" w14:textId="77777777" w:rsidR="005E4707" w:rsidRDefault="00000000">
      <w:pPr>
        <w:pStyle w:val="Heading1"/>
      </w:pPr>
      <w:bookmarkStart w:id="24" w:name="_Toc256000012"/>
      <w:r>
        <w:lastRenderedPageBreak/>
        <w:t>Certificate of Compliance</w:t>
      </w:r>
      <w:bookmarkEnd w:id="24"/>
    </w:p>
    <w:p w14:paraId="6FDA6FB6" w14:textId="77777777" w:rsidR="005E4707" w:rsidRDefault="00000000">
      <w:pPr>
        <w:pStyle w:val="centeredstyle"/>
      </w:pPr>
      <w:r>
        <w:t>CERTIFICATE OF COMPLIANCE WITH [COURT_RULES]</w:t>
      </w:r>
    </w:p>
    <w:p w14:paraId="29FC870A" w14:textId="77777777" w:rsidR="005E4707" w:rsidRDefault="00000000">
      <w:pPr>
        <w:pStyle w:val="BodyText"/>
      </w:pPr>
      <w:r>
        <w:t>I, [YOUR_NAME], counsel for the Plaintiff, hereby certify that, according to the word-count tool in Microsoft Word, the Brief of Plaintiff consists of 5066 words, excluding footnotes. The Brief therefore complies with [COURT_RULES] and is within the [WORD_LIMIT] word limit.</w:t>
      </w:r>
    </w:p>
    <w:p w14:paraId="57D55017" w14:textId="77777777" w:rsidR="005E4707" w:rsidRDefault="00000000">
      <w:pPr>
        <w:pStyle w:val="BodyText"/>
      </w:pPr>
      <w:r>
        <w:t xml:space="preserve">Dated 05 of </w:t>
      </w:r>
      <w:proofErr w:type="gramStart"/>
      <w:r>
        <w:t>March,</w:t>
      </w:r>
      <w:proofErr w:type="gramEnd"/>
      <w:r>
        <w:t xml:space="preserve"> 2026.</w:t>
      </w:r>
    </w:p>
    <w:p w14:paraId="2D6E6ACF" w14:textId="77777777" w:rsidR="005E4707" w:rsidRDefault="00000000">
      <w:r>
        <w:rPr>
          <w:noProof/>
        </w:rPr>
        <mc:AlternateContent>
          <mc:Choice Requires="wps">
            <w:drawing>
              <wp:inline distT="0" distB="0" distL="0" distR="0" wp14:anchorId="7C9F505E" wp14:editId="06DB1FC3">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25" style="width:467.95pt;height:1.45pt;margin-top:0;margin-left:0;mso-position-horizontal:center;mso-position-vertical:top;mso-wrap-style:none;position:absolute;v-text-anchor:middle;z-index:251658240" o:allowincell="f" fillcolor="white" stroked="t" strokecolor="black">
                <v:fill color2="black" type="solid" o:detectmouseclick="t"/>
                <v:stroke joinstyle="round" endcap="flat"/>
                <w10:wrap type="topAndBottom"/>
              </v:rect>
            </w:pict>
          </mc:Fallback>
        </mc:AlternateContent>
      </w:r>
    </w:p>
    <w:p w14:paraId="0004429F" w14:textId="77777777" w:rsidR="005E4707" w:rsidRDefault="00000000">
      <w:r>
        <w:rPr>
          <w:noProof/>
        </w:rPr>
        <mc:AlternateContent>
          <mc:Choice Requires="wps">
            <w:drawing>
              <wp:inline distT="0" distB="0" distL="0" distR="0" wp14:anchorId="1F5E27D3" wp14:editId="7A2A9507">
                <wp:extent cx="5943600" cy="19050"/>
                <wp:effectExtent l="0" t="0" r="0" b="0"/>
                <wp:docPr id="2" name="Rectangle 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26" style="width:467.95pt;height:1.45pt;margin-top:0;margin-left:0;mso-position-horizontal:center;mso-position-vertical:top;mso-wrap-style:none;position:absolute;v-text-anchor:middle;z-index:251659264" o:allowincell="f" fillcolor="white" stroked="t" strokecolor="black">
                <v:fill color2="black" type="solid" o:detectmouseclick="t"/>
                <v:stroke joinstyle="round" endcap="flat"/>
                <w10:wrap type="topAndBottom"/>
              </v:rect>
            </w:pict>
          </mc:Fallback>
        </mc:AlternateContent>
      </w:r>
    </w:p>
    <w:p w14:paraId="3E7C82D0" w14:textId="77777777" w:rsidR="005E4707" w:rsidRDefault="00000000">
      <w:pPr>
        <w:pStyle w:val="FirstParagraph"/>
      </w:pPr>
      <w:r>
        <w:t>[YOUR_NAME]</w:t>
      </w:r>
    </w:p>
    <w:p w14:paraId="49B3301E" w14:textId="77777777" w:rsidR="005E4707" w:rsidRDefault="00000000">
      <w:pPr>
        <w:pStyle w:val="BodyText"/>
      </w:pPr>
      <w:r>
        <w:t>[YOUR_FIRM]</w:t>
      </w:r>
    </w:p>
    <w:p w14:paraId="7A49CC55" w14:textId="77777777" w:rsidR="005E4707" w:rsidRDefault="00000000">
      <w:pPr>
        <w:pStyle w:val="BodyText"/>
      </w:pPr>
      <w:r>
        <w:t>[YOUR_ADDRESS]</w:t>
      </w:r>
    </w:p>
    <w:p w14:paraId="7C30C61F" w14:textId="77777777" w:rsidR="005E4707" w:rsidRDefault="00000000">
      <w:pPr>
        <w:pStyle w:val="BodyText"/>
      </w:pPr>
      <w:r>
        <w:t>[CITY, STATE ZIP]</w:t>
      </w:r>
    </w:p>
    <w:p w14:paraId="762D8D2B" w14:textId="77777777" w:rsidR="005E4707" w:rsidRDefault="00000000">
      <w:pPr>
        <w:pStyle w:val="BodyText"/>
      </w:pPr>
      <w:r>
        <w:t>[PHONE]</w:t>
      </w:r>
    </w:p>
    <w:p w14:paraId="4C8D98D7" w14:textId="77777777" w:rsidR="005E4707" w:rsidRDefault="00000000">
      <w:pPr>
        <w:pStyle w:val="BodyText"/>
      </w:pPr>
      <w:r>
        <w:t>[EMAIL]</w:t>
      </w:r>
    </w:p>
    <w:p w14:paraId="6F2D516F" w14:textId="77777777" w:rsidR="005E4707" w:rsidRDefault="00000000">
      <w:bookmarkStart w:id="25" w:name="certificate-of-compliance"/>
      <w:bookmarkEnd w:id="25"/>
      <w:r>
        <w:br w:type="page"/>
      </w:r>
    </w:p>
    <w:p w14:paraId="389A0DA7" w14:textId="77777777" w:rsidR="005E4707" w:rsidRDefault="00000000">
      <w:pPr>
        <w:pStyle w:val="Heading1"/>
      </w:pPr>
      <w:bookmarkStart w:id="26" w:name="_Toc256000013"/>
      <w:bookmarkStart w:id="27" w:name="certificate-of-service"/>
      <w:r>
        <w:lastRenderedPageBreak/>
        <w:t>Certificate of Service</w:t>
      </w:r>
      <w:bookmarkEnd w:id="26"/>
    </w:p>
    <w:p w14:paraId="090AA31A" w14:textId="77777777" w:rsidR="005E4707" w:rsidRDefault="00000000">
      <w:pPr>
        <w:pStyle w:val="centeredstyle"/>
      </w:pPr>
      <w:r>
        <w:t>NO. [CASE_NUMBER]</w:t>
      </w:r>
    </w:p>
    <w:p w14:paraId="781FD157" w14:textId="77777777" w:rsidR="005E4707" w:rsidRDefault="00000000">
      <w:pPr>
        <w:pStyle w:val="centeredstyle"/>
      </w:pPr>
      <w:r>
        <w:t>IN THE UNITED STATES DISTRICT COURT, [DISTRICT] DISTRICT OF CALIFORNIA</w:t>
      </w:r>
    </w:p>
    <w:p w14:paraId="77AEFFF2" w14:textId="77777777" w:rsidR="005E4707" w:rsidRDefault="00000000">
      <w:r>
        <w:rPr>
          <w:noProof/>
        </w:rPr>
        <mc:AlternateContent>
          <mc:Choice Requires="wps">
            <w:drawing>
              <wp:inline distT="0" distB="0" distL="0" distR="0" wp14:anchorId="4EA42368" wp14:editId="09EF1BFC">
                <wp:extent cx="5943600" cy="19050"/>
                <wp:effectExtent l="0" t="0" r="0" b="0"/>
                <wp:docPr id="3" name="Rectangle 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27" style="width:467.95pt;height:1.45pt;margin-top:0;margin-left:0;mso-position-horizontal:center;mso-position-vertical:top;mso-wrap-style:none;position:absolute;v-text-anchor:middle;z-index:251660288" o:allowincell="f" fillcolor="white" stroked="t" strokecolor="black">
                <v:fill color2="black" type="solid" o:detectmouseclick="t"/>
                <v:stroke joinstyle="round" endcap="flat"/>
                <w10:wrap type="topAndBottom"/>
              </v:rect>
            </w:pict>
          </mc:Fallback>
        </mc:AlternateContent>
      </w:r>
    </w:p>
    <w:p w14:paraId="0F9DE52C" w14:textId="77777777" w:rsidR="005E4707" w:rsidRDefault="00000000">
      <w:pPr>
        <w:pStyle w:val="centeredstyle"/>
      </w:pPr>
      <w:r>
        <w:t>GLOBAL MEDIA, INC.</w:t>
      </w:r>
    </w:p>
    <w:p w14:paraId="376D7F02" w14:textId="77777777" w:rsidR="005E4707" w:rsidRDefault="00000000">
      <w:pPr>
        <w:pStyle w:val="centeredstyle"/>
      </w:pPr>
      <w:r>
        <w:t>v.</w:t>
      </w:r>
    </w:p>
    <w:p w14:paraId="7EAE4823" w14:textId="77777777" w:rsidR="005E4707" w:rsidRDefault="00000000">
      <w:pPr>
        <w:pStyle w:val="centeredstyle"/>
      </w:pPr>
      <w:r>
        <w:t>JANE SMITH</w:t>
      </w:r>
    </w:p>
    <w:p w14:paraId="7F1273CD" w14:textId="77777777" w:rsidR="005E4707" w:rsidRDefault="00000000">
      <w:r>
        <w:rPr>
          <w:noProof/>
        </w:rPr>
        <mc:AlternateContent>
          <mc:Choice Requires="wps">
            <w:drawing>
              <wp:inline distT="0" distB="0" distL="0" distR="0" wp14:anchorId="351145CC" wp14:editId="72AF863D">
                <wp:extent cx="5943600" cy="19050"/>
                <wp:effectExtent l="0" t="0" r="0" b="0"/>
                <wp:docPr id="4" name="Rectangle 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28" style="width:467.95pt;height:1.45pt;margin-top:0;margin-left:0;mso-position-horizontal:center;mso-position-vertical:top;mso-wrap-style:none;position:absolute;v-text-anchor:middle;z-index:251661312" o:allowincell="f" fillcolor="white" stroked="t" strokecolor="black">
                <v:fill color2="black" type="solid" o:detectmouseclick="t"/>
                <v:stroke joinstyle="round" endcap="flat"/>
                <w10:wrap type="topAndBottom"/>
              </v:rect>
            </w:pict>
          </mc:Fallback>
        </mc:AlternateContent>
      </w:r>
    </w:p>
    <w:p w14:paraId="01F180E1" w14:textId="77777777" w:rsidR="005E4707" w:rsidRDefault="00000000">
      <w:pPr>
        <w:pStyle w:val="centeredstyle"/>
      </w:pPr>
      <w:r>
        <w:t>CERTIFICATE OF SERVICE</w:t>
      </w:r>
    </w:p>
    <w:p w14:paraId="28E9DF87" w14:textId="77777777" w:rsidR="005E4707" w:rsidRDefault="00000000">
      <w:pPr>
        <w:pStyle w:val="BodyText"/>
      </w:pPr>
      <w:r>
        <w:t xml:space="preserve">This is to certify that I am </w:t>
      </w:r>
      <w:proofErr w:type="gramStart"/>
      <w:r>
        <w:t>counsel</w:t>
      </w:r>
      <w:proofErr w:type="gramEnd"/>
      <w:r>
        <w:t xml:space="preserve"> for the Plaintiff in the above-captioned case. On Thursday, March 05, 2026, I served a copy of the foregoing </w:t>
      </w:r>
      <w:proofErr w:type="gramStart"/>
      <w:r>
        <w:t>brief: ‘</w:t>
      </w:r>
      <w:proofErr w:type="gramEnd"/>
      <w:r>
        <w:t>Legal Brief’ by [METHOD_OF_SERVICE] on the following parties:</w:t>
      </w:r>
    </w:p>
    <w:p w14:paraId="2F3102D5" w14:textId="77777777" w:rsidR="005E4707" w:rsidRDefault="00000000">
      <w:pPr>
        <w:pStyle w:val="BodyText"/>
      </w:pPr>
      <w:r>
        <w:t xml:space="preserve">Dated 05 of </w:t>
      </w:r>
      <w:proofErr w:type="gramStart"/>
      <w:r>
        <w:t>March,</w:t>
      </w:r>
      <w:proofErr w:type="gramEnd"/>
      <w:r>
        <w:t xml:space="preserve"> 2026.</w:t>
      </w:r>
    </w:p>
    <w:p w14:paraId="0646661F" w14:textId="77777777" w:rsidR="005E4707" w:rsidRDefault="00000000">
      <w:r>
        <w:rPr>
          <w:noProof/>
        </w:rPr>
        <mc:AlternateContent>
          <mc:Choice Requires="wps">
            <w:drawing>
              <wp:inline distT="0" distB="0" distL="0" distR="0" wp14:anchorId="52BDB7E9" wp14:editId="53455942">
                <wp:extent cx="5943600" cy="19050"/>
                <wp:effectExtent l="0" t="0" r="0" b="0"/>
                <wp:docPr id="5" name="Rectangle 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29" style="width:467.95pt;height:1.45pt;margin-top:0;margin-left:0;mso-position-horizontal:center;mso-position-vertical:top;mso-wrap-style:none;position:absolute;v-text-anchor:middle;z-index:251662336" o:allowincell="f" fillcolor="white" stroked="t" strokecolor="black">
                <v:fill color2="black" type="solid" o:detectmouseclick="t"/>
                <v:stroke joinstyle="round" endcap="flat"/>
                <w10:wrap type="topAndBottom"/>
              </v:rect>
            </w:pict>
          </mc:Fallback>
        </mc:AlternateContent>
      </w:r>
    </w:p>
    <w:p w14:paraId="55C86457" w14:textId="77777777" w:rsidR="005E4707" w:rsidRDefault="00000000">
      <w:r>
        <w:rPr>
          <w:noProof/>
        </w:rPr>
        <mc:AlternateContent>
          <mc:Choice Requires="wps">
            <w:drawing>
              <wp:inline distT="0" distB="0" distL="0" distR="0" wp14:anchorId="267E1D3C" wp14:editId="4F343B9F">
                <wp:extent cx="5943600" cy="19050"/>
                <wp:effectExtent l="0" t="0" r="0" b="0"/>
                <wp:docPr id="6" name="Rectangle 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_x0000_s1030" style="width:467.95pt;height:1.45pt;margin-top:0;margin-left:0;mso-position-horizontal:center;mso-position-vertical:top;mso-wrap-style:none;position:absolute;v-text-anchor:middle;z-index:251663360" o:allowincell="f" fillcolor="white" stroked="t" strokecolor="black">
                <v:fill color2="black" type="solid" o:detectmouseclick="t"/>
                <v:stroke joinstyle="round" endcap="flat"/>
                <w10:wrap type="topAndBottom"/>
              </v:rect>
            </w:pict>
          </mc:Fallback>
        </mc:AlternateContent>
      </w:r>
    </w:p>
    <w:p w14:paraId="03BE3679" w14:textId="77777777" w:rsidR="005E4707" w:rsidRDefault="00000000">
      <w:pPr>
        <w:pStyle w:val="FirstParagraph"/>
      </w:pPr>
      <w:r>
        <w:t>[YOUR_NAME]</w:t>
      </w:r>
    </w:p>
    <w:p w14:paraId="333C83C5" w14:textId="77777777" w:rsidR="005E4707" w:rsidRDefault="00000000">
      <w:pPr>
        <w:pStyle w:val="BodyText"/>
      </w:pPr>
      <w:r>
        <w:t>[YOUR_FIRM]</w:t>
      </w:r>
    </w:p>
    <w:p w14:paraId="3397DECE" w14:textId="77777777" w:rsidR="005E4707" w:rsidRDefault="00000000">
      <w:pPr>
        <w:pStyle w:val="BodyText"/>
      </w:pPr>
      <w:r>
        <w:t>[YOUR_ADDRESS]</w:t>
      </w:r>
    </w:p>
    <w:p w14:paraId="644B4E30" w14:textId="77777777" w:rsidR="005E4707" w:rsidRDefault="00000000">
      <w:pPr>
        <w:pStyle w:val="BodyText"/>
      </w:pPr>
      <w:r>
        <w:t>[CITY, STATE ZIP]</w:t>
      </w:r>
    </w:p>
    <w:p w14:paraId="380380F9" w14:textId="77777777" w:rsidR="005E4707" w:rsidRDefault="00000000">
      <w:pPr>
        <w:pStyle w:val="BodyText"/>
      </w:pPr>
      <w:r>
        <w:t>[PHONE]</w:t>
      </w:r>
    </w:p>
    <w:p w14:paraId="79779BC2" w14:textId="77777777" w:rsidR="005E4707" w:rsidRDefault="00000000">
      <w:pPr>
        <w:pStyle w:val="BodyText"/>
      </w:pPr>
      <w:r>
        <w:t>[EMAIL]</w:t>
      </w:r>
      <w:bookmarkEnd w:id="27"/>
    </w:p>
    <w:sectPr w:rsidR="005E4707">
      <w:footerReference w:type="even" r:id="rId7"/>
      <w:footerReference w:type="default" r:id="rId8"/>
      <w:pgSz w:w="12240" w:h="15840"/>
      <w:pgMar w:top="1440" w:right="1440" w:bottom="1440" w:left="1440" w:header="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7119E" w14:textId="77777777" w:rsidR="000E20B7" w:rsidRDefault="000E20B7">
      <w:pPr>
        <w:spacing w:after="0"/>
      </w:pPr>
      <w:r>
        <w:separator/>
      </w:r>
    </w:p>
  </w:endnote>
  <w:endnote w:type="continuationSeparator" w:id="0">
    <w:p w14:paraId="1B4BC4AE" w14:textId="77777777" w:rsidR="000E20B7" w:rsidRDefault="000E20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imes New Roman (Headings 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s New Roman (Body CS)">
    <w:panose1 w:val="00000000000000000000"/>
    <w:charset w:val="00"/>
    <w:family w:val="roman"/>
    <w:notTrueType/>
    <w:pitch w:val="default"/>
  </w:font>
  <w:font w:name="Liberation Sans">
    <w:altName w:val="Arial"/>
    <w:charset w:val="00"/>
    <w:family w:val="swiss"/>
    <w:pitch w:val="variable"/>
  </w:font>
  <w:font w:name="Noto Sans">
    <w:panose1 w:val="00000000000000000000"/>
    <w:charset w:val="00"/>
    <w:family w:val="roman"/>
    <w:notTrueType/>
    <w:pitch w:val="default"/>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74638"/>
      <w:docPartObj>
        <w:docPartGallery w:val="Page Numbers (Bottom of Page)"/>
        <w:docPartUnique/>
      </w:docPartObj>
    </w:sdtPr>
    <w:sdtContent>
      <w:p w14:paraId="518BE5A8" w14:textId="77777777" w:rsidR="005E4707"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7EF6492D" w14:textId="77777777" w:rsidR="005E4707" w:rsidRDefault="005E4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630416"/>
      <w:docPartObj>
        <w:docPartGallery w:val="Page Numbers (Bottom of Page)"/>
        <w:docPartUnique/>
      </w:docPartObj>
    </w:sdtPr>
    <w:sdtContent>
      <w:p w14:paraId="58509AC8" w14:textId="77777777" w:rsidR="005E4707"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sdtContent>
  </w:sdt>
  <w:p w14:paraId="274EC9AB" w14:textId="77777777" w:rsidR="005E4707" w:rsidRDefault="005E4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867E" w14:textId="77777777" w:rsidR="000E20B7" w:rsidRDefault="000E20B7">
      <w:pPr>
        <w:spacing w:after="0"/>
      </w:pPr>
      <w:r>
        <w:separator/>
      </w:r>
    </w:p>
  </w:footnote>
  <w:footnote w:type="continuationSeparator" w:id="0">
    <w:p w14:paraId="6DD6A937" w14:textId="77777777" w:rsidR="000E20B7" w:rsidRDefault="000E20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FFB7"/>
    <w:multiLevelType w:val="hybridMultilevel"/>
    <w:tmpl w:val="00000000"/>
    <w:lvl w:ilvl="0" w:tplc="C9A2FD74">
      <w:start w:val="1"/>
      <w:numFmt w:val="bullet"/>
      <w:pStyle w:val="ListBullet"/>
      <w:lvlText w:val=""/>
      <w:lvlJc w:val="left"/>
      <w:pPr>
        <w:tabs>
          <w:tab w:val="num" w:pos="0"/>
        </w:tabs>
        <w:ind w:left="360" w:hanging="360"/>
      </w:pPr>
      <w:rPr>
        <w:rFonts w:ascii="Symbol" w:hAnsi="Symbol" w:cs="Symbol" w:hint="default"/>
      </w:rPr>
    </w:lvl>
    <w:lvl w:ilvl="1" w:tplc="EC787726">
      <w:start w:val="1"/>
      <w:numFmt w:val="decimal"/>
      <w:lvlText w:val="%2."/>
      <w:lvlJc w:val="left"/>
      <w:pPr>
        <w:tabs>
          <w:tab w:val="num" w:pos="1080"/>
        </w:tabs>
        <w:ind w:left="1080" w:hanging="360"/>
      </w:pPr>
    </w:lvl>
    <w:lvl w:ilvl="2" w:tplc="4824DF18">
      <w:start w:val="1"/>
      <w:numFmt w:val="decimal"/>
      <w:lvlText w:val="%3."/>
      <w:lvlJc w:val="left"/>
      <w:pPr>
        <w:tabs>
          <w:tab w:val="num" w:pos="1440"/>
        </w:tabs>
        <w:ind w:left="1440" w:hanging="360"/>
      </w:pPr>
    </w:lvl>
    <w:lvl w:ilvl="3" w:tplc="295E5A74">
      <w:start w:val="1"/>
      <w:numFmt w:val="decimal"/>
      <w:lvlText w:val="%4."/>
      <w:lvlJc w:val="left"/>
      <w:pPr>
        <w:tabs>
          <w:tab w:val="num" w:pos="1800"/>
        </w:tabs>
        <w:ind w:left="1800" w:hanging="360"/>
      </w:pPr>
    </w:lvl>
    <w:lvl w:ilvl="4" w:tplc="A4F84E26">
      <w:start w:val="1"/>
      <w:numFmt w:val="decimal"/>
      <w:lvlText w:val="%5."/>
      <w:lvlJc w:val="left"/>
      <w:pPr>
        <w:tabs>
          <w:tab w:val="num" w:pos="2160"/>
        </w:tabs>
        <w:ind w:left="2160" w:hanging="360"/>
      </w:pPr>
    </w:lvl>
    <w:lvl w:ilvl="5" w:tplc="75F6BA30">
      <w:start w:val="1"/>
      <w:numFmt w:val="decimal"/>
      <w:lvlText w:val="%6."/>
      <w:lvlJc w:val="left"/>
      <w:pPr>
        <w:tabs>
          <w:tab w:val="num" w:pos="2520"/>
        </w:tabs>
        <w:ind w:left="2520" w:hanging="360"/>
      </w:pPr>
    </w:lvl>
    <w:lvl w:ilvl="6" w:tplc="760AC9F2">
      <w:start w:val="1"/>
      <w:numFmt w:val="decimal"/>
      <w:lvlText w:val="%7."/>
      <w:lvlJc w:val="left"/>
      <w:pPr>
        <w:tabs>
          <w:tab w:val="num" w:pos="2880"/>
        </w:tabs>
        <w:ind w:left="2880" w:hanging="360"/>
      </w:pPr>
    </w:lvl>
    <w:lvl w:ilvl="7" w:tplc="F6744288">
      <w:start w:val="1"/>
      <w:numFmt w:val="decimal"/>
      <w:lvlText w:val="%8."/>
      <w:lvlJc w:val="left"/>
      <w:pPr>
        <w:tabs>
          <w:tab w:val="num" w:pos="3240"/>
        </w:tabs>
        <w:ind w:left="3240" w:hanging="360"/>
      </w:pPr>
    </w:lvl>
    <w:lvl w:ilvl="8" w:tplc="F1CCD02A">
      <w:start w:val="1"/>
      <w:numFmt w:val="decimal"/>
      <w:lvlText w:val="%9."/>
      <w:lvlJc w:val="left"/>
      <w:pPr>
        <w:tabs>
          <w:tab w:val="num" w:pos="3600"/>
        </w:tabs>
        <w:ind w:left="3600" w:hanging="360"/>
      </w:pPr>
    </w:lvl>
  </w:abstractNum>
  <w:abstractNum w:abstractNumId="1" w15:restartNumberingAfterBreak="0">
    <w:nsid w:val="083DABE1"/>
    <w:multiLevelType w:val="hybridMultilevel"/>
    <w:tmpl w:val="00000000"/>
    <w:lvl w:ilvl="0" w:tplc="14C0853A">
      <w:start w:val="1"/>
      <w:numFmt w:val="bullet"/>
      <w:lvlText w:val=""/>
      <w:lvlJc w:val="left"/>
      <w:pPr>
        <w:tabs>
          <w:tab w:val="num" w:pos="1080"/>
        </w:tabs>
        <w:ind w:left="1080" w:hanging="360"/>
      </w:pPr>
      <w:rPr>
        <w:rFonts w:ascii="Symbol" w:hAnsi="Symbol" w:cs="Symbol" w:hint="default"/>
      </w:rPr>
    </w:lvl>
    <w:lvl w:ilvl="1" w:tplc="71EA9EF0">
      <w:start w:val="1"/>
      <w:numFmt w:val="decimal"/>
      <w:lvlText w:val="%2."/>
      <w:lvlJc w:val="left"/>
      <w:pPr>
        <w:tabs>
          <w:tab w:val="num" w:pos="1080"/>
        </w:tabs>
        <w:ind w:left="1080" w:hanging="360"/>
      </w:pPr>
    </w:lvl>
    <w:lvl w:ilvl="2" w:tplc="F11E9BAC">
      <w:start w:val="1"/>
      <w:numFmt w:val="decimal"/>
      <w:lvlText w:val="%3."/>
      <w:lvlJc w:val="left"/>
      <w:pPr>
        <w:tabs>
          <w:tab w:val="num" w:pos="1440"/>
        </w:tabs>
        <w:ind w:left="1440" w:hanging="360"/>
      </w:pPr>
    </w:lvl>
    <w:lvl w:ilvl="3" w:tplc="ACC480C0">
      <w:start w:val="1"/>
      <w:numFmt w:val="decimal"/>
      <w:lvlText w:val="%4."/>
      <w:lvlJc w:val="left"/>
      <w:pPr>
        <w:tabs>
          <w:tab w:val="num" w:pos="1800"/>
        </w:tabs>
        <w:ind w:left="1800" w:hanging="360"/>
      </w:pPr>
    </w:lvl>
    <w:lvl w:ilvl="4" w:tplc="C4BCD1DA">
      <w:start w:val="1"/>
      <w:numFmt w:val="decimal"/>
      <w:lvlText w:val="%5."/>
      <w:lvlJc w:val="left"/>
      <w:pPr>
        <w:tabs>
          <w:tab w:val="num" w:pos="2160"/>
        </w:tabs>
        <w:ind w:left="2160" w:hanging="360"/>
      </w:pPr>
    </w:lvl>
    <w:lvl w:ilvl="5" w:tplc="51DE1DBC">
      <w:start w:val="1"/>
      <w:numFmt w:val="decimal"/>
      <w:lvlText w:val="%6."/>
      <w:lvlJc w:val="left"/>
      <w:pPr>
        <w:tabs>
          <w:tab w:val="num" w:pos="2520"/>
        </w:tabs>
        <w:ind w:left="2520" w:hanging="360"/>
      </w:pPr>
    </w:lvl>
    <w:lvl w:ilvl="6" w:tplc="314E030A">
      <w:start w:val="1"/>
      <w:numFmt w:val="decimal"/>
      <w:lvlText w:val="%7."/>
      <w:lvlJc w:val="left"/>
      <w:pPr>
        <w:tabs>
          <w:tab w:val="num" w:pos="2880"/>
        </w:tabs>
        <w:ind w:left="2880" w:hanging="360"/>
      </w:pPr>
    </w:lvl>
    <w:lvl w:ilvl="7" w:tplc="E8D004F2">
      <w:start w:val="1"/>
      <w:numFmt w:val="decimal"/>
      <w:lvlText w:val="%8."/>
      <w:lvlJc w:val="left"/>
      <w:pPr>
        <w:tabs>
          <w:tab w:val="num" w:pos="3240"/>
        </w:tabs>
        <w:ind w:left="3240" w:hanging="360"/>
      </w:pPr>
    </w:lvl>
    <w:lvl w:ilvl="8" w:tplc="2DDCC5BA">
      <w:start w:val="1"/>
      <w:numFmt w:val="decimal"/>
      <w:lvlText w:val="%9."/>
      <w:lvlJc w:val="left"/>
      <w:pPr>
        <w:tabs>
          <w:tab w:val="num" w:pos="3600"/>
        </w:tabs>
        <w:ind w:left="3600" w:hanging="360"/>
      </w:pPr>
    </w:lvl>
  </w:abstractNum>
  <w:abstractNum w:abstractNumId="2" w15:restartNumberingAfterBreak="0">
    <w:nsid w:val="0C075C0B"/>
    <w:multiLevelType w:val="hybridMultilevel"/>
    <w:tmpl w:val="00000000"/>
    <w:lvl w:ilvl="0" w:tplc="9210F39E">
      <w:start w:val="1"/>
      <w:numFmt w:val="upperRoman"/>
      <w:lvlText w:val="%1."/>
      <w:lvlJc w:val="left"/>
      <w:pPr>
        <w:tabs>
          <w:tab w:val="num" w:pos="0"/>
        </w:tabs>
        <w:ind w:left="0" w:firstLine="0"/>
      </w:pPr>
    </w:lvl>
    <w:lvl w:ilvl="1" w:tplc="958E0E52">
      <w:start w:val="1"/>
      <w:numFmt w:val="upperRoman"/>
      <w:pStyle w:val="Heading2"/>
      <w:lvlText w:val="%2."/>
      <w:lvlJc w:val="left"/>
      <w:pPr>
        <w:tabs>
          <w:tab w:val="num" w:pos="0"/>
        </w:tabs>
        <w:ind w:left="720" w:hanging="720"/>
      </w:pPr>
    </w:lvl>
    <w:lvl w:ilvl="2" w:tplc="B5983D18">
      <w:start w:val="1"/>
      <w:numFmt w:val="upperLetter"/>
      <w:pStyle w:val="Heading3"/>
      <w:suff w:val="space"/>
      <w:lvlText w:val="%3."/>
      <w:lvlJc w:val="left"/>
      <w:pPr>
        <w:tabs>
          <w:tab w:val="num" w:pos="0"/>
        </w:tabs>
        <w:ind w:left="1440" w:hanging="720"/>
      </w:pPr>
    </w:lvl>
    <w:lvl w:ilvl="3" w:tplc="34F631E2">
      <w:start w:val="1"/>
      <w:numFmt w:val="lowerLetter"/>
      <w:pStyle w:val="Heading4"/>
      <w:lvlText w:val="%4)"/>
      <w:lvlJc w:val="left"/>
      <w:pPr>
        <w:tabs>
          <w:tab w:val="num" w:pos="0"/>
        </w:tabs>
        <w:ind w:left="2160" w:firstLine="0"/>
      </w:pPr>
    </w:lvl>
    <w:lvl w:ilvl="4" w:tplc="0A34C37A">
      <w:start w:val="1"/>
      <w:numFmt w:val="decimal"/>
      <w:pStyle w:val="Heading5"/>
      <w:lvlText w:val="(%5)"/>
      <w:lvlJc w:val="left"/>
      <w:pPr>
        <w:tabs>
          <w:tab w:val="num" w:pos="0"/>
        </w:tabs>
        <w:ind w:left="2880" w:firstLine="0"/>
      </w:pPr>
    </w:lvl>
    <w:lvl w:ilvl="5" w:tplc="C73CD45A">
      <w:start w:val="1"/>
      <w:numFmt w:val="lowerLetter"/>
      <w:pStyle w:val="Heading6"/>
      <w:lvlText w:val="(%6)"/>
      <w:lvlJc w:val="left"/>
      <w:pPr>
        <w:tabs>
          <w:tab w:val="num" w:pos="0"/>
        </w:tabs>
        <w:ind w:left="3600" w:firstLine="0"/>
      </w:pPr>
    </w:lvl>
    <w:lvl w:ilvl="6" w:tplc="3E40A9F4">
      <w:start w:val="1"/>
      <w:numFmt w:val="lowerRoman"/>
      <w:pStyle w:val="Heading7"/>
      <w:lvlText w:val="(%7)"/>
      <w:lvlJc w:val="left"/>
      <w:pPr>
        <w:tabs>
          <w:tab w:val="num" w:pos="0"/>
        </w:tabs>
        <w:ind w:left="4320" w:firstLine="0"/>
      </w:pPr>
    </w:lvl>
    <w:lvl w:ilvl="7" w:tplc="9D809F22">
      <w:start w:val="1"/>
      <w:numFmt w:val="lowerLetter"/>
      <w:pStyle w:val="Heading8"/>
      <w:lvlText w:val="(%8)"/>
      <w:lvlJc w:val="left"/>
      <w:pPr>
        <w:tabs>
          <w:tab w:val="num" w:pos="0"/>
        </w:tabs>
        <w:ind w:left="5040" w:firstLine="0"/>
      </w:pPr>
    </w:lvl>
    <w:lvl w:ilvl="8" w:tplc="6A1E74FC">
      <w:start w:val="1"/>
      <w:numFmt w:val="lowerRoman"/>
      <w:pStyle w:val="Heading9"/>
      <w:lvlText w:val="(%9)"/>
      <w:lvlJc w:val="left"/>
      <w:pPr>
        <w:tabs>
          <w:tab w:val="num" w:pos="0"/>
        </w:tabs>
        <w:ind w:left="5760" w:firstLine="0"/>
      </w:pPr>
    </w:lvl>
  </w:abstractNum>
  <w:abstractNum w:abstractNumId="3" w15:restartNumberingAfterBreak="0">
    <w:nsid w:val="0C3472CC"/>
    <w:multiLevelType w:val="hybridMultilevel"/>
    <w:tmpl w:val="00000000"/>
    <w:lvl w:ilvl="0" w:tplc="A8CABF86">
      <w:start w:val="1"/>
      <w:numFmt w:val="bullet"/>
      <w:pStyle w:val="ListBullet4"/>
      <w:lvlText w:val=""/>
      <w:lvlJc w:val="left"/>
      <w:pPr>
        <w:tabs>
          <w:tab w:val="num" w:pos="1440"/>
        </w:tabs>
        <w:ind w:left="1440" w:hanging="360"/>
      </w:pPr>
      <w:rPr>
        <w:rFonts w:ascii="Symbol" w:hAnsi="Symbol" w:cs="Symbol" w:hint="default"/>
      </w:rPr>
    </w:lvl>
    <w:lvl w:ilvl="1" w:tplc="EE9A3D24">
      <w:start w:val="1"/>
      <w:numFmt w:val="decimal"/>
      <w:lvlText w:val="%2."/>
      <w:lvlJc w:val="left"/>
      <w:pPr>
        <w:tabs>
          <w:tab w:val="num" w:pos="1080"/>
        </w:tabs>
        <w:ind w:left="1080" w:hanging="360"/>
      </w:pPr>
    </w:lvl>
    <w:lvl w:ilvl="2" w:tplc="F17CC7EA">
      <w:start w:val="1"/>
      <w:numFmt w:val="decimal"/>
      <w:lvlText w:val="%3."/>
      <w:lvlJc w:val="left"/>
      <w:pPr>
        <w:tabs>
          <w:tab w:val="num" w:pos="1440"/>
        </w:tabs>
        <w:ind w:left="1440" w:hanging="360"/>
      </w:pPr>
    </w:lvl>
    <w:lvl w:ilvl="3" w:tplc="E2CAFBDA">
      <w:start w:val="1"/>
      <w:numFmt w:val="decimal"/>
      <w:lvlText w:val="%4."/>
      <w:lvlJc w:val="left"/>
      <w:pPr>
        <w:tabs>
          <w:tab w:val="num" w:pos="1800"/>
        </w:tabs>
        <w:ind w:left="1800" w:hanging="360"/>
      </w:pPr>
    </w:lvl>
    <w:lvl w:ilvl="4" w:tplc="8006C348">
      <w:start w:val="1"/>
      <w:numFmt w:val="decimal"/>
      <w:lvlText w:val="%5."/>
      <w:lvlJc w:val="left"/>
      <w:pPr>
        <w:tabs>
          <w:tab w:val="num" w:pos="2160"/>
        </w:tabs>
        <w:ind w:left="2160" w:hanging="360"/>
      </w:pPr>
    </w:lvl>
    <w:lvl w:ilvl="5" w:tplc="3934EED2">
      <w:start w:val="1"/>
      <w:numFmt w:val="decimal"/>
      <w:lvlText w:val="%6."/>
      <w:lvlJc w:val="left"/>
      <w:pPr>
        <w:tabs>
          <w:tab w:val="num" w:pos="2520"/>
        </w:tabs>
        <w:ind w:left="2520" w:hanging="360"/>
      </w:pPr>
    </w:lvl>
    <w:lvl w:ilvl="6" w:tplc="A3708B50">
      <w:start w:val="1"/>
      <w:numFmt w:val="decimal"/>
      <w:lvlText w:val="%7."/>
      <w:lvlJc w:val="left"/>
      <w:pPr>
        <w:tabs>
          <w:tab w:val="num" w:pos="2880"/>
        </w:tabs>
        <w:ind w:left="2880" w:hanging="360"/>
      </w:pPr>
    </w:lvl>
    <w:lvl w:ilvl="7" w:tplc="1FB83FEE">
      <w:start w:val="1"/>
      <w:numFmt w:val="decimal"/>
      <w:lvlText w:val="%8."/>
      <w:lvlJc w:val="left"/>
      <w:pPr>
        <w:tabs>
          <w:tab w:val="num" w:pos="3240"/>
        </w:tabs>
        <w:ind w:left="3240" w:hanging="360"/>
      </w:pPr>
    </w:lvl>
    <w:lvl w:ilvl="8" w:tplc="E50240CC">
      <w:start w:val="1"/>
      <w:numFmt w:val="decimal"/>
      <w:lvlText w:val="%9."/>
      <w:lvlJc w:val="left"/>
      <w:pPr>
        <w:tabs>
          <w:tab w:val="num" w:pos="3600"/>
        </w:tabs>
        <w:ind w:left="3600" w:hanging="360"/>
      </w:pPr>
    </w:lvl>
  </w:abstractNum>
  <w:abstractNum w:abstractNumId="4" w15:restartNumberingAfterBreak="0">
    <w:nsid w:val="32FAF463"/>
    <w:multiLevelType w:val="hybridMultilevel"/>
    <w:tmpl w:val="00000000"/>
    <w:lvl w:ilvl="0" w:tplc="6FCC43C2">
      <w:numFmt w:val="bullet"/>
      <w:lvlText w:val=""/>
      <w:lvlJc w:val="left"/>
      <w:pPr>
        <w:tabs>
          <w:tab w:val="num" w:pos="0"/>
        </w:tabs>
        <w:ind w:left="720" w:hanging="480"/>
      </w:pPr>
      <w:rPr>
        <w:rFonts w:ascii="Symbol" w:hAnsi="Symbol" w:cs="Symbol" w:hint="default"/>
      </w:rPr>
    </w:lvl>
    <w:lvl w:ilvl="1" w:tplc="F872EF5C">
      <w:numFmt w:val="bullet"/>
      <w:lvlText w:val=""/>
      <w:lvlJc w:val="left"/>
      <w:pPr>
        <w:tabs>
          <w:tab w:val="num" w:pos="0"/>
        </w:tabs>
        <w:ind w:left="1440" w:hanging="480"/>
      </w:pPr>
      <w:rPr>
        <w:rFonts w:ascii="Symbol" w:hAnsi="Symbol" w:cs="Symbol" w:hint="default"/>
      </w:rPr>
    </w:lvl>
    <w:lvl w:ilvl="2" w:tplc="4726DCF4">
      <w:numFmt w:val="bullet"/>
      <w:lvlText w:val=""/>
      <w:lvlJc w:val="left"/>
      <w:pPr>
        <w:tabs>
          <w:tab w:val="num" w:pos="0"/>
        </w:tabs>
        <w:ind w:left="2160" w:hanging="480"/>
      </w:pPr>
      <w:rPr>
        <w:rFonts w:ascii="Symbol" w:hAnsi="Symbol" w:cs="Symbol" w:hint="default"/>
      </w:rPr>
    </w:lvl>
    <w:lvl w:ilvl="3" w:tplc="002A864C">
      <w:numFmt w:val="bullet"/>
      <w:lvlText w:val=""/>
      <w:lvlJc w:val="left"/>
      <w:pPr>
        <w:tabs>
          <w:tab w:val="num" w:pos="0"/>
        </w:tabs>
        <w:ind w:left="2880" w:hanging="480"/>
      </w:pPr>
      <w:rPr>
        <w:rFonts w:ascii="Symbol" w:hAnsi="Symbol" w:cs="Symbol" w:hint="default"/>
      </w:rPr>
    </w:lvl>
    <w:lvl w:ilvl="4" w:tplc="957AEEC6">
      <w:numFmt w:val="bullet"/>
      <w:lvlText w:val=""/>
      <w:lvlJc w:val="left"/>
      <w:pPr>
        <w:tabs>
          <w:tab w:val="num" w:pos="0"/>
        </w:tabs>
        <w:ind w:left="3600" w:hanging="480"/>
      </w:pPr>
      <w:rPr>
        <w:rFonts w:ascii="Symbol" w:hAnsi="Symbol" w:cs="Symbol" w:hint="default"/>
      </w:rPr>
    </w:lvl>
    <w:lvl w:ilvl="5" w:tplc="A0CE84D2">
      <w:numFmt w:val="bullet"/>
      <w:lvlText w:val=""/>
      <w:lvlJc w:val="left"/>
      <w:pPr>
        <w:tabs>
          <w:tab w:val="num" w:pos="0"/>
        </w:tabs>
        <w:ind w:left="4320" w:hanging="480"/>
      </w:pPr>
      <w:rPr>
        <w:rFonts w:ascii="Symbol" w:hAnsi="Symbol" w:cs="Symbol" w:hint="default"/>
      </w:rPr>
    </w:lvl>
    <w:lvl w:ilvl="6" w:tplc="DF600A5C">
      <w:numFmt w:val="bullet"/>
      <w:lvlText w:val=""/>
      <w:lvlJc w:val="left"/>
      <w:pPr>
        <w:tabs>
          <w:tab w:val="num" w:pos="0"/>
        </w:tabs>
        <w:ind w:left="5040" w:hanging="480"/>
      </w:pPr>
      <w:rPr>
        <w:rFonts w:ascii="Symbol" w:hAnsi="Symbol" w:cs="Symbol" w:hint="default"/>
      </w:rPr>
    </w:lvl>
    <w:lvl w:ilvl="7" w:tplc="ABE61C96">
      <w:numFmt w:val="bullet"/>
      <w:lvlText w:val=""/>
      <w:lvlJc w:val="left"/>
      <w:pPr>
        <w:tabs>
          <w:tab w:val="num" w:pos="0"/>
        </w:tabs>
        <w:ind w:left="5760" w:hanging="480"/>
      </w:pPr>
      <w:rPr>
        <w:rFonts w:ascii="Symbol" w:hAnsi="Symbol" w:cs="Symbol" w:hint="default"/>
      </w:rPr>
    </w:lvl>
    <w:lvl w:ilvl="8" w:tplc="FE92D53A">
      <w:numFmt w:val="bullet"/>
      <w:lvlText w:val=""/>
      <w:lvlJc w:val="left"/>
      <w:pPr>
        <w:tabs>
          <w:tab w:val="num" w:pos="0"/>
        </w:tabs>
        <w:ind w:left="6480" w:hanging="480"/>
      </w:pPr>
      <w:rPr>
        <w:rFonts w:ascii="Symbol" w:hAnsi="Symbol" w:cs="Symbol" w:hint="default"/>
      </w:rPr>
    </w:lvl>
  </w:abstractNum>
  <w:abstractNum w:abstractNumId="5" w15:restartNumberingAfterBreak="0">
    <w:nsid w:val="35529C5D"/>
    <w:multiLevelType w:val="hybridMultilevel"/>
    <w:tmpl w:val="00000000"/>
    <w:lvl w:ilvl="0" w:tplc="F1DE666C">
      <w:start w:val="1"/>
      <w:numFmt w:val="decimal"/>
      <w:lvlText w:val="%1."/>
      <w:lvlJc w:val="left"/>
      <w:pPr>
        <w:tabs>
          <w:tab w:val="num" w:pos="0"/>
        </w:tabs>
        <w:ind w:left="720" w:hanging="480"/>
      </w:pPr>
    </w:lvl>
    <w:lvl w:ilvl="1" w:tplc="C172D19C">
      <w:start w:val="1"/>
      <w:numFmt w:val="decimal"/>
      <w:lvlText w:val="%2."/>
      <w:lvlJc w:val="left"/>
      <w:pPr>
        <w:tabs>
          <w:tab w:val="num" w:pos="0"/>
        </w:tabs>
        <w:ind w:left="1440" w:hanging="480"/>
      </w:pPr>
    </w:lvl>
    <w:lvl w:ilvl="2" w:tplc="09D6970C">
      <w:start w:val="1"/>
      <w:numFmt w:val="decimal"/>
      <w:lvlText w:val="%3."/>
      <w:lvlJc w:val="left"/>
      <w:pPr>
        <w:tabs>
          <w:tab w:val="num" w:pos="0"/>
        </w:tabs>
        <w:ind w:left="2160" w:hanging="480"/>
      </w:pPr>
    </w:lvl>
    <w:lvl w:ilvl="3" w:tplc="2E4A5134">
      <w:start w:val="1"/>
      <w:numFmt w:val="decimal"/>
      <w:lvlText w:val="%4."/>
      <w:lvlJc w:val="left"/>
      <w:pPr>
        <w:tabs>
          <w:tab w:val="num" w:pos="0"/>
        </w:tabs>
        <w:ind w:left="2880" w:hanging="480"/>
      </w:pPr>
    </w:lvl>
    <w:lvl w:ilvl="4" w:tplc="CA7C7940">
      <w:start w:val="1"/>
      <w:numFmt w:val="decimal"/>
      <w:lvlText w:val="%5."/>
      <w:lvlJc w:val="left"/>
      <w:pPr>
        <w:tabs>
          <w:tab w:val="num" w:pos="0"/>
        </w:tabs>
        <w:ind w:left="3600" w:hanging="480"/>
      </w:pPr>
    </w:lvl>
    <w:lvl w:ilvl="5" w:tplc="16261A42">
      <w:start w:val="1"/>
      <w:numFmt w:val="decimal"/>
      <w:lvlText w:val="%6."/>
      <w:lvlJc w:val="left"/>
      <w:pPr>
        <w:tabs>
          <w:tab w:val="num" w:pos="0"/>
        </w:tabs>
        <w:ind w:left="4320" w:hanging="480"/>
      </w:pPr>
    </w:lvl>
    <w:lvl w:ilvl="6" w:tplc="AB7A1AFE">
      <w:start w:val="1"/>
      <w:numFmt w:val="decimal"/>
      <w:lvlText w:val="%7."/>
      <w:lvlJc w:val="left"/>
      <w:pPr>
        <w:tabs>
          <w:tab w:val="num" w:pos="0"/>
        </w:tabs>
        <w:ind w:left="5040" w:hanging="480"/>
      </w:pPr>
    </w:lvl>
    <w:lvl w:ilvl="7" w:tplc="F2E4D114">
      <w:start w:val="1"/>
      <w:numFmt w:val="decimal"/>
      <w:lvlText w:val="%8."/>
      <w:lvlJc w:val="left"/>
      <w:pPr>
        <w:tabs>
          <w:tab w:val="num" w:pos="0"/>
        </w:tabs>
        <w:ind w:left="5760" w:hanging="480"/>
      </w:pPr>
    </w:lvl>
    <w:lvl w:ilvl="8" w:tplc="8D021D8E">
      <w:start w:val="1"/>
      <w:numFmt w:val="decimal"/>
      <w:lvlText w:val="%9."/>
      <w:lvlJc w:val="left"/>
      <w:pPr>
        <w:tabs>
          <w:tab w:val="num" w:pos="0"/>
        </w:tabs>
        <w:ind w:left="6480" w:hanging="480"/>
      </w:pPr>
    </w:lvl>
  </w:abstractNum>
  <w:abstractNum w:abstractNumId="6" w15:restartNumberingAfterBreak="0">
    <w:nsid w:val="37799EB3"/>
    <w:multiLevelType w:val="hybridMultilevel"/>
    <w:tmpl w:val="00000000"/>
    <w:lvl w:ilvl="0" w:tplc="0B5080A8">
      <w:start w:val="1"/>
      <w:numFmt w:val="bullet"/>
      <w:pStyle w:val="ListBullet2"/>
      <w:lvlText w:val=""/>
      <w:lvlJc w:val="left"/>
      <w:pPr>
        <w:tabs>
          <w:tab w:val="num" w:pos="720"/>
        </w:tabs>
        <w:ind w:left="720" w:hanging="360"/>
      </w:pPr>
      <w:rPr>
        <w:rFonts w:ascii="Symbol" w:hAnsi="Symbol" w:cs="Symbol" w:hint="default"/>
      </w:rPr>
    </w:lvl>
    <w:lvl w:ilvl="1" w:tplc="1F3E0B68">
      <w:start w:val="1"/>
      <w:numFmt w:val="decimal"/>
      <w:lvlText w:val="%2."/>
      <w:lvlJc w:val="left"/>
      <w:pPr>
        <w:tabs>
          <w:tab w:val="num" w:pos="1080"/>
        </w:tabs>
        <w:ind w:left="1080" w:hanging="360"/>
      </w:pPr>
    </w:lvl>
    <w:lvl w:ilvl="2" w:tplc="F63AC708">
      <w:start w:val="1"/>
      <w:numFmt w:val="decimal"/>
      <w:lvlText w:val="%3."/>
      <w:lvlJc w:val="left"/>
      <w:pPr>
        <w:tabs>
          <w:tab w:val="num" w:pos="1440"/>
        </w:tabs>
        <w:ind w:left="1440" w:hanging="360"/>
      </w:pPr>
    </w:lvl>
    <w:lvl w:ilvl="3" w:tplc="004E1882">
      <w:start w:val="1"/>
      <w:numFmt w:val="decimal"/>
      <w:lvlText w:val="%4."/>
      <w:lvlJc w:val="left"/>
      <w:pPr>
        <w:tabs>
          <w:tab w:val="num" w:pos="1800"/>
        </w:tabs>
        <w:ind w:left="1800" w:hanging="360"/>
      </w:pPr>
    </w:lvl>
    <w:lvl w:ilvl="4" w:tplc="76145082">
      <w:start w:val="1"/>
      <w:numFmt w:val="decimal"/>
      <w:lvlText w:val="%5."/>
      <w:lvlJc w:val="left"/>
      <w:pPr>
        <w:tabs>
          <w:tab w:val="num" w:pos="2160"/>
        </w:tabs>
        <w:ind w:left="2160" w:hanging="360"/>
      </w:pPr>
    </w:lvl>
    <w:lvl w:ilvl="5" w:tplc="0BB09A1E">
      <w:start w:val="1"/>
      <w:numFmt w:val="decimal"/>
      <w:lvlText w:val="%6."/>
      <w:lvlJc w:val="left"/>
      <w:pPr>
        <w:tabs>
          <w:tab w:val="num" w:pos="2520"/>
        </w:tabs>
        <w:ind w:left="2520" w:hanging="360"/>
      </w:pPr>
    </w:lvl>
    <w:lvl w:ilvl="6" w:tplc="04FCB890">
      <w:start w:val="1"/>
      <w:numFmt w:val="decimal"/>
      <w:lvlText w:val="%7."/>
      <w:lvlJc w:val="left"/>
      <w:pPr>
        <w:tabs>
          <w:tab w:val="num" w:pos="2880"/>
        </w:tabs>
        <w:ind w:left="2880" w:hanging="360"/>
      </w:pPr>
    </w:lvl>
    <w:lvl w:ilvl="7" w:tplc="2522D0F4">
      <w:start w:val="1"/>
      <w:numFmt w:val="decimal"/>
      <w:lvlText w:val="%8."/>
      <w:lvlJc w:val="left"/>
      <w:pPr>
        <w:tabs>
          <w:tab w:val="num" w:pos="3240"/>
        </w:tabs>
        <w:ind w:left="3240" w:hanging="360"/>
      </w:pPr>
    </w:lvl>
    <w:lvl w:ilvl="8" w:tplc="B3369254">
      <w:start w:val="1"/>
      <w:numFmt w:val="decimal"/>
      <w:lvlText w:val="%9."/>
      <w:lvlJc w:val="left"/>
      <w:pPr>
        <w:tabs>
          <w:tab w:val="num" w:pos="3600"/>
        </w:tabs>
        <w:ind w:left="3600" w:hanging="360"/>
      </w:pPr>
    </w:lvl>
  </w:abstractNum>
  <w:abstractNum w:abstractNumId="7" w15:restartNumberingAfterBreak="0">
    <w:nsid w:val="7798B2C6"/>
    <w:multiLevelType w:val="hybridMultilevel"/>
    <w:tmpl w:val="00000000"/>
    <w:lvl w:ilvl="0" w:tplc="5D76E1AC">
      <w:start w:val="1"/>
      <w:numFmt w:val="bullet"/>
      <w:pStyle w:val="ListBullet5"/>
      <w:lvlText w:val=""/>
      <w:lvlJc w:val="left"/>
      <w:pPr>
        <w:tabs>
          <w:tab w:val="num" w:pos="1800"/>
        </w:tabs>
        <w:ind w:left="1800" w:hanging="360"/>
      </w:pPr>
      <w:rPr>
        <w:rFonts w:ascii="Symbol" w:hAnsi="Symbol" w:cs="Symbol" w:hint="default"/>
      </w:rPr>
    </w:lvl>
    <w:lvl w:ilvl="1" w:tplc="47C4AF1E">
      <w:start w:val="1"/>
      <w:numFmt w:val="decimal"/>
      <w:lvlText w:val="%2."/>
      <w:lvlJc w:val="left"/>
      <w:pPr>
        <w:tabs>
          <w:tab w:val="num" w:pos="1080"/>
        </w:tabs>
        <w:ind w:left="1080" w:hanging="360"/>
      </w:pPr>
    </w:lvl>
    <w:lvl w:ilvl="2" w:tplc="ADBA607E">
      <w:start w:val="1"/>
      <w:numFmt w:val="decimal"/>
      <w:lvlText w:val="%3."/>
      <w:lvlJc w:val="left"/>
      <w:pPr>
        <w:tabs>
          <w:tab w:val="num" w:pos="1440"/>
        </w:tabs>
        <w:ind w:left="1440" w:hanging="360"/>
      </w:pPr>
    </w:lvl>
    <w:lvl w:ilvl="3" w:tplc="1DA6C4CA">
      <w:start w:val="1"/>
      <w:numFmt w:val="decimal"/>
      <w:lvlText w:val="%4."/>
      <w:lvlJc w:val="left"/>
      <w:pPr>
        <w:tabs>
          <w:tab w:val="num" w:pos="1800"/>
        </w:tabs>
        <w:ind w:left="1800" w:hanging="360"/>
      </w:pPr>
    </w:lvl>
    <w:lvl w:ilvl="4" w:tplc="F9166F7E">
      <w:start w:val="1"/>
      <w:numFmt w:val="decimal"/>
      <w:lvlText w:val="%5."/>
      <w:lvlJc w:val="left"/>
      <w:pPr>
        <w:tabs>
          <w:tab w:val="num" w:pos="2160"/>
        </w:tabs>
        <w:ind w:left="2160" w:hanging="360"/>
      </w:pPr>
    </w:lvl>
    <w:lvl w:ilvl="5" w:tplc="D862B100">
      <w:start w:val="1"/>
      <w:numFmt w:val="decimal"/>
      <w:lvlText w:val="%6."/>
      <w:lvlJc w:val="left"/>
      <w:pPr>
        <w:tabs>
          <w:tab w:val="num" w:pos="2520"/>
        </w:tabs>
        <w:ind w:left="2520" w:hanging="360"/>
      </w:pPr>
    </w:lvl>
    <w:lvl w:ilvl="6" w:tplc="E020C7FE">
      <w:start w:val="1"/>
      <w:numFmt w:val="decimal"/>
      <w:lvlText w:val="%7."/>
      <w:lvlJc w:val="left"/>
      <w:pPr>
        <w:tabs>
          <w:tab w:val="num" w:pos="2880"/>
        </w:tabs>
        <w:ind w:left="2880" w:hanging="360"/>
      </w:pPr>
    </w:lvl>
    <w:lvl w:ilvl="7" w:tplc="FBB4B068">
      <w:start w:val="1"/>
      <w:numFmt w:val="decimal"/>
      <w:lvlText w:val="%8."/>
      <w:lvlJc w:val="left"/>
      <w:pPr>
        <w:tabs>
          <w:tab w:val="num" w:pos="3240"/>
        </w:tabs>
        <w:ind w:left="3240" w:hanging="360"/>
      </w:pPr>
    </w:lvl>
    <w:lvl w:ilvl="8" w:tplc="06985170">
      <w:start w:val="1"/>
      <w:numFmt w:val="decimal"/>
      <w:lvlText w:val="%9."/>
      <w:lvlJc w:val="left"/>
      <w:pPr>
        <w:tabs>
          <w:tab w:val="num" w:pos="3600"/>
        </w:tabs>
        <w:ind w:left="3600" w:hanging="360"/>
      </w:pPr>
    </w:lvl>
  </w:abstractNum>
  <w:abstractNum w:abstractNumId="8" w15:restartNumberingAfterBreak="0">
    <w:nsid w:val="79AE81F7"/>
    <w:multiLevelType w:val="hybridMultilevel"/>
    <w:tmpl w:val="00000000"/>
    <w:lvl w:ilvl="0" w:tplc="844860B0">
      <w:start w:val="1"/>
      <w:numFmt w:val="decimal"/>
      <w:pStyle w:val="ListNumber2"/>
      <w:lvlText w:val="%1."/>
      <w:lvlJc w:val="left"/>
      <w:pPr>
        <w:tabs>
          <w:tab w:val="num" w:pos="720"/>
        </w:tabs>
        <w:ind w:left="720" w:hanging="360"/>
      </w:pPr>
    </w:lvl>
    <w:lvl w:ilvl="1" w:tplc="DFAE9126">
      <w:start w:val="1"/>
      <w:numFmt w:val="decimal"/>
      <w:lvlText w:val="%2."/>
      <w:lvlJc w:val="left"/>
      <w:pPr>
        <w:tabs>
          <w:tab w:val="num" w:pos="1080"/>
        </w:tabs>
        <w:ind w:left="1080" w:hanging="360"/>
      </w:pPr>
    </w:lvl>
    <w:lvl w:ilvl="2" w:tplc="0A54A660">
      <w:start w:val="1"/>
      <w:numFmt w:val="decimal"/>
      <w:lvlText w:val="%3."/>
      <w:lvlJc w:val="left"/>
      <w:pPr>
        <w:tabs>
          <w:tab w:val="num" w:pos="1440"/>
        </w:tabs>
        <w:ind w:left="1440" w:hanging="360"/>
      </w:pPr>
    </w:lvl>
    <w:lvl w:ilvl="3" w:tplc="65782CA0">
      <w:start w:val="1"/>
      <w:numFmt w:val="decimal"/>
      <w:lvlText w:val="%4."/>
      <w:lvlJc w:val="left"/>
      <w:pPr>
        <w:tabs>
          <w:tab w:val="num" w:pos="1800"/>
        </w:tabs>
        <w:ind w:left="1800" w:hanging="360"/>
      </w:pPr>
    </w:lvl>
    <w:lvl w:ilvl="4" w:tplc="81588E34">
      <w:start w:val="1"/>
      <w:numFmt w:val="decimal"/>
      <w:lvlText w:val="%5."/>
      <w:lvlJc w:val="left"/>
      <w:pPr>
        <w:tabs>
          <w:tab w:val="num" w:pos="2160"/>
        </w:tabs>
        <w:ind w:left="2160" w:hanging="360"/>
      </w:pPr>
    </w:lvl>
    <w:lvl w:ilvl="5" w:tplc="CCF8F8FA">
      <w:start w:val="1"/>
      <w:numFmt w:val="decimal"/>
      <w:lvlText w:val="%6."/>
      <w:lvlJc w:val="left"/>
      <w:pPr>
        <w:tabs>
          <w:tab w:val="num" w:pos="2520"/>
        </w:tabs>
        <w:ind w:left="2520" w:hanging="360"/>
      </w:pPr>
    </w:lvl>
    <w:lvl w:ilvl="6" w:tplc="1D76B2EC">
      <w:start w:val="1"/>
      <w:numFmt w:val="decimal"/>
      <w:lvlText w:val="%7."/>
      <w:lvlJc w:val="left"/>
      <w:pPr>
        <w:tabs>
          <w:tab w:val="num" w:pos="2880"/>
        </w:tabs>
        <w:ind w:left="2880" w:hanging="360"/>
      </w:pPr>
    </w:lvl>
    <w:lvl w:ilvl="7" w:tplc="A5F07576">
      <w:start w:val="1"/>
      <w:numFmt w:val="decimal"/>
      <w:lvlText w:val="%8."/>
      <w:lvlJc w:val="left"/>
      <w:pPr>
        <w:tabs>
          <w:tab w:val="num" w:pos="3240"/>
        </w:tabs>
        <w:ind w:left="3240" w:hanging="360"/>
      </w:pPr>
    </w:lvl>
    <w:lvl w:ilvl="8" w:tplc="AA305D20">
      <w:start w:val="1"/>
      <w:numFmt w:val="decimal"/>
      <w:lvlText w:val="%9."/>
      <w:lvlJc w:val="left"/>
      <w:pPr>
        <w:tabs>
          <w:tab w:val="num" w:pos="3600"/>
        </w:tabs>
        <w:ind w:left="3600" w:hanging="360"/>
      </w:pPr>
    </w:lvl>
  </w:abstractNum>
  <w:abstractNum w:abstractNumId="9" w15:restartNumberingAfterBreak="0">
    <w:nsid w:val="7BE1648F"/>
    <w:multiLevelType w:val="hybridMultilevel"/>
    <w:tmpl w:val="00000000"/>
    <w:lvl w:ilvl="0" w:tplc="251E51FC">
      <w:start w:val="1"/>
      <w:numFmt w:val="decimal"/>
      <w:pStyle w:val="ListNumber"/>
      <w:lvlText w:val="%1."/>
      <w:lvlJc w:val="left"/>
      <w:pPr>
        <w:tabs>
          <w:tab w:val="num" w:pos="360"/>
        </w:tabs>
        <w:ind w:left="360" w:hanging="360"/>
      </w:pPr>
    </w:lvl>
    <w:lvl w:ilvl="1" w:tplc="8EC46D06">
      <w:start w:val="1"/>
      <w:numFmt w:val="decimal"/>
      <w:lvlText w:val="%2."/>
      <w:lvlJc w:val="left"/>
      <w:pPr>
        <w:tabs>
          <w:tab w:val="num" w:pos="1080"/>
        </w:tabs>
        <w:ind w:left="1080" w:hanging="360"/>
      </w:pPr>
    </w:lvl>
    <w:lvl w:ilvl="2" w:tplc="16FAD860">
      <w:start w:val="1"/>
      <w:numFmt w:val="decimal"/>
      <w:lvlText w:val="%3."/>
      <w:lvlJc w:val="left"/>
      <w:pPr>
        <w:tabs>
          <w:tab w:val="num" w:pos="1440"/>
        </w:tabs>
        <w:ind w:left="1440" w:hanging="360"/>
      </w:pPr>
    </w:lvl>
    <w:lvl w:ilvl="3" w:tplc="558C7048">
      <w:start w:val="1"/>
      <w:numFmt w:val="decimal"/>
      <w:lvlText w:val="%4."/>
      <w:lvlJc w:val="left"/>
      <w:pPr>
        <w:tabs>
          <w:tab w:val="num" w:pos="1800"/>
        </w:tabs>
        <w:ind w:left="1800" w:hanging="360"/>
      </w:pPr>
    </w:lvl>
    <w:lvl w:ilvl="4" w:tplc="01404528">
      <w:start w:val="1"/>
      <w:numFmt w:val="decimal"/>
      <w:lvlText w:val="%5."/>
      <w:lvlJc w:val="left"/>
      <w:pPr>
        <w:tabs>
          <w:tab w:val="num" w:pos="2160"/>
        </w:tabs>
        <w:ind w:left="2160" w:hanging="360"/>
      </w:pPr>
    </w:lvl>
    <w:lvl w:ilvl="5" w:tplc="7E82AC86">
      <w:start w:val="1"/>
      <w:numFmt w:val="decimal"/>
      <w:lvlText w:val="%6."/>
      <w:lvlJc w:val="left"/>
      <w:pPr>
        <w:tabs>
          <w:tab w:val="num" w:pos="2520"/>
        </w:tabs>
        <w:ind w:left="2520" w:hanging="360"/>
      </w:pPr>
    </w:lvl>
    <w:lvl w:ilvl="6" w:tplc="1A6AC386">
      <w:start w:val="1"/>
      <w:numFmt w:val="decimal"/>
      <w:lvlText w:val="%7."/>
      <w:lvlJc w:val="left"/>
      <w:pPr>
        <w:tabs>
          <w:tab w:val="num" w:pos="2880"/>
        </w:tabs>
        <w:ind w:left="2880" w:hanging="360"/>
      </w:pPr>
    </w:lvl>
    <w:lvl w:ilvl="7" w:tplc="A27AAC2E">
      <w:start w:val="1"/>
      <w:numFmt w:val="decimal"/>
      <w:lvlText w:val="%8."/>
      <w:lvlJc w:val="left"/>
      <w:pPr>
        <w:tabs>
          <w:tab w:val="num" w:pos="3240"/>
        </w:tabs>
        <w:ind w:left="3240" w:hanging="360"/>
      </w:pPr>
    </w:lvl>
    <w:lvl w:ilvl="8" w:tplc="F9385C6A">
      <w:start w:val="1"/>
      <w:numFmt w:val="decimal"/>
      <w:lvlText w:val="%9."/>
      <w:lvlJc w:val="left"/>
      <w:pPr>
        <w:tabs>
          <w:tab w:val="num" w:pos="3600"/>
        </w:tabs>
        <w:ind w:left="3600" w:hanging="360"/>
      </w:pPr>
    </w:lvl>
  </w:abstractNum>
  <w:num w:numId="1" w16cid:durableId="897401659">
    <w:abstractNumId w:val="2"/>
  </w:num>
  <w:num w:numId="2" w16cid:durableId="1710959217">
    <w:abstractNumId w:val="0"/>
  </w:num>
  <w:num w:numId="3" w16cid:durableId="54353357">
    <w:abstractNumId w:val="6"/>
  </w:num>
  <w:num w:numId="4" w16cid:durableId="502940304">
    <w:abstractNumId w:val="1"/>
  </w:num>
  <w:num w:numId="5" w16cid:durableId="1359163794">
    <w:abstractNumId w:val="3"/>
  </w:num>
  <w:num w:numId="6" w16cid:durableId="636302528">
    <w:abstractNumId w:val="7"/>
  </w:num>
  <w:num w:numId="7" w16cid:durableId="232157011">
    <w:abstractNumId w:val="9"/>
  </w:num>
  <w:num w:numId="8" w16cid:durableId="74786519">
    <w:abstractNumId w:val="8"/>
  </w:num>
  <w:num w:numId="9" w16cid:durableId="650259706">
    <w:abstractNumId w:val="5"/>
  </w:num>
  <w:num w:numId="10" w16cid:durableId="214974732">
    <w:abstractNumId w:val="4"/>
  </w:num>
  <w:num w:numId="11" w16cid:durableId="68860367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07"/>
    <w:rsid w:val="000E20B7"/>
    <w:rsid w:val="0027635E"/>
    <w:rsid w:val="005E4707"/>
    <w:rsid w:val="00C8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DFD7"/>
  <w15:docId w15:val="{6269B1BA-ADB6-4193-A0DE-F393105D2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authorities" w:uiPriority="99"/>
    <w:lsdException w:name="toa heading"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39F"/>
    <w:pPr>
      <w:spacing w:after="200"/>
    </w:pPr>
    <w:rPr>
      <w:rFonts w:ascii="Constantia" w:hAnsi="Constantia"/>
    </w:rPr>
  </w:style>
  <w:style w:type="paragraph" w:styleId="Heading1">
    <w:name w:val="heading 1"/>
    <w:basedOn w:val="Normal"/>
    <w:next w:val="BodyText"/>
    <w:uiPriority w:val="9"/>
    <w:qFormat/>
    <w:rsid w:val="0067625C"/>
    <w:pPr>
      <w:keepNext/>
      <w:keepLines/>
      <w:spacing w:before="480" w:after="240"/>
      <w:jc w:val="center"/>
      <w:outlineLvl w:val="0"/>
    </w:pPr>
    <w:rPr>
      <w:rFonts w:asciiTheme="majorHAnsi" w:eastAsiaTheme="majorEastAsia" w:hAnsiTheme="majorHAnsi" w:cs="Times New Roman (Headings CS)"/>
      <w:b/>
      <w:bCs/>
      <w:caps/>
      <w:sz w:val="32"/>
      <w:szCs w:val="32"/>
      <w:u w:val="single"/>
    </w:rPr>
  </w:style>
  <w:style w:type="paragraph" w:styleId="Heading2">
    <w:name w:val="heading 2"/>
    <w:basedOn w:val="Normal"/>
    <w:next w:val="BodyText"/>
    <w:uiPriority w:val="9"/>
    <w:unhideWhenUsed/>
    <w:qFormat/>
    <w:rsid w:val="00F6070A"/>
    <w:pPr>
      <w:keepNext/>
      <w:keepLines/>
      <w:numPr>
        <w:ilvl w:val="1"/>
        <w:numId w:val="1"/>
      </w:numPr>
      <w:spacing w:before="200"/>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D01E7"/>
    <w:pPr>
      <w:numPr>
        <w:ilvl w:val="2"/>
      </w:numPr>
      <w:ind w:left="1080" w:hanging="360"/>
      <w:outlineLvl w:val="2"/>
    </w:pPr>
  </w:style>
  <w:style w:type="paragraph" w:styleId="Heading4">
    <w:name w:val="heading 4"/>
    <w:basedOn w:val="Normal"/>
    <w:next w:val="BodyText"/>
    <w:uiPriority w:val="9"/>
    <w:unhideWhenUsed/>
    <w:qFormat/>
    <w:rsid w:val="00F6070A"/>
    <w:pPr>
      <w:keepNext/>
      <w:keepLines/>
      <w:numPr>
        <w:ilvl w:val="3"/>
        <w:numId w:val="1"/>
      </w:numPr>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F6070A"/>
    <w:pPr>
      <w:keepNext/>
      <w:keepLines/>
      <w:numPr>
        <w:ilvl w:val="4"/>
        <w:numId w:val="1"/>
      </w:numPr>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F6070A"/>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F6070A"/>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F6070A"/>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F6070A"/>
    <w:pPr>
      <w:keepNext/>
      <w:keepLines/>
      <w:numPr>
        <w:ilvl w:val="8"/>
        <w:numId w:val="1"/>
      </w:numPr>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sid w:val="00C772B3"/>
    <w:rPr>
      <w:color w:val="000000" w:themeColor="text1"/>
    </w:rPr>
  </w:style>
  <w:style w:type="character" w:customStyle="1" w:styleId="FooterChar">
    <w:name w:val="Footer Char"/>
    <w:basedOn w:val="DefaultParagraphFont"/>
    <w:link w:val="Footer"/>
    <w:qFormat/>
    <w:rsid w:val="002C6476"/>
  </w:style>
  <w:style w:type="character" w:styleId="PageNumber">
    <w:name w:val="page number"/>
    <w:basedOn w:val="DefaultParagraphFont"/>
    <w:qFormat/>
    <w:rsid w:val="002C6476"/>
  </w:style>
  <w:style w:type="character" w:customStyle="1" w:styleId="TableofAuthoritiesChar">
    <w:name w:val="Table of Authorities Char"/>
    <w:basedOn w:val="DefaultParagraphFont"/>
    <w:link w:val="TableofAuthorities"/>
    <w:uiPriority w:val="99"/>
    <w:qFormat/>
    <w:rsid w:val="000F239C"/>
    <w:rPr>
      <w:rFonts w:ascii="Constantia" w:hAnsi="Constantia" w:cs="Times New Roman (Body CS)"/>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qFormat/>
    <w:rsid w:val="009F741B"/>
    <w:pPr>
      <w:spacing w:after="0" w:line="480" w:lineRule="auto"/>
      <w:ind w:firstLine="720"/>
    </w:pPr>
  </w:style>
  <w:style w:type="paragraph" w:styleId="List">
    <w:name w:val="List"/>
    <w:basedOn w:val="Normal"/>
    <w:rsid w:val="001A6454"/>
    <w:pPr>
      <w:ind w:left="360" w:hanging="360"/>
      <w:contextualSpacing/>
    </w:p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6D7BB9"/>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styleId="Caption">
    <w:name w:val="caption"/>
    <w:basedOn w:val="Normal"/>
    <w:link w:val="CaptionChar"/>
    <w:qFormat/>
    <w:pPr>
      <w:spacing w:after="120"/>
    </w:pPr>
    <w:rPr>
      <w:i/>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53669C"/>
    <w:pPr>
      <w:spacing w:before="240" w:line="259" w:lineRule="auto"/>
      <w:outlineLvl w:val="9"/>
    </w:pPr>
    <w:rPr>
      <w:bCs w:val="0"/>
      <w:caps w:val="0"/>
      <w:sz w:val="28"/>
      <w:u w:val="none"/>
    </w:rPr>
  </w:style>
  <w:style w:type="paragraph" w:customStyle="1" w:styleId="HeaderandFooter">
    <w:name w:val="Header and Footer"/>
    <w:basedOn w:val="Normal"/>
    <w:qFormat/>
  </w:style>
  <w:style w:type="paragraph" w:styleId="Footer">
    <w:name w:val="footer"/>
    <w:basedOn w:val="Normal"/>
    <w:link w:val="FooterChar"/>
    <w:rsid w:val="002C6476"/>
    <w:pPr>
      <w:tabs>
        <w:tab w:val="center" w:pos="4680"/>
        <w:tab w:val="right" w:pos="9360"/>
      </w:tabs>
      <w:spacing w:after="0"/>
    </w:pPr>
  </w:style>
  <w:style w:type="paragraph" w:styleId="TOC1">
    <w:name w:val="toc 1"/>
    <w:basedOn w:val="Normal"/>
    <w:next w:val="Normal"/>
    <w:autoRedefine/>
    <w:uiPriority w:val="39"/>
    <w:rsid w:val="00F069A8"/>
    <w:pPr>
      <w:tabs>
        <w:tab w:val="right" w:leader="dot" w:pos="9350"/>
      </w:tabs>
      <w:spacing w:before="240" w:after="240"/>
      <w:ind w:right="720"/>
    </w:pPr>
    <w:rPr>
      <w:rFonts w:cs="Times New Roman (Body CS)"/>
      <w:caps/>
    </w:rPr>
  </w:style>
  <w:style w:type="paragraph" w:styleId="TOC2">
    <w:name w:val="toc 2"/>
    <w:basedOn w:val="Normal"/>
    <w:next w:val="Normal"/>
    <w:autoRedefine/>
    <w:uiPriority w:val="39"/>
    <w:rsid w:val="00F069A8"/>
    <w:pPr>
      <w:tabs>
        <w:tab w:val="left" w:pos="720"/>
        <w:tab w:val="right" w:leader="dot" w:pos="9350"/>
      </w:tabs>
      <w:spacing w:before="240" w:after="240"/>
      <w:ind w:right="720"/>
    </w:pPr>
    <w:rPr>
      <w:rFonts w:cs="Times New Roman (Body CS)"/>
    </w:rPr>
  </w:style>
  <w:style w:type="paragraph" w:styleId="TOC3">
    <w:name w:val="toc 3"/>
    <w:basedOn w:val="Normal"/>
    <w:next w:val="Normal"/>
    <w:autoRedefine/>
    <w:uiPriority w:val="39"/>
    <w:rsid w:val="00F069A8"/>
    <w:pPr>
      <w:tabs>
        <w:tab w:val="right" w:leader="dot" w:pos="9350"/>
      </w:tabs>
      <w:spacing w:before="240" w:after="240"/>
      <w:ind w:left="475" w:right="720"/>
    </w:pPr>
    <w:rPr>
      <w:rFonts w:cs="Times New Roman (Body CS)"/>
    </w:rPr>
  </w:style>
  <w:style w:type="paragraph" w:customStyle="1" w:styleId="centeredstyle">
    <w:name w:val="centered_style"/>
    <w:basedOn w:val="Normal"/>
    <w:qFormat/>
    <w:rsid w:val="007F4339"/>
    <w:pPr>
      <w:jc w:val="center"/>
    </w:pPr>
  </w:style>
  <w:style w:type="paragraph" w:styleId="TOAHeading">
    <w:name w:val="toa heading"/>
    <w:basedOn w:val="Normal"/>
    <w:next w:val="Normal"/>
    <w:uiPriority w:val="99"/>
    <w:qFormat/>
    <w:rsid w:val="007A7E0E"/>
    <w:pPr>
      <w:spacing w:before="120"/>
    </w:pPr>
    <w:rPr>
      <w:rFonts w:asciiTheme="majorHAnsi" w:eastAsiaTheme="majorEastAsia" w:hAnsiTheme="majorHAnsi" w:cstheme="majorBidi"/>
      <w:b/>
      <w:bCs/>
    </w:rPr>
  </w:style>
  <w:style w:type="paragraph" w:styleId="TableofAuthorities">
    <w:name w:val="table of authorities"/>
    <w:basedOn w:val="Normal"/>
    <w:next w:val="Normal"/>
    <w:link w:val="TableofAuthoritiesChar"/>
    <w:uiPriority w:val="99"/>
    <w:qFormat/>
    <w:rsid w:val="000F239C"/>
    <w:pPr>
      <w:tabs>
        <w:tab w:val="right" w:leader="dot" w:pos="9360"/>
      </w:tabs>
      <w:spacing w:after="120"/>
      <w:ind w:left="720" w:hanging="720"/>
    </w:pPr>
    <w:rPr>
      <w:rFonts w:cs="Times New Roman (Body CS)"/>
    </w:rPr>
  </w:style>
  <w:style w:type="paragraph" w:styleId="ListBullet">
    <w:name w:val="List Bullet"/>
    <w:basedOn w:val="Normal"/>
    <w:qFormat/>
    <w:rsid w:val="00D45D12"/>
    <w:pPr>
      <w:numPr>
        <w:numId w:val="2"/>
      </w:numPr>
      <w:spacing w:line="480" w:lineRule="auto"/>
      <w:contextualSpacing/>
    </w:pPr>
  </w:style>
  <w:style w:type="paragraph" w:styleId="ListBullet2">
    <w:name w:val="List Bullet 2"/>
    <w:basedOn w:val="Normal"/>
    <w:qFormat/>
    <w:rsid w:val="001A6454"/>
    <w:pPr>
      <w:numPr>
        <w:numId w:val="3"/>
      </w:numPr>
      <w:contextualSpacing/>
    </w:pPr>
  </w:style>
  <w:style w:type="paragraph" w:styleId="ListBullet4">
    <w:name w:val="List Bullet 4"/>
    <w:basedOn w:val="Normal"/>
    <w:qFormat/>
    <w:rsid w:val="001A6454"/>
    <w:pPr>
      <w:numPr>
        <w:numId w:val="5"/>
      </w:numPr>
      <w:contextualSpacing/>
    </w:pPr>
  </w:style>
  <w:style w:type="paragraph" w:styleId="ListBullet5">
    <w:name w:val="List Bullet 5"/>
    <w:basedOn w:val="Normal"/>
    <w:qFormat/>
    <w:rsid w:val="001A6454"/>
    <w:pPr>
      <w:numPr>
        <w:numId w:val="6"/>
      </w:numPr>
      <w:contextualSpacing/>
    </w:pPr>
  </w:style>
  <w:style w:type="paragraph" w:styleId="ListBullet3">
    <w:name w:val="List Bullet 3"/>
    <w:basedOn w:val="Normal"/>
    <w:rsid w:val="001A6454"/>
    <w:pPr>
      <w:ind w:left="720" w:hanging="360"/>
      <w:contextualSpacing/>
    </w:pPr>
  </w:style>
  <w:style w:type="paragraph" w:styleId="ListNumber">
    <w:name w:val="List Number"/>
    <w:basedOn w:val="Normal"/>
    <w:qFormat/>
    <w:rsid w:val="00D45D12"/>
    <w:pPr>
      <w:numPr>
        <w:numId w:val="7"/>
      </w:numPr>
      <w:spacing w:line="480" w:lineRule="auto"/>
      <w:contextualSpacing/>
    </w:pPr>
  </w:style>
  <w:style w:type="paragraph" w:styleId="ListNumber2">
    <w:name w:val="List Number 2"/>
    <w:basedOn w:val="Normal"/>
    <w:qFormat/>
    <w:rsid w:val="001A6454"/>
    <w:pPr>
      <w:numPr>
        <w:numId w:val="8"/>
      </w:numPr>
      <w:contextualSpacing/>
    </w:pPr>
  </w:style>
  <w:style w:type="paragraph" w:customStyle="1" w:styleId="disclaimerstyle">
    <w:name w:val="disclaimer_style"/>
    <w:basedOn w:val="Normal"/>
    <w:qFormat/>
    <w:rsid w:val="004974DC"/>
    <w:rPr>
      <w:rFonts w:ascii="Times New Roman" w:hAnsi="Times New Roman"/>
    </w:rPr>
  </w:style>
  <w:style w:type="paragraph" w:customStyle="1" w:styleId="SourceCode">
    <w:name w:val="Source Code"/>
    <w:basedOn w:val="Normal"/>
    <w:link w:val="VerbatimChar"/>
    <w:qFormat/>
  </w:style>
  <w:style w:type="numbering" w:customStyle="1" w:styleId="CurrentList1">
    <w:name w:val="Current List1"/>
    <w:uiPriority w:val="99"/>
    <w:qFormat/>
    <w:rsid w:val="00674A19"/>
  </w:style>
  <w:style w:type="numbering" w:customStyle="1" w:styleId="CurrentList2">
    <w:name w:val="Current List2"/>
    <w:uiPriority w:val="99"/>
    <w:qFormat/>
    <w:rsid w:val="008B4603"/>
  </w:style>
  <w:style w:type="numbering" w:customStyle="1" w:styleId="CurrentList3">
    <w:name w:val="Current List3"/>
    <w:uiPriority w:val="99"/>
    <w:qFormat/>
    <w:rsid w:val="000F41EA"/>
  </w:style>
  <w:style w:type="numbering" w:customStyle="1" w:styleId="CurrentList4">
    <w:name w:val="Current List4"/>
    <w:uiPriority w:val="99"/>
    <w:qFormat/>
    <w:rsid w:val="00FB499D"/>
  </w:style>
  <w:style w:type="numbering" w:customStyle="1" w:styleId="CurrentList5">
    <w:name w:val="Current List5"/>
    <w:uiPriority w:val="99"/>
    <w:qFormat/>
    <w:rsid w:val="00F6070A"/>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6328</Words>
  <Characters>34744</Characters>
  <Application>Microsoft Office Word</Application>
  <DocSecurity>0</DocSecurity>
  <Lines>620</Lines>
  <Paragraphs>206</Paragraphs>
  <ScaleCrop>false</ScaleCrop>
  <Company/>
  <LinksUpToDate>false</LinksUpToDate>
  <CharactersWithSpaces>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Le</cp:lastModifiedBy>
  <cp:revision>3</cp:revision>
  <dcterms:created xsi:type="dcterms:W3CDTF">2026-03-05T18:12:00Z</dcterms:created>
  <dcterms:modified xsi:type="dcterms:W3CDTF">2026-03-05T18:15:00Z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/main/tmp/154d14d4b4c049f69fbe1a378295b5dc.json</vt:lpwstr>
  </property>
  <property fmtid="{D5CDD505-2E9C-101B-9397-08002B2CF9AE}" pid="3" name="csl">
    <vt:lpwstr>functions/legal_research/documents/brief/pandoc/bluebook-inline-toa.csl</vt:lpwstr>
  </property>
  <property fmtid="{D5CDD505-2E9C-101B-9397-08002B2CF9AE}" pid="4" name="references">
    <vt:lpwstr/>
  </property>
  <property fmtid="{D5CDD505-2E9C-101B-9397-08002B2CF9AE}" pid="5" name="used_categories">
    <vt:lpwstr>1,2</vt:lpwstr>
  </property>
</Properties>
</file>