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6.3.0 -->
  <w:body>
    <w:p>
      <w:pPr>
        <w:pStyle w:val="centeredstyle"/>
      </w:pPr>
      <w:r>
        <w:rPr>
          <w:b/>
          <w:bCs/>
        </w:rPr>
        <w:t>LEGAL ADVISORY AND DISCLAIMER</w:t>
      </w:r>
    </w:p>
    <w:p>
      <w:pPr>
        <w:pStyle w:val="disclaimerstyle"/>
        <w:numPr>
          <w:ilvl w:val="0"/>
          <w:numId w:val="11"/>
        </w:numPr>
      </w:pPr>
      <w:r>
        <w:rPr>
          <w:b/>
          <w:bCs/>
        </w:rPr>
        <w:t>Preliminary Draft</w:t>
      </w:r>
      <w:r>
        <w:t>: This legal brief is a research and drafting tool, not a final work product. It is not ready for filing and must not be submitted to any court in its current form.</w:t>
      </w:r>
    </w:p>
    <w:p>
      <w:pPr>
        <w:pStyle w:val="disclaimerstyle"/>
        <w:numPr>
          <w:ilvl w:val="0"/>
          <w:numId w:val="9"/>
        </w:numPr>
      </w:pPr>
      <w:r>
        <w:rPr>
          <w:b/>
          <w:bCs/>
        </w:rPr>
        <w:t>Duty to Review</w:t>
      </w:r>
      <w:r>
        <w:t>: You must independently verify all factual allegations and legal theories. It is your responsibility to supplement and revise this legal brief to ensure accuracy and viability.</w:t>
      </w:r>
    </w:p>
    <w:p>
      <w:pPr>
        <w:pStyle w:val="disclaimerstyle"/>
        <w:numPr>
          <w:ilvl w:val="0"/>
          <w:numId w:val="9"/>
        </w:numPr>
      </w:pPr>
      <w:r>
        <w:rPr>
          <w:b/>
          <w:bCs/>
        </w:rPr>
        <w:t>Local Rules</w:t>
      </w:r>
      <w:r>
        <w:t>: You are responsible for ensuring compliance with all local rules, standing orders, and venue-specific formatting (e.g., margins, line numbering, and signature blocks).</w:t>
      </w:r>
    </w:p>
    <w:p>
      <w:pPr>
        <w:pStyle w:val="disclaimerstyle"/>
        <w:numPr>
          <w:ilvl w:val="0"/>
          <w:numId w:val="9"/>
        </w:numPr>
      </w:pPr>
      <w:r>
        <w:rPr>
          <w:b/>
          <w:bCs/>
        </w:rPr>
        <w:t>Citations</w:t>
      </w:r>
      <w:r>
        <w:t>: All legal citations must be verified for accuracy, currency, and Bluebook compliance. Formatting signals and cross-references are not yet finalized.</w:t>
      </w:r>
    </w:p>
    <w:p>
      <w:pPr>
        <w:pStyle w:val="disclaimerstyle"/>
        <w:numPr>
          <w:ilvl w:val="0"/>
          <w:numId w:val="9"/>
        </w:numPr>
      </w:pPr>
      <w:r>
        <w:rPr>
          <w:b/>
          <w:bCs/>
        </w:rPr>
        <w:t>Professional Responsibility</w:t>
      </w:r>
      <w:r>
        <w:t>: The signing attorney bears sole responsibility for the legal sufficiency and ethical compliance of the final filing.</w:t>
      </w:r>
    </w:p>
    <w:p>
      <w:r>
        <w:br w:type="page"/>
      </w:r>
    </w:p>
    <w:tbl>
      <w:tblPr>
        <w:tblW w:w="5000" w:type="pct"/>
        <w:jc w:val="left"/>
        <w:tblInd w:w="0" w:type="dxa"/>
        <w:tblLayout w:type="fixed"/>
        <w:tblCellMar>
          <w:top w:w="0" w:type="dxa"/>
          <w:left w:w="108" w:type="dxa"/>
          <w:bottom w:w="0" w:type="dxa"/>
          <w:right w:w="108" w:type="dxa"/>
        </w:tblCellMar>
      </w:tblPr>
      <w:tblGrid>
        <w:gridCol w:w="9360"/>
      </w:tblGrid>
      <w:tr>
        <w:tblPrEx>
          <w:tblW w:w="5000" w:type="pct"/>
          <w:tblInd w:w="0" w:type="dxa"/>
          <w:tblLayout w:type="fixed"/>
        </w:tblPrEx>
        <w:tc>
          <w:tcPr>
            <w:tcW w:w="9360" w:type="dxa"/>
          </w:tcPr>
          <w:p>
            <w:pPr>
              <w:pageBreakBefore/>
              <w:widowControl w:val="0"/>
              <w:spacing w:before="0" w:after="0" w:line="240" w:lineRule="auto"/>
              <w:ind w:left="0" w:firstLine="0"/>
            </w:pPr>
            <w:r>
              <w:t>[ATTORNEY NAME]</w:t>
            </w:r>
          </w:p>
          <w:p>
            <w:pPr>
              <w:widowControl w:val="0"/>
              <w:spacing w:before="0" w:after="0" w:line="240" w:lineRule="auto"/>
              <w:ind w:left="0" w:firstLine="0"/>
            </w:pPr>
            <w:r>
              <w:t>[FIRM_NAME]</w:t>
            </w:r>
          </w:p>
          <w:p>
            <w:pPr>
              <w:widowControl w:val="0"/>
              <w:spacing w:before="0" w:after="0" w:line="240" w:lineRule="auto"/>
              <w:ind w:left="0" w:firstLine="0"/>
            </w:pPr>
            <w:r>
              <w:t>[ADDRESS]</w:t>
            </w:r>
          </w:p>
          <w:p>
            <w:pPr>
              <w:widowControl w:val="0"/>
              <w:spacing w:before="0" w:after="0" w:line="240" w:lineRule="auto"/>
              <w:ind w:left="0" w:firstLine="0"/>
            </w:pPr>
            <w:r>
              <w:t>[PHONE]</w:t>
            </w:r>
          </w:p>
          <w:p>
            <w:pPr>
              <w:widowControl w:val="0"/>
              <w:spacing w:before="0" w:after="0" w:line="240" w:lineRule="auto"/>
              <w:ind w:left="0" w:firstLine="0"/>
            </w:pPr>
            <w:r>
              <w:t>[FAX]</w:t>
            </w:r>
          </w:p>
          <w:p>
            <w:pPr>
              <w:widowControl w:val="0"/>
              <w:spacing w:before="0" w:after="0" w:line="240" w:lineRule="auto"/>
              <w:ind w:left="0" w:firstLine="0"/>
            </w:pPr>
            <w:r>
              <w:t>Attorney for Defendant</w:t>
            </w:r>
          </w:p>
          <w:p>
            <w:pPr>
              <w:widowControl w:val="0"/>
              <w:spacing w:before="0" w:after="240" w:line="240" w:lineRule="auto"/>
              <w:ind w:left="0" w:firstLine="0"/>
            </w:pPr>
            <w:r>
              <w:t>DEFENDANT JANE SMITH</w:t>
            </w:r>
          </w:p>
        </w:tc>
      </w:tr>
    </w:tbl>
    <w:p>
      <w:pPr>
        <w:spacing w:before="240" w:after="240"/>
        <w:ind w:left="0" w:firstLine="720"/>
        <w:jc w:val="center"/>
      </w:pPr>
      <w:r>
        <w:rPr>
          <w:b/>
        </w:rPr>
        <w:t>UNITED STATES DISTRICT COURT FOR THE [_____ DISTRICT] OF CALIFORNIA</w:t>
      </w: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Borders>
              <w:bottom w:val="single" w:sz="4" w:space="0" w:color="000000"/>
              <w:right w:val="single" w:sz="4" w:space="0" w:color="000000"/>
            </w:tcBorders>
          </w:tcPr>
          <w:p>
            <w:pPr>
              <w:widowControl w:val="0"/>
              <w:spacing w:before="240" w:after="0"/>
              <w:ind w:left="40" w:firstLine="0"/>
            </w:pPr>
            <w:r>
              <w:t>GLOBAL MEDIA, INC.,</w:t>
            </w:r>
          </w:p>
          <w:p>
            <w:pPr>
              <w:widowControl w:val="0"/>
              <w:spacing w:before="240" w:after="0"/>
              <w:ind w:left="720" w:firstLine="0"/>
            </w:pPr>
            <w:r>
              <w:t>Plaintiff,</w:t>
            </w:r>
          </w:p>
          <w:p>
            <w:pPr>
              <w:widowControl w:val="0"/>
              <w:spacing w:before="240" w:after="0"/>
              <w:ind w:left="40" w:firstLine="0"/>
            </w:pPr>
            <w:r>
              <w:t>v.</w:t>
            </w:r>
          </w:p>
          <w:p>
            <w:pPr>
              <w:widowControl w:val="0"/>
              <w:spacing w:before="240" w:after="0"/>
              <w:ind w:left="40" w:firstLine="0"/>
            </w:pPr>
            <w:r>
              <w:t>JANE SMITH,</w:t>
            </w:r>
          </w:p>
          <w:p>
            <w:pPr>
              <w:widowControl w:val="0"/>
              <w:spacing w:before="240" w:after="0"/>
              <w:ind w:left="720" w:firstLine="0"/>
            </w:pPr>
            <w:r>
              <w:t>Defendant.</w:t>
            </w:r>
          </w:p>
        </w:tc>
        <w:tc>
          <w:tcPr>
            <w:tcW w:w="4679" w:type="dxa"/>
            <w:tcBorders>
              <w:left w:val="single" w:sz="4" w:space="0" w:color="000000"/>
            </w:tcBorders>
            <w:tcMar>
              <w:left w:w="100" w:type="dxa"/>
            </w:tcMar>
          </w:tcPr>
          <w:p>
            <w:pPr>
              <w:widowControl w:val="0"/>
              <w:spacing w:before="240" w:after="0"/>
              <w:ind w:left="720" w:hanging="360"/>
            </w:pPr>
            <w:r>
              <w:t>Case No.: [CASE NO.]</w:t>
            </w:r>
          </w:p>
          <w:p>
            <w:pPr>
              <w:widowControl w:val="0"/>
              <w:spacing w:before="240" w:after="240" w:line="240" w:lineRule="auto"/>
              <w:ind w:left="360" w:firstLine="0"/>
            </w:pPr>
            <w:r>
              <w:rPr>
                <w:b/>
                <w:caps/>
              </w:rPr>
              <w:t>LEGAL BRIEF</w:t>
            </w:r>
          </w:p>
          <w:p>
            <w:pPr>
              <w:widowControl w:val="0"/>
              <w:spacing w:before="0" w:after="0" w:line="300" w:lineRule="auto"/>
              <w:ind w:left="360" w:firstLine="0"/>
            </w:pPr>
            <w:r>
              <w:t>Date: [DATE]</w:t>
            </w:r>
          </w:p>
          <w:p>
            <w:pPr>
              <w:widowControl w:val="0"/>
              <w:spacing w:before="0" w:after="0" w:line="300" w:lineRule="auto"/>
              <w:ind w:left="360" w:firstLine="0"/>
            </w:pPr>
            <w:r>
              <w:t>Time: [TIME]</w:t>
            </w:r>
          </w:p>
          <w:p>
            <w:pPr>
              <w:widowControl w:val="0"/>
              <w:spacing w:before="0" w:after="0" w:line="300" w:lineRule="auto"/>
              <w:ind w:left="360" w:firstLine="0"/>
            </w:pPr>
            <w:r>
              <w:t>Dept: [DEPT]</w:t>
            </w:r>
          </w:p>
          <w:p>
            <w:pPr>
              <w:widowControl w:val="0"/>
              <w:spacing w:before="0" w:after="0" w:line="300" w:lineRule="auto"/>
              <w:ind w:left="360" w:firstLine="0"/>
            </w:pPr>
            <w:r>
              <w:t>Judge: [JUDGE]</w:t>
            </w:r>
          </w:p>
          <w:p>
            <w:pPr>
              <w:widowControl w:val="0"/>
              <w:spacing w:before="0" w:after="0" w:line="300" w:lineRule="auto"/>
              <w:ind w:left="360" w:firstLine="0"/>
            </w:pPr>
            <w:r>
              <w:t>Reservation No.: [RESERVATION NO.]</w:t>
            </w:r>
          </w:p>
          <w:p>
            <w:pPr>
              <w:widowControl w:val="0"/>
              <w:spacing w:before="0" w:after="0" w:line="300" w:lineRule="auto"/>
              <w:ind w:left="360" w:firstLine="0"/>
            </w:pPr>
            <w:r>
              <w:t>Date Filed: [DATE FILED]</w:t>
            </w:r>
          </w:p>
        </w:tc>
      </w:tr>
    </w:tbl>
    <w:p>
      <w:pPr>
        <w:spacing w:before="240" w:after="240"/>
      </w:pPr>
    </w:p>
    <w:p/>
    <w:sdt>
      <w:sdtPr>
        <w:id w:val="1724663225"/>
        <w:docPartObj>
          <w:docPartGallery w:val="Table of Contents"/>
          <w:docPartUnique/>
        </w:docPartObj>
      </w:sdtPr>
      <w:sdtContent>
        <w:p>
          <w:pPr>
            <w:pStyle w:val="TOCHeading"/>
          </w:pPr>
          <w:r>
            <w:br w:type="page"/>
          </w:r>
          <w:r>
            <w:t>Table of Contents</w:t>
          </w:r>
        </w:p>
        <w:p>
          <w:pPr>
            <w:pStyle w:val="TOC1"/>
            <w:rPr>
              <w:rFonts w:asciiTheme="minorHAnsi" w:hAnsiTheme="minorHAnsi"/>
              <w:noProof/>
              <w:sz w:val="22"/>
            </w:rPr>
          </w:pPr>
          <w:r>
            <w:fldChar w:fldCharType="begin"/>
          </w:r>
          <w:r>
            <w:rPr>
              <w:rStyle w:val="IndexLink"/>
              <w:webHidden/>
            </w:rPr>
            <w:instrText xml:space="preserve"> TOC \z \o "1-3" \u \h</w:instrText>
          </w:r>
          <w:r>
            <w:rPr>
              <w:rStyle w:val="IndexLink"/>
              <w:webHidden/>
            </w:rPr>
            <w:fldChar w:fldCharType="separate"/>
          </w:r>
          <w:hyperlink w:anchor="_Toc256000000" w:history="1">
            <w:r>
              <w:rPr>
                <w:rStyle w:val="Hyperlink"/>
              </w:rPr>
              <w:t>Table of Authorities</w:t>
            </w:r>
            <w:r>
              <w:tab/>
            </w:r>
            <w:r>
              <w:fldChar w:fldCharType="begin"/>
            </w:r>
            <w:r>
              <w:instrText xml:space="preserve"> PAGEREF _Toc256000000 \h </w:instrText>
            </w:r>
            <w:r>
              <w:fldChar w:fldCharType="separate"/>
            </w:r>
            <w:r>
              <w:t>4</w:t>
            </w:r>
            <w:r>
              <w:fldChar w:fldCharType="end"/>
            </w:r>
          </w:hyperlink>
        </w:p>
        <w:p>
          <w:pPr>
            <w:pStyle w:val="TOC1"/>
            <w:rPr>
              <w:rFonts w:asciiTheme="minorHAnsi" w:hAnsiTheme="minorHAnsi"/>
              <w:noProof/>
              <w:sz w:val="22"/>
            </w:rPr>
          </w:pPr>
          <w:hyperlink w:anchor="_Toc256000001" w:history="1">
            <w:r>
              <w:rPr>
                <w:rStyle w:val="Hyperlink"/>
              </w:rPr>
              <w:t>Introduction</w:t>
            </w:r>
            <w:r>
              <w:tab/>
            </w:r>
            <w:r>
              <w:fldChar w:fldCharType="begin"/>
            </w:r>
            <w:r>
              <w:instrText xml:space="preserve"> PAGEREF _Toc256000001 \h </w:instrText>
            </w:r>
            <w:r>
              <w:fldChar w:fldCharType="separate"/>
            </w:r>
            <w:r>
              <w:t>5</w:t>
            </w:r>
            <w:r>
              <w:fldChar w:fldCharType="end"/>
            </w:r>
          </w:hyperlink>
        </w:p>
        <w:p>
          <w:pPr>
            <w:pStyle w:val="TOC1"/>
            <w:rPr>
              <w:rFonts w:asciiTheme="minorHAnsi" w:hAnsiTheme="minorHAnsi"/>
              <w:noProof/>
              <w:sz w:val="22"/>
            </w:rPr>
          </w:pPr>
          <w:hyperlink w:anchor="_Toc256000002" w:history="1">
            <w:r>
              <w:rPr>
                <w:rStyle w:val="Hyperlink"/>
              </w:rPr>
              <w:t>Statement of Jurisdiction</w:t>
            </w:r>
            <w:r>
              <w:tab/>
            </w:r>
            <w:r>
              <w:fldChar w:fldCharType="begin"/>
            </w:r>
            <w:r>
              <w:instrText xml:space="preserve"> PAGEREF _Toc256000002 \h </w:instrText>
            </w:r>
            <w:r>
              <w:fldChar w:fldCharType="separate"/>
            </w:r>
            <w:r>
              <w:t>7</w:t>
            </w:r>
            <w:r>
              <w:fldChar w:fldCharType="end"/>
            </w:r>
          </w:hyperlink>
        </w:p>
        <w:p>
          <w:pPr>
            <w:pStyle w:val="TOC1"/>
            <w:rPr>
              <w:rFonts w:asciiTheme="minorHAnsi" w:hAnsiTheme="minorHAnsi"/>
              <w:noProof/>
              <w:sz w:val="22"/>
            </w:rPr>
          </w:pPr>
          <w:hyperlink w:anchor="_Toc256000003" w:history="1">
            <w:r>
              <w:rPr>
                <w:rStyle w:val="Hyperlink"/>
              </w:rPr>
              <w:t>Statement of Issues</w:t>
            </w:r>
            <w:r>
              <w:tab/>
            </w:r>
            <w:r>
              <w:fldChar w:fldCharType="begin"/>
            </w:r>
            <w:r>
              <w:instrText xml:space="preserve"> PAGEREF _Toc256000003 \h </w:instrText>
            </w:r>
            <w:r>
              <w:fldChar w:fldCharType="separate"/>
            </w:r>
            <w:r>
              <w:t>10</w:t>
            </w:r>
            <w:r>
              <w:fldChar w:fldCharType="end"/>
            </w:r>
          </w:hyperlink>
        </w:p>
        <w:p>
          <w:pPr>
            <w:pStyle w:val="TOC1"/>
            <w:rPr>
              <w:rFonts w:asciiTheme="minorHAnsi" w:hAnsiTheme="minorHAnsi"/>
              <w:noProof/>
              <w:sz w:val="22"/>
            </w:rPr>
          </w:pPr>
          <w:hyperlink w:anchor="_Toc256000004" w:history="1">
            <w:r>
              <w:rPr>
                <w:rStyle w:val="Hyperlink"/>
              </w:rPr>
              <w:t>Statement of the Case</w:t>
            </w:r>
            <w:r>
              <w:tab/>
            </w:r>
            <w:r>
              <w:fldChar w:fldCharType="begin"/>
            </w:r>
            <w:r>
              <w:instrText xml:space="preserve"> PAGEREF _Toc256000004 \h </w:instrText>
            </w:r>
            <w:r>
              <w:fldChar w:fldCharType="separate"/>
            </w:r>
            <w:r>
              <w:t>11</w:t>
            </w:r>
            <w:r>
              <w:fldChar w:fldCharType="end"/>
            </w:r>
          </w:hyperlink>
        </w:p>
        <w:p>
          <w:pPr>
            <w:pStyle w:val="TOC1"/>
            <w:rPr>
              <w:rFonts w:asciiTheme="minorHAnsi" w:hAnsiTheme="minorHAnsi"/>
              <w:noProof/>
              <w:sz w:val="22"/>
            </w:rPr>
          </w:pPr>
          <w:hyperlink w:anchor="_Toc256000005" w:history="1">
            <w:r>
              <w:rPr>
                <w:rStyle w:val="Hyperlink"/>
              </w:rPr>
              <w:t>Statement of the Facts</w:t>
            </w:r>
            <w:r>
              <w:tab/>
            </w:r>
            <w:r>
              <w:fldChar w:fldCharType="begin"/>
            </w:r>
            <w:r>
              <w:instrText xml:space="preserve"> PAGEREF _Toc256000005 \h </w:instrText>
            </w:r>
            <w:r>
              <w:fldChar w:fldCharType="separate"/>
            </w:r>
            <w:r>
              <w:t>12</w:t>
            </w:r>
            <w:r>
              <w:fldChar w:fldCharType="end"/>
            </w:r>
          </w:hyperlink>
        </w:p>
        <w:p>
          <w:pPr>
            <w:pStyle w:val="TOC1"/>
            <w:rPr>
              <w:rFonts w:asciiTheme="minorHAnsi" w:hAnsiTheme="minorHAnsi"/>
              <w:noProof/>
              <w:sz w:val="22"/>
            </w:rPr>
          </w:pPr>
          <w:hyperlink w:anchor="_Toc256000006" w:history="1">
            <w:r>
              <w:rPr>
                <w:rStyle w:val="Hyperlink"/>
              </w:rPr>
              <w:t>Argument</w:t>
            </w:r>
            <w:r>
              <w:tab/>
            </w:r>
            <w:r>
              <w:fldChar w:fldCharType="begin"/>
            </w:r>
            <w:r>
              <w:instrText xml:space="preserve"> PAGEREF _Toc256000006 \h </w:instrText>
            </w:r>
            <w:r>
              <w:fldChar w:fldCharType="separate"/>
            </w:r>
            <w:r>
              <w:t>14</w:t>
            </w:r>
            <w:r>
              <w:fldChar w:fldCharType="end"/>
            </w:r>
          </w:hyperlink>
        </w:p>
        <w:p>
          <w:pPr>
            <w:pStyle w:val="TOC2"/>
            <w:rPr>
              <w:rFonts w:asciiTheme="minorHAnsi" w:hAnsiTheme="minorHAnsi"/>
              <w:noProof/>
              <w:sz w:val="22"/>
            </w:rPr>
          </w:pPr>
          <w:hyperlink w:anchor="_Toc256000007" w:history="1">
            <w:r>
              <w:rPr>
                <w:rStyle w:val="Hyperlink"/>
              </w:rPr>
              <w:t>I.</w:t>
            </w:r>
            <w:r>
              <w:rPr>
                <w:rFonts w:asciiTheme="minorHAnsi" w:hAnsiTheme="minorHAnsi"/>
                <w:noProof/>
                <w:sz w:val="22"/>
              </w:rPr>
              <w:tab/>
            </w:r>
            <w:r>
              <w:rPr>
                <w:rStyle w:val="Hyperlink"/>
              </w:rPr>
              <w:t>Ms. Smith’s quotation for criticism is fair use despite its length.</w:t>
            </w:r>
            <w:r>
              <w:tab/>
            </w:r>
            <w:r>
              <w:fldChar w:fldCharType="begin"/>
            </w:r>
            <w:r>
              <w:instrText xml:space="preserve"> PAGEREF _Toc256000007 \h </w:instrText>
            </w:r>
            <w:r>
              <w:fldChar w:fldCharType="separate"/>
            </w:r>
            <w:r>
              <w:t>14</w:t>
            </w:r>
            <w:r>
              <w:fldChar w:fldCharType="end"/>
            </w:r>
          </w:hyperlink>
        </w:p>
        <w:p>
          <w:pPr>
            <w:pStyle w:val="TOC2"/>
            <w:rPr>
              <w:rFonts w:asciiTheme="minorHAnsi" w:hAnsiTheme="minorHAnsi"/>
              <w:noProof/>
              <w:sz w:val="22"/>
            </w:rPr>
          </w:pPr>
          <w:hyperlink w:anchor="_Toc256000008" w:history="1">
            <w:r>
              <w:rPr>
                <w:rStyle w:val="Hyperlink"/>
              </w:rPr>
              <w:t>II.</w:t>
            </w:r>
            <w:r>
              <w:rPr>
                <w:rFonts w:asciiTheme="minorHAnsi" w:hAnsiTheme="minorHAnsi"/>
                <w:noProof/>
                <w:sz w:val="22"/>
              </w:rPr>
              <w:tab/>
            </w:r>
            <w:r>
              <w:rPr>
                <w:rStyle w:val="Hyperlink"/>
              </w:rPr>
              <w:t>Global Media cannot recover blog contributions absent proof they were attributable to the quotation</w:t>
            </w:r>
            <w:r>
              <w:tab/>
            </w:r>
            <w:r>
              <w:fldChar w:fldCharType="begin"/>
            </w:r>
            <w:r>
              <w:instrText xml:space="preserve"> PAGEREF _Toc256000008 \h </w:instrText>
            </w:r>
            <w:r>
              <w:fldChar w:fldCharType="separate"/>
            </w:r>
            <w:r>
              <w:t>17</w:t>
            </w:r>
            <w:r>
              <w:fldChar w:fldCharType="end"/>
            </w:r>
          </w:hyperlink>
        </w:p>
        <w:p>
          <w:pPr>
            <w:pStyle w:val="TOC2"/>
            <w:rPr>
              <w:rFonts w:asciiTheme="minorHAnsi" w:hAnsiTheme="minorHAnsi"/>
              <w:noProof/>
              <w:sz w:val="22"/>
            </w:rPr>
          </w:pPr>
          <w:hyperlink w:anchor="_Toc256000009" w:history="1">
            <w:r>
              <w:rPr>
                <w:rStyle w:val="Hyperlink"/>
              </w:rPr>
              <w:t>III.</w:t>
            </w:r>
            <w:r>
              <w:rPr>
                <w:rFonts w:asciiTheme="minorHAnsi" w:hAnsiTheme="minorHAnsi"/>
                <w:noProof/>
                <w:sz w:val="22"/>
              </w:rPr>
              <w:tab/>
            </w:r>
            <w:r>
              <w:rPr>
                <w:rStyle w:val="Hyperlink"/>
              </w:rPr>
              <w:t>Ms. Smith’s blog post is not a business act or practice under § 17200</w:t>
            </w:r>
            <w:r>
              <w:tab/>
            </w:r>
            <w:r>
              <w:fldChar w:fldCharType="begin"/>
            </w:r>
            <w:r>
              <w:instrText xml:space="preserve"> PAGEREF _Toc256000009 \h </w:instrText>
            </w:r>
            <w:r>
              <w:fldChar w:fldCharType="separate"/>
            </w:r>
            <w:r>
              <w:t>20</w:t>
            </w:r>
            <w:r>
              <w:fldChar w:fldCharType="end"/>
            </w:r>
          </w:hyperlink>
        </w:p>
        <w:p>
          <w:pPr>
            <w:pStyle w:val="TOC2"/>
            <w:rPr>
              <w:rFonts w:asciiTheme="minorHAnsi" w:hAnsiTheme="minorHAnsi"/>
              <w:noProof/>
              <w:sz w:val="22"/>
            </w:rPr>
          </w:pPr>
          <w:hyperlink w:anchor="_Toc256000010" w:history="1">
            <w:r>
              <w:rPr>
                <w:rStyle w:val="Hyperlink"/>
              </w:rPr>
              <w:t>IV.</w:t>
            </w:r>
            <w:r>
              <w:rPr>
                <w:rFonts w:asciiTheme="minorHAnsi" w:hAnsiTheme="minorHAnsi"/>
                <w:noProof/>
                <w:sz w:val="22"/>
              </w:rPr>
              <w:tab/>
            </w:r>
            <w:r>
              <w:rPr>
                <w:rStyle w:val="Hyperlink"/>
              </w:rPr>
              <w:t>Global Media lacks UCL standing because it alleges no lost money or property</w:t>
            </w:r>
            <w:r>
              <w:tab/>
            </w:r>
            <w:r>
              <w:fldChar w:fldCharType="begin"/>
            </w:r>
            <w:r>
              <w:instrText xml:space="preserve"> PAGEREF _Toc256000010 \h </w:instrText>
            </w:r>
            <w:r>
              <w:fldChar w:fldCharType="separate"/>
            </w:r>
            <w:r>
              <w:t>24</w:t>
            </w:r>
            <w:r>
              <w:fldChar w:fldCharType="end"/>
            </w:r>
          </w:hyperlink>
        </w:p>
        <w:p>
          <w:pPr>
            <w:pStyle w:val="TOC2"/>
            <w:rPr>
              <w:rFonts w:asciiTheme="minorHAnsi" w:hAnsiTheme="minorHAnsi"/>
              <w:noProof/>
              <w:sz w:val="22"/>
            </w:rPr>
          </w:pPr>
          <w:hyperlink w:anchor="_Toc256000011" w:history="1">
            <w:r>
              <w:rPr>
                <w:rStyle w:val="Hyperlink"/>
              </w:rPr>
              <w:t>V.</w:t>
            </w:r>
            <w:r>
              <w:rPr>
                <w:rFonts w:asciiTheme="minorHAnsi" w:hAnsiTheme="minorHAnsi"/>
                <w:noProof/>
                <w:sz w:val="22"/>
              </w:rPr>
              <w:tab/>
            </w:r>
            <w:r>
              <w:rPr>
                <w:rStyle w:val="Hyperlink"/>
              </w:rPr>
              <w:t>The Blog Post contains no false statement of fact under section 45.</w:t>
            </w:r>
            <w:r>
              <w:tab/>
            </w:r>
            <w:r>
              <w:fldChar w:fldCharType="begin"/>
            </w:r>
            <w:r>
              <w:instrText xml:space="preserve"> PAGEREF _Toc256000011 \h </w:instrText>
            </w:r>
            <w:r>
              <w:fldChar w:fldCharType="separate"/>
            </w:r>
            <w:r>
              <w:t>26</w:t>
            </w:r>
            <w:r>
              <w:fldChar w:fldCharType="end"/>
            </w:r>
          </w:hyperlink>
        </w:p>
        <w:p>
          <w:pPr>
            <w:pStyle w:val="TOC2"/>
            <w:rPr>
              <w:rFonts w:asciiTheme="minorHAnsi" w:hAnsiTheme="minorHAnsi"/>
              <w:noProof/>
              <w:sz w:val="22"/>
            </w:rPr>
          </w:pPr>
          <w:hyperlink w:anchor="_Toc256000012" w:history="1">
            <w:r>
              <w:rPr>
                <w:rStyle w:val="Hyperlink"/>
              </w:rPr>
              <w:t>VI.</w:t>
            </w:r>
            <w:r>
              <w:rPr>
                <w:rFonts w:asciiTheme="minorHAnsi" w:hAnsiTheme="minorHAnsi"/>
                <w:noProof/>
                <w:sz w:val="22"/>
              </w:rPr>
              <w:tab/>
            </w:r>
            <w:r>
              <w:rPr>
                <w:rStyle w:val="Hyperlink"/>
              </w:rPr>
              <w:t>Global Media must plead special damages because the post is not libel on its face</w:t>
            </w:r>
            <w:r>
              <w:tab/>
            </w:r>
            <w:r>
              <w:fldChar w:fldCharType="begin"/>
            </w:r>
            <w:r>
              <w:instrText xml:space="preserve"> PAGEREF _Toc256000012 \h </w:instrText>
            </w:r>
            <w:r>
              <w:fldChar w:fldCharType="separate"/>
            </w:r>
            <w:r>
              <w:t>28</w:t>
            </w:r>
            <w:r>
              <w:fldChar w:fldCharType="end"/>
            </w:r>
          </w:hyperlink>
        </w:p>
        <w:p>
          <w:pPr>
            <w:pStyle w:val="TOC1"/>
            <w:rPr>
              <w:rFonts w:asciiTheme="minorHAnsi" w:hAnsiTheme="minorHAnsi"/>
              <w:noProof/>
              <w:sz w:val="22"/>
            </w:rPr>
          </w:pPr>
          <w:hyperlink w:anchor="_Toc256000013" w:history="1">
            <w:r>
              <w:rPr>
                <w:rStyle w:val="Hyperlink"/>
              </w:rPr>
              <w:t>Conclusion</w:t>
            </w:r>
            <w:r>
              <w:tab/>
            </w:r>
            <w:r>
              <w:fldChar w:fldCharType="begin"/>
            </w:r>
            <w:r>
              <w:instrText xml:space="preserve"> PAGEREF _Toc256000013 \h </w:instrText>
            </w:r>
            <w:r>
              <w:fldChar w:fldCharType="separate"/>
            </w:r>
            <w:r>
              <w:t>31</w:t>
            </w:r>
            <w:r>
              <w:fldChar w:fldCharType="end"/>
            </w:r>
          </w:hyperlink>
        </w:p>
        <w:p>
          <w:pPr>
            <w:pStyle w:val="TOC1"/>
            <w:rPr>
              <w:rFonts w:asciiTheme="minorHAnsi" w:hAnsiTheme="minorHAnsi"/>
              <w:noProof/>
              <w:sz w:val="22"/>
            </w:rPr>
          </w:pPr>
          <w:hyperlink w:anchor="_Toc256000014" w:history="1">
            <w:r>
              <w:rPr>
                <w:rStyle w:val="Hyperlink"/>
              </w:rPr>
              <w:t>Certificate of Compliance</w:t>
            </w:r>
            <w:r>
              <w:tab/>
            </w:r>
            <w:r>
              <w:fldChar w:fldCharType="begin"/>
            </w:r>
            <w:r>
              <w:instrText xml:space="preserve"> PAGEREF _Toc256000014 \h </w:instrText>
            </w:r>
            <w:r>
              <w:fldChar w:fldCharType="separate"/>
            </w:r>
            <w:r>
              <w:t>32</w:t>
            </w:r>
            <w:r>
              <w:fldChar w:fldCharType="end"/>
            </w:r>
          </w:hyperlink>
        </w:p>
        <w:p>
          <w:pPr>
            <w:pStyle w:val="TOC1"/>
            <w:rPr>
              <w:rFonts w:asciiTheme="minorHAnsi" w:hAnsiTheme="minorHAnsi"/>
              <w:noProof/>
              <w:sz w:val="22"/>
            </w:rPr>
          </w:pPr>
          <w:hyperlink w:anchor="_Toc256000015" w:history="1">
            <w:r>
              <w:rPr>
                <w:rStyle w:val="Hyperlink"/>
              </w:rPr>
              <w:t>Certificate of Service</w:t>
            </w:r>
            <w:r>
              <w:tab/>
            </w:r>
            <w:r>
              <w:fldChar w:fldCharType="begin"/>
            </w:r>
            <w:r>
              <w:instrText xml:space="preserve"> PAGEREF _Toc256000015 \h </w:instrText>
            </w:r>
            <w:r>
              <w:fldChar w:fldCharType="separate"/>
            </w:r>
            <w:r>
              <w:t>33</w:t>
            </w:r>
            <w:r>
              <w:fldChar w:fldCharType="end"/>
            </w:r>
          </w:hyperlink>
        </w:p>
        <w:p>
          <w:pPr>
            <w:pStyle w:val="TOC1"/>
            <w:tabs>
              <w:tab w:val="clear" w:pos="9350"/>
              <w:tab w:val="right" w:leader="dot" w:pos="9360"/>
            </w:tabs>
          </w:pPr>
          <w:r>
            <w:rPr>
              <w:rStyle w:val="IndexLink"/>
            </w:rPr>
            <w:fldChar w:fldCharType="end"/>
          </w:r>
        </w:p>
      </w:sdtContent>
    </w:sdt>
    <w:p>
      <w:r>
        <w:br w:type="page"/>
      </w:r>
    </w:p>
    <w:p>
      <w:pPr>
        <w:pStyle w:val="Heading1"/>
      </w:pPr>
      <w:bookmarkStart w:id="0" w:name="_Toc256000000"/>
      <w:r>
        <w:t>Table of Authorities</w:t>
      </w:r>
      <w:bookmarkEnd w:id="0"/>
    </w:p>
    <w:sdt>
      <w:sdtPr>
        <w:id w:val="1345243683"/>
        <w:docPartObj>
          <w:docPartGallery w:val="Table of Authorities"/>
          <w:docPartUnique/>
        </w:docPartObj>
      </w:sdtPr>
      <w:sdtContent>
        <w:p>
          <w:pPr>
            <w:pStyle w:val="TOAHeading"/>
            <w:tabs>
              <w:tab w:val="right" w:leader="dot" w:pos="9350"/>
            </w:tabs>
          </w:pPr>
          <w:r>
            <w:fldChar w:fldCharType="begin"/>
          </w:r>
          <w:r>
            <w:instrText>TOA \h \c "1" \f</w:instrText>
          </w:r>
          <w:r>
            <w:fldChar w:fldCharType="separate"/>
          </w:r>
          <w:r>
            <w:t>Cases</w:t>
          </w:r>
        </w:p>
        <w:p>
          <w:pPr>
            <w:pStyle w:val="TableofAuthorities"/>
          </w:pPr>
          <w:r>
            <w:t>Campbell v. Acuff-Rose Music, Inc.,     510 U.S. 569 (1994)</w:t>
          </w:r>
          <w:r>
            <w:tab/>
          </w:r>
          <w:r>
            <w:t>14, 15, 16, 17</w:t>
          </w:r>
        </w:p>
        <w:p>
          <w:pPr>
            <w:pStyle w:val="TableofAuthorities"/>
          </w:pPr>
          <w:r>
            <w:t>Dereck Seltzer v. Green Day, Inc.,     725 F.3d 1170 (9th Cir. 2013)</w:t>
          </w:r>
          <w:r>
            <w:tab/>
          </w:r>
          <w:r>
            <w:t>14, 17</w:t>
          </w:r>
        </w:p>
        <w:p>
          <w:pPr>
            <w:pStyle w:val="TableofAuthorities"/>
          </w:pPr>
          <w:r>
            <w:t>Gertz v. Robert Welch, Inc.,     418 U.S. 323 (1974)</w:t>
          </w:r>
          <w:r>
            <w:tab/>
          </w:r>
          <w:r>
            <w:t>26</w:t>
          </w:r>
        </w:p>
        <w:p>
          <w:pPr>
            <w:pStyle w:val="TableofAuthorities"/>
          </w:pPr>
          <w:r>
            <w:t>Harper &amp; Row, Publishers, Inc. v. Nation Enterprises, 85 L. Ed. 2d 588 (1985)</w:t>
          </w:r>
          <w:r>
            <w:tab/>
          </w:r>
          <w:r>
            <w:t>15, 16, 17</w:t>
          </w:r>
        </w:p>
        <w:p>
          <w:pPr>
            <w:pStyle w:val="TableofAuthorities"/>
          </w:pPr>
          <w:r>
            <w:t>Kasky v. Nike, Inc.,     27 Cal. 4th 939 (2002)</w:t>
          </w:r>
          <w:r>
            <w:tab/>
          </w:r>
          <w:r>
            <w:t>21, 22, 23, 24</w:t>
          </w:r>
        </w:p>
        <w:p>
          <w:pPr>
            <w:pStyle w:val="TableofAuthorities"/>
          </w:pPr>
          <w:r>
            <w:t>Los Angeles News Service Robert Tur v. CBS Broadcasting, Inc. Courtroom Television Network,     305 F.3d 924 (9th Cir. 2002)</w:t>
          </w:r>
          <w:r>
            <w:tab/>
          </w:r>
          <w:r>
            <w:t>17</w:t>
          </w:r>
        </w:p>
        <w:p>
          <w:pPr>
            <w:pStyle w:val="TableofAuthorities"/>
          </w:pPr>
          <w:r>
            <w:t>Noelia Monge v. Maya Magazines, Inc.,     688 F.3d 1164 (9th Cir. 2012)</w:t>
          </w:r>
          <w:r>
            <w:tab/>
          </w:r>
          <w:r>
            <w:t>28</w:t>
          </w:r>
        </w:p>
        <w:p>
          <w:pPr>
            <w:pStyle w:val="TableofAuthorities"/>
          </w:pPr>
          <w:r>
            <w:t>SOFA Entertainment, Inc. v. Dodger Productions, Inc.,     709 F.3d 1273 (9th Cir. 2013)</w:t>
          </w:r>
          <w:r>
            <w:tab/>
          </w:r>
          <w:r>
            <w:t>14</w:t>
          </w:r>
        </w:p>
        <w:p>
          <w:r>
            <w:fldChar w:fldCharType="end"/>
          </w:r>
        </w:p>
        <w:p>
          <w:pPr>
            <w:pStyle w:val="TOAHeading"/>
            <w:tabs>
              <w:tab w:val="right" w:leader="dot" w:pos="9350"/>
            </w:tabs>
          </w:pPr>
          <w:r>
            <w:fldChar w:fldCharType="begin"/>
          </w:r>
          <w:r>
            <w:instrText>TOA \h \c "2" \f</w:instrText>
          </w:r>
          <w:r>
            <w:fldChar w:fldCharType="separate"/>
          </w:r>
          <w:r>
            <w:t>Statutes</w:t>
          </w:r>
        </w:p>
        <w:p>
          <w:pPr>
            <w:pStyle w:val="TableofAuthorities"/>
          </w:pPr>
          <w:r>
            <w:t>17 U.S.C. § 106 - Exclusive rights in copyrighted works</w:t>
          </w:r>
          <w:r>
            <w:tab/>
          </w:r>
          <w:r>
            <w:t>14</w:t>
          </w:r>
        </w:p>
        <w:p>
          <w:pPr>
            <w:pStyle w:val="TableofAuthorities"/>
          </w:pPr>
          <w:r>
            <w:t>17 U.S.C. § 501 - Infringement of copyright</w:t>
          </w:r>
          <w:r>
            <w:tab/>
          </w:r>
          <w:r>
            <w:t>14</w:t>
          </w:r>
        </w:p>
        <w:p>
          <w:pPr>
            <w:pStyle w:val="TableofAuthorities"/>
          </w:pPr>
          <w:r>
            <w:t>17 U.S.C. § 504 - Remedies for infringement: Damages and profits</w:t>
          </w:r>
          <w:r>
            <w:tab/>
          </w:r>
          <w:r>
            <w:t>14, 17, 18, 19, 20</w:t>
          </w:r>
        </w:p>
        <w:p>
          <w:pPr>
            <w:pStyle w:val="TableofAuthorities"/>
          </w:pPr>
          <w:r>
            <w:t>Cal. Bus. &amp; Prof. Code § 17200</w:t>
          </w:r>
          <w:r>
            <w:tab/>
          </w:r>
          <w:r>
            <w:t>20, 21, 22, 23, 24, 25, 26</w:t>
          </w:r>
        </w:p>
        <w:p>
          <w:pPr>
            <w:pStyle w:val="TableofAuthorities"/>
          </w:pPr>
          <w:r>
            <w:t>Cal. Civ. Code § 44</w:t>
          </w:r>
          <w:r>
            <w:tab/>
          </w:r>
          <w:r>
            <w:t>28</w:t>
          </w:r>
        </w:p>
        <w:p>
          <w:pPr>
            <w:pStyle w:val="TableofAuthorities"/>
          </w:pPr>
          <w:r>
            <w:t>Cal. Civ. Code § 45</w:t>
          </w:r>
          <w:r>
            <w:tab/>
          </w:r>
          <w:r>
            <w:t>26, 27, 28, 29</w:t>
          </w:r>
        </w:p>
        <w:p>
          <w:pPr>
            <w:pStyle w:val="TableofAuthorities"/>
          </w:pPr>
          <w:r>
            <w:t>Cal. Civ. Code § 45a</w:t>
          </w:r>
          <w:r>
            <w:tab/>
          </w:r>
          <w:r>
            <w:t>28, 29, 30</w:t>
          </w:r>
        </w:p>
        <w:p>
          <w:r>
            <w:fldChar w:fldCharType="end"/>
          </w:r>
        </w:p>
      </w:sdtContent>
    </w:sdt>
    <w:p>
      <w:bookmarkStart w:id="1" w:name="table-of-authorities"/>
      <w:bookmarkEnd w:id="1"/>
      <w:r>
        <w:br w:type="page"/>
      </w:r>
    </w:p>
    <w:p>
      <w:pPr>
        <w:pStyle w:val="Heading1"/>
      </w:pPr>
      <w:bookmarkStart w:id="2" w:name="_Toc256000001"/>
      <w:r>
        <w:t>Introduction</w:t>
      </w:r>
      <w:bookmarkEnd w:id="2"/>
    </w:p>
    <w:p>
      <w:pPr>
        <w:pStyle w:val="FirstParagraph"/>
      </w:pPr>
      <w:r>
        <w:t>Defendant JANE SMITH (“Ms. Smith”) respectfully submits this brief seeking dismissal of the claims asserted by Plaintiff GLOBAL MEDIA (“Global Media”). This case arises from a commonplace act of online criticism: a single post on Ms. Smith’s personal, non-advertising blog responding to—by quoting and then condemning—Global Media’s own reporting.</w:t>
      </w:r>
    </w:p>
    <w:p>
      <w:pPr>
        <w:pStyle w:val="BodyText"/>
      </w:pPr>
      <w:r>
        <w:t>Ms. Smith is a California resident who operates a personal, noncommercial blog used to comment on media coverage. Global Media is a California-based media company that publishes a magazine containing the article at issue (the “Magazine Article”). In the challenged post (the “Blog Post”), Ms. Smith reproduced substantial excerpts of the Magazine Article in order to engage with its specific language and framing, then offered a comparatively short but pointed critique of the Magazine Article and its editorial credibility.</w:t>
      </w:r>
    </w:p>
    <w:p>
      <w:pPr>
        <w:pStyle w:val="BodyText"/>
      </w:pPr>
      <w:r>
        <w:t xml:space="preserve">Global Media attempts to reframe this criticism as actionable misconduct, asserting that the Blog Post harmed the Magazine’s reputation and business, and further contending that Ms. Smith “profited” because the blog received increased voluntary reader contributions after publication. But the Blog carried no advertising, did not sell a substitute product, and presented the excerpts solely as the object of criticism—paradigmatic transformative, noncommercial fair use under 17 U.S.C. § 107. See </w:t>
      </w:r>
      <w:r>
        <w:rPr>
          <w:i/>
          <w:iCs/>
        </w:rPr>
        <w:t>Campbell</w:t>
      </w:r>
      <w:r>
        <w:t xml:space="preserve"> v. </w:t>
      </w:r>
      <w:r>
        <w:rPr>
          <w:i/>
          <w:iCs/>
        </w:rPr>
        <w:t>Acuff-Rose Music, Inc.</w:t>
      </w:r>
      <w:r>
        <w:t xml:space="preserve">, 510 U.S. 569 (1994). And Global Media cannot recover purported “indirect profits” under 17 U.S.C. § 504(b) without a non-speculative causal nexus between the challenged copying and any contributions, as opposed to Ms. Smith’s independent commentary and existing reader goodwill. See </w:t>
      </w:r>
      <w:r>
        <w:rPr>
          <w:i/>
          <w:iCs/>
        </w:rPr>
        <w:t>Polar Bear Prods., Inc.</w:t>
      </w:r>
      <w:r>
        <w:t xml:space="preserve"> v. </w:t>
      </w:r>
      <w:r>
        <w:rPr>
          <w:i/>
          <w:iCs/>
        </w:rPr>
        <w:t>Timex Corp.</w:t>
      </w:r>
      <w:r>
        <w:t>, 384 F.3d 700 (9th Cir. 2004).</w:t>
      </w:r>
    </w:p>
    <w:p>
      <w:pPr>
        <w:pStyle w:val="BodyText"/>
      </w:pPr>
      <w:r>
        <w:t xml:space="preserve">Global Media’s state-law claims fail for similar threshold reasons. The Blog Post is expressive criticism, not a “business act or practice” under the Unfair Competition Law, Cal. Bus. &amp; Prof. Code § 17200, and Global Media lacks standing because it pleads only reputational injury and speculative lost business, not concrete “lost money or property” proximately caused by the Blog Post. Cal. Bus. &amp; Prof. Code § 17204; </w:t>
      </w:r>
      <w:r>
        <w:rPr>
          <w:i/>
          <w:iCs/>
        </w:rPr>
        <w:t>Kwikset Corp.</w:t>
      </w:r>
      <w:r>
        <w:t xml:space="preserve"> v. </w:t>
      </w:r>
      <w:r>
        <w:rPr>
          <w:i/>
          <w:iCs/>
        </w:rPr>
        <w:t>Superior Court</w:t>
      </w:r>
      <w:r>
        <w:t xml:space="preserve">, 51 Cal. 4th 310 (2011). Finally, the defamation claim fails because Global Media identifies no provably false statement of fact by Ms. Smith; at most, the post conveys protected opinionated criticism based on Global Media’s own words. Cal. Civ. Code § 45; </w:t>
      </w:r>
      <w:r>
        <w:rPr>
          <w:i/>
          <w:iCs/>
        </w:rPr>
        <w:t>Milkovich</w:t>
      </w:r>
      <w:r>
        <w:t xml:space="preserve"> v. </w:t>
      </w:r>
      <w:r>
        <w:rPr>
          <w:i/>
          <w:iCs/>
        </w:rPr>
        <w:t>Lorain Journal Co.</w:t>
      </w:r>
      <w:r>
        <w:t>, 497 U.S. 1 (1990). To the extent Global Media relies on insinuation rather than any facially defamatory statement, the claim sounds in libel per quod and must be dismissed absent well-pleaded special damages. Cal. Civ. Code § 45a.</w:t>
      </w:r>
    </w:p>
    <w:p>
      <w:bookmarkStart w:id="3" w:name="introduction"/>
      <w:bookmarkEnd w:id="3"/>
      <w:r>
        <w:br w:type="page"/>
      </w:r>
    </w:p>
    <w:p>
      <w:pPr>
        <w:pStyle w:val="Heading1"/>
      </w:pPr>
      <w:bookmarkStart w:id="4" w:name="_Toc256000002"/>
      <w:r>
        <w:t>Statement of Jurisdiction</w:t>
      </w:r>
      <w:bookmarkEnd w:id="4"/>
    </w:p>
    <w:p>
      <w:pPr>
        <w:pStyle w:val="FirstParagraph"/>
      </w:pPr>
      <w:r>
        <w:t xml:space="preserve">This Court has subject-matter jurisdiction because Global Media’s claims arise under the federal Copyright Act and seek relief expressly created by that Act, including enforcement of the copyright owner’s exclusive rights and remedies for infringement. A claim “arises under” the Copyright Act when the complaint seeks a remedy expressly granted by the Act or requires construction of the Act, as articulated in </w:t>
      </w:r>
      <w:r>
        <w:rPr>
          <w:i/>
          <w:iCs/>
        </w:rPr>
        <w:t>T.B. Harms Co.</w:t>
      </w:r>
      <w:r>
        <w:t xml:space="preserve"> v. </w:t>
      </w:r>
      <w:r>
        <w:rPr>
          <w:i/>
          <w:iCs/>
        </w:rPr>
        <w:t>Eliscu</w:t>
      </w:r>
      <w:r>
        <w:t>, 339 F.2d 823, 828 (2d Cir. 1964), and the exclusive-rights and infringement provisions invoked here are codified at 17 U.S.C. §§ 106, 501 (with remedies available under 17 U.S.C. §§ 504–505).</w:t>
      </w:r>
    </w:p>
    <w:p>
      <w:pPr>
        <w:pStyle w:val="BodyText"/>
      </w:pPr>
      <w:r>
        <w:t>This Court also has exclusive subject-matter jurisdiction over civil actions “arising under” federal copyright law, and therefore is the proper forum to adjudicate an infringement dispute predicated on alleged unauthorized reproduction and publication of protected expression. Congress vested the federal district courts with exclusive jurisdiction over such claims in 28 U.S.C. § 1338(a), and Global Media’s allegations—that Ms. Smith copied and publicly posted the heart of the Magazine Article on the Blog with minimal added original content—place the dispute squarely within the scope of 17 U.S.C. §§ 106 and 501.</w:t>
      </w:r>
    </w:p>
    <w:p>
      <w:pPr>
        <w:pStyle w:val="BodyText"/>
      </w:pPr>
      <w:r>
        <w:t xml:space="preserve">To the extent Global Media attempts to repackage the same core conduct—copying and republishing copyrighted expression—into state-law theories (including unfair-competition-type relief under California’s Unfair Competition Law, Cal. Bus. &amp; Prof. Code § 17200), those theories are preempted where they are equivalent to the exclusive rights protected by copyright. Federal preemption under 17 U.S.C. § 301 bars state-law claims that do not include an “extra element” qualitatively changing the nature of the action beyond rights equivalent to those protected by 17 U.S.C. § 106; the Ninth Circuit applies that equivalency framework in </w:t>
      </w:r>
      <w:r>
        <w:rPr>
          <w:i/>
          <w:iCs/>
        </w:rPr>
        <w:t>Laws</w:t>
      </w:r>
      <w:r>
        <w:t xml:space="preserve"> v. </w:t>
      </w:r>
      <w:r>
        <w:rPr>
          <w:i/>
          <w:iCs/>
        </w:rPr>
        <w:t>Sony Music Ent., Inc.</w:t>
      </w:r>
      <w:r>
        <w:t xml:space="preserve">, 448 F.3d 1134, 1137–38 (9th Cir. 2006), and </w:t>
      </w:r>
      <w:r>
        <w:rPr>
          <w:i/>
          <w:iCs/>
        </w:rPr>
        <w:t>Kodadek</w:t>
      </w:r>
      <w:r>
        <w:t xml:space="preserve"> v. </w:t>
      </w:r>
      <w:r>
        <w:rPr>
          <w:i/>
          <w:iCs/>
        </w:rPr>
        <w:t>MTV Networks, Inc.</w:t>
      </w:r>
      <w:r>
        <w:t>, 152 F.3d 1209, 1212–13 (9th Cir. 1998).</w:t>
      </w:r>
    </w:p>
    <w:p>
      <w:pPr>
        <w:pStyle w:val="BodyText"/>
      </w:pPr>
      <w:r>
        <w:t xml:space="preserve">This Court has personal jurisdiction over Ms. Smith because she is a California resident, and a defendant’s domicile in the forum state supports general jurisdiction consistent with due process. A natural person is subject to general jurisdiction in the state of her domicile under </w:t>
      </w:r>
      <w:r>
        <w:rPr>
          <w:i/>
          <w:iCs/>
        </w:rPr>
        <w:t>Daimler AG</w:t>
      </w:r>
      <w:r>
        <w:t xml:space="preserve"> v. </w:t>
      </w:r>
      <w:r>
        <w:rPr>
          <w:i/>
          <w:iCs/>
        </w:rPr>
        <w:t>Bauman</w:t>
      </w:r>
      <w:r>
        <w:t xml:space="preserve">, 571 U.S. 117, 137 (2014), and </w:t>
      </w:r>
      <w:r>
        <w:rPr>
          <w:i/>
          <w:iCs/>
        </w:rPr>
        <w:t>Goodyear Dunlop Tires Operations, S.A.</w:t>
      </w:r>
      <w:r>
        <w:t xml:space="preserve"> v. </w:t>
      </w:r>
      <w:r>
        <w:rPr>
          <w:i/>
          <w:iCs/>
        </w:rPr>
        <w:t>Brown</w:t>
      </w:r>
      <w:r>
        <w:t>, 564 U.S. 915, 919 (2011), and California’s long-arm statute reaches to the full extent permitted by due process, Cal. Civ. Proc. Code § 410.10; accordingly, Ms. Smith’s California residency independently supplies a constitutionally sufficient basis for this Court’s exercise of personal jurisdiction.</w:t>
      </w:r>
    </w:p>
    <w:p>
      <w:pPr>
        <w:pStyle w:val="BodyText"/>
      </w:pPr>
      <w:r>
        <w:t xml:space="preserve">Personal jurisdiction is further proper because the alleged infringing conduct and its effects are centered in California: Ms. Smith operated the Blog from California and allegedly posted the challenged material knowing the purported injury would be felt by a California-based rights holder, creating purposeful, forum-directed conduct sufficient for specific jurisdiction. California courts analyze Internet-based contacts and effects under due process principles consistent with Cal. Civ. Proc. Code § 410.10, including in </w:t>
      </w:r>
      <w:r>
        <w:rPr>
          <w:i/>
          <w:iCs/>
        </w:rPr>
        <w:t>Pavlovich</w:t>
      </w:r>
      <w:r>
        <w:t xml:space="preserve"> v. </w:t>
      </w:r>
      <w:r>
        <w:rPr>
          <w:i/>
          <w:iCs/>
        </w:rPr>
        <w:t>Superior Court</w:t>
      </w:r>
      <w:r>
        <w:t xml:space="preserve">, 29 Cal. 4th 262, 269–73 (2002), and the minimum-contacts and “fair play and substantial justice” standards are articulated in </w:t>
      </w:r>
      <w:r>
        <w:rPr>
          <w:i/>
          <w:iCs/>
        </w:rPr>
        <w:t>Burger King Corp.</w:t>
      </w:r>
      <w:r>
        <w:t xml:space="preserve"> v. </w:t>
      </w:r>
      <w:r>
        <w:rPr>
          <w:i/>
          <w:iCs/>
        </w:rPr>
        <w:t>Rudzewicz</w:t>
      </w:r>
      <w:r>
        <w:t xml:space="preserve">, 471 U.S. 462, 476–77 (1985), and applied in the Ninth Circuit in </w:t>
      </w:r>
      <w:r>
        <w:rPr>
          <w:i/>
          <w:iCs/>
        </w:rPr>
        <w:t>Schwarzenegger</w:t>
      </w:r>
      <w:r>
        <w:t xml:space="preserve"> v. </w:t>
      </w:r>
      <w:r>
        <w:rPr>
          <w:i/>
          <w:iCs/>
        </w:rPr>
        <w:t>Fred Martin Motor Co.</w:t>
      </w:r>
      <w:r>
        <w:t>, 374 F.3d 797, 801–02 (9th Cir. 2004).</w:t>
      </w:r>
    </w:p>
    <w:p>
      <w:pPr>
        <w:pStyle w:val="BodyText"/>
      </w:pPr>
      <w:r>
        <w:t>Venue is proper in this District because the alleged infringement occurred in this District and Ms. Smith may be found here as a California resident who authored and published the challenged Blog Post from within California. In copyright actions, venue lies “in the district in which the defendant or his agent resides or may be found,” 28 U.S.C. § 1400(a), and the allegations that Ms. Smith created and uploaded the Blog Post from California, directed at a California plaintiff and its magazine content, satisfy that statutory standard.</w:t>
      </w:r>
    </w:p>
    <w:p>
      <w:bookmarkStart w:id="5" w:name="statement-of-jurisdiction"/>
      <w:bookmarkEnd w:id="5"/>
      <w:r>
        <w:br w:type="page"/>
      </w:r>
    </w:p>
    <w:p>
      <w:pPr>
        <w:pStyle w:val="Heading1"/>
      </w:pPr>
      <w:bookmarkStart w:id="6" w:name="_Toc256000003"/>
      <w:r>
        <w:t>Statement of Issues</w:t>
      </w:r>
      <w:bookmarkEnd w:id="6"/>
    </w:p>
    <w:p>
      <w:pPr>
        <w:numPr>
          <w:ilvl w:val="0"/>
          <w:numId w:val="10"/>
        </w:numPr>
      </w:pPr>
      <w:r>
        <w:t>Whether Ms. Smith’s noncommercial blog post—quoting limited portions, including the most salient passages, of Global Media’s article to critique and comment on it—constitutes a transformative fair use under 17 U.S.C. § 107 notwithstanding that the post contains relatively brief commentary beyond the quoted excerpts.</w:t>
      </w:r>
    </w:p>
    <w:p>
      <w:pPr>
        <w:numPr>
          <w:ilvl w:val="0"/>
          <w:numId w:val="10"/>
        </w:numPr>
      </w:pPr>
      <w:r>
        <w:t>Whether Global Media is barred from recovering any portion of Ms. Smith’s increased voluntary blog contributions as indirect profits under 17 U.S.C. § 504(b) because Global Media cannot prove a non-speculative causal nexus between the challenged quotations and any contributions, as opposed to Ms. Smith’s independent criticism and audience goodwill.</w:t>
      </w:r>
    </w:p>
    <w:p>
      <w:pPr>
        <w:numPr>
          <w:ilvl w:val="0"/>
          <w:numId w:val="10"/>
        </w:numPr>
      </w:pPr>
      <w:r>
        <w:t>Whether Ms. Smith’s isolated, non-advertising blog post—undertaken for expressive criticism rather than commerce—fails as a matter of law to satisfy the “business act or practice” element required to state a claim under Cal. Bus. &amp; Prof. Code § 17200.</w:t>
      </w:r>
    </w:p>
    <w:p>
      <w:pPr>
        <w:numPr>
          <w:ilvl w:val="0"/>
          <w:numId w:val="10"/>
        </w:numPr>
      </w:pPr>
      <w:r>
        <w:t>Whether Global Media lacks standing under Cal. Bus. &amp; Prof. Code § 17204 where it alleges only generalized reputational injury and speculative lost business, without identifying any concrete “lost money or property” proximately caused by Ms. Smith’s post.</w:t>
      </w:r>
    </w:p>
    <w:p>
      <w:pPr>
        <w:numPr>
          <w:ilvl w:val="0"/>
          <w:numId w:val="10"/>
        </w:numPr>
      </w:pPr>
      <w:r>
        <w:t>Whether Ms. Smith’s post, which republishes excerpts of Global Media’s own article and adds critical opinion and commentary, fails to state a claim for libel under Cal. Civ. Code § 45 because it does not publish a provably false statement of fact about Global Media or its magazine.</w:t>
      </w:r>
    </w:p>
    <w:p>
      <w:pPr>
        <w:numPr>
          <w:ilvl w:val="0"/>
          <w:numId w:val="10"/>
        </w:numPr>
      </w:pPr>
      <w:r>
        <w:t>Whether, to the extent Global Media’s theory depends on implication or context rather than any facially defamatory statement, the claim sounds in libel per quod under Cal. Civ. Code § 45a and must be dismissed absent well-pleaded special damages beyond conclusory assertions that the post “cost the Magazine business.”</w:t>
      </w:r>
    </w:p>
    <w:p>
      <w:bookmarkStart w:id="7" w:name="statement-of-issues"/>
      <w:bookmarkEnd w:id="7"/>
      <w:r>
        <w:br w:type="page"/>
      </w:r>
    </w:p>
    <w:p>
      <w:pPr>
        <w:pStyle w:val="Heading1"/>
      </w:pPr>
      <w:bookmarkStart w:id="8" w:name="_Toc256000004"/>
      <w:r>
        <w:t>Statement of the Case</w:t>
      </w:r>
      <w:bookmarkEnd w:id="8"/>
    </w:p>
    <w:p>
      <w:pPr>
        <w:pStyle w:val="FirstParagraph"/>
      </w:pPr>
      <w:r>
        <w:t>Plaintiff has initiated this action against Ms. Smith, who is defending against Plaintiff’s claims in this Court.</w:t>
      </w:r>
    </w:p>
    <w:p>
      <w:bookmarkStart w:id="9" w:name="statement-of-the-case"/>
      <w:bookmarkEnd w:id="9"/>
      <w:r>
        <w:br w:type="page"/>
      </w:r>
    </w:p>
    <w:p>
      <w:pPr>
        <w:pStyle w:val="Heading1"/>
      </w:pPr>
      <w:bookmarkStart w:id="10" w:name="_Toc256000005"/>
      <w:r>
        <w:t>Statement of the Facts</w:t>
      </w:r>
      <w:bookmarkEnd w:id="10"/>
    </w:p>
    <w:p>
      <w:pPr>
        <w:pStyle w:val="FirstParagraph"/>
      </w:pPr>
      <w:r>
        <w:t>Ms. Smith is a California resident who operates a personal, noncommercial blog (the “Blog”). The Blog does not carry advertising, and Ms. Smith uses it as a forum to discuss and comment on media coverage and public-facing reporting.</w:t>
      </w:r>
    </w:p>
    <w:p>
      <w:pPr>
        <w:pStyle w:val="BodyText"/>
      </w:pPr>
      <w:r>
        <w:t>Global Media is a California-based media company that publishes a magazine (the “Magazine”). Among the Magazine’s content is an article at issue here (the “Magazine Article”).</w:t>
      </w:r>
    </w:p>
    <w:p>
      <w:pPr>
        <w:pStyle w:val="BodyText"/>
      </w:pPr>
      <w:r>
        <w:t>Ms. Smith published a single post on the Blog (the “Blog Post”) addressing the Magazine Article. In the Blog Post, Ms. Smith reproduced a substantial portion of the Magazine Article—what Global Media characterizes as the “heart” of the piece—and she did so for the purpose of engaging directly with the specific language and framing used in the Magazine Article.</w:t>
      </w:r>
    </w:p>
    <w:p>
      <w:pPr>
        <w:pStyle w:val="BodyText"/>
      </w:pPr>
      <w:r>
        <w:t>The Blog Post contained comparatively little original content beyond the quoted material. After presenting the quoted portions of the Magazine Article, however, Ms. Smith offered criticism of the Magazine Article and its presentation. Her critique was described as “ruthless,” and it was shorter in length than the portion of the Magazine Article she quoted.</w:t>
      </w:r>
    </w:p>
    <w:p>
      <w:pPr>
        <w:pStyle w:val="BodyText"/>
      </w:pPr>
      <w:r>
        <w:t>Ms. Smith’s criticism targeted the Magazine Article itself and, by extension, the Magazine’s editorial credibility. To the extent the critique affected perceptions of the Magazine, any effect stemmed from the substance and tone of Ms. Smith’s commentary on the Magazine Article as presented to readers in the Blog Post.</w:t>
      </w:r>
    </w:p>
    <w:p>
      <w:pPr>
        <w:pStyle w:val="BodyText"/>
      </w:pPr>
      <w:r>
        <w:t>Global Media contends that the Blog Post may have harmed the Magazine’s credibility and maintains that the Blog has cost the Magazine business. Global Media further asserts that Ms. Smith benefited because the Blog saw increased voluntary contributions after the Blog Post was published.</w:t>
      </w:r>
    </w:p>
    <w:p>
      <w:pPr>
        <w:pStyle w:val="BodyText"/>
      </w:pPr>
      <w:r>
        <w:t>Ms. Smith’s Blog, however, remained noncommercial in the ordinary sense: it had no advertisers, and any reader support was voluntary. The Blog Post was presented as a critical response to the Magazine Article, not as a substitute product sold to readers or as a vehicle for advertising revenue.</w:t>
      </w:r>
    </w:p>
    <w:p>
      <w:pPr>
        <w:pStyle w:val="BodyText"/>
      </w:pPr>
      <w:r>
        <w:t>In sum, the dispute arises from a non-advertising, reader-supported blog post that reproduced substantial portions of the Magazine Article in order to critique it, with Global Media alleging reputational and business harm and asserting that Ms. Smith experienced increased voluntary contributions following publication of the Blog Post.</w:t>
      </w:r>
    </w:p>
    <w:p>
      <w:bookmarkStart w:id="11" w:name="statement-of-the-facts"/>
      <w:bookmarkEnd w:id="11"/>
      <w:r>
        <w:br w:type="page"/>
      </w:r>
    </w:p>
    <w:p>
      <w:pPr>
        <w:pStyle w:val="Heading1"/>
      </w:pPr>
      <w:bookmarkStart w:id="12" w:name="_Toc256000006"/>
      <w:r>
        <w:t>Argument</w:t>
      </w:r>
      <w:bookmarkEnd w:id="12"/>
    </w:p>
    <w:p>
      <w:pPr>
        <w:pStyle w:val="Heading2"/>
      </w:pPr>
      <w:bookmarkStart w:id="13" w:name="Xb7f7868677363972cd24122c461625bc8479712"/>
      <w:bookmarkStart w:id="14" w:name="_Toc256000007"/>
      <w:r>
        <w:t>Ms. Smith’s quotation for criticism is fair use despite its length.</w:t>
      </w:r>
      <w:bookmarkEnd w:id="14"/>
    </w:p>
    <w:p>
      <w:pPr>
        <w:pStyle w:val="FirstParagraph"/>
      </w:pPr>
      <w:r>
        <w:t xml:space="preserve">Global Media’s infringement theory rests on the premise that any verbatim quotation of the “heart” of the Magazine Article violates its exclusive rights under 17 U.S.C. § 106 and thus constitutes infringement under 17 U.S.C. § 501. </w:t>
      </w:r>
      <w:r>
        <w:fldChar w:fldCharType="begin"/>
      </w:r>
      <w:r>
        <w:instrText>TA \l "17 U.S.C. § 106 - Exclusive rights in copyrighted works" \s "Exclusive rights in copyrighted works" \c 2</w:instrText>
      </w:r>
      <w:r>
        <w:fldChar w:fldCharType="separate"/>
      </w:r>
      <w:r>
        <w:fldChar w:fldCharType="end"/>
      </w:r>
      <w:r>
        <w:t xml:space="preserve"> </w:t>
      </w:r>
      <w:r>
        <w:fldChar w:fldCharType="begin"/>
      </w:r>
      <w:r>
        <w:instrText>TA \l "17 U.S.C. § 501 - Infringement of copyright" \s "Infringement of Copyright" \c 2</w:instrText>
      </w:r>
      <w:r>
        <w:fldChar w:fldCharType="separate"/>
      </w:r>
      <w:r>
        <w:fldChar w:fldCharType="end"/>
      </w:r>
      <w:r>
        <w:t xml:space="preserve"> But those exclusive rights are expressly limited by fair use. 17 U.S.C. § 107. </w:t>
      </w:r>
      <w:r>
        <w:fldChar w:fldCharType="begin"/>
      </w:r>
      <w:r>
        <w:instrText>TA \l "17 U.S.C. § 504 - Remedies for infringement: Damages and profits" \s "Remedies for infringement: Damages and profits" \c 2</w:instrText>
      </w:r>
      <w:r>
        <w:fldChar w:fldCharType="separate"/>
      </w:r>
      <w:r>
        <w:fldChar w:fldCharType="end"/>
      </w:r>
      <w:r>
        <w:t xml:space="preserve"> Applying the four statutory factors, the balance favors Ms. Smith because her Blog Post used the Magazine Article for the paradigmatic fair-use purpose of criticism, in a non-advertising context, and Global Media’s asserted business injury is tied to the force of her critique rather than any cognizable market usurpation.</w:t>
      </w:r>
    </w:p>
    <w:p>
      <w:pPr>
        <w:pStyle w:val="BodyText"/>
      </w:pPr>
      <w:r>
        <w:t xml:space="preserve">Factor one strongly favors fair use because Ms. Smith’s Blog Post is criticism: she quoted the heart of the Magazine Article and then criticized it. Criticism is a core fair-use purpose, and the central inquiry is whether the new use “adds something new” with a different purpose rather than merely superseding the original. </w:t>
      </w:r>
      <w:r>
        <w:rPr>
          <w:i/>
          <w:iCs/>
        </w:rPr>
        <w:t>Campbell</w:t>
      </w:r>
      <w:r>
        <w:t xml:space="preserve"> v. </w:t>
      </w:r>
      <w:r>
        <w:rPr>
          <w:i/>
          <w:iCs/>
        </w:rPr>
        <w:t>Acuff-Rose Music, Inc.</w:t>
      </w:r>
      <w:r>
        <w:t xml:space="preserve">, 510 U.S. 569, 579 (1994). </w:t>
      </w:r>
      <w:r>
        <w:fldChar w:fldCharType="begin"/>
      </w:r>
      <w:r>
        <w:instrText>TA \l "Campbell v. Acuff-Rose Music, Inc.,     510 U.S. 569 (1994)" \s "Campbell v. Acuff-Rose Music, Inc., 510 U.S." \c 1</w:instrText>
      </w:r>
      <w:r>
        <w:fldChar w:fldCharType="separate"/>
      </w:r>
      <w:r>
        <w:fldChar w:fldCharType="end"/>
      </w:r>
      <w:r>
        <w:t xml:space="preserve"> Here, the Magazine Article is not raw material for unrelated expression; it is the very target of Ms. Smith’s ruthless critique. That “object-of-criticism” posture is the hallmark of transformative use recognized in </w:t>
      </w:r>
      <w:r>
        <w:rPr>
          <w:i/>
          <w:iCs/>
        </w:rPr>
        <w:t>Campbell</w:t>
      </w:r>
      <w:r>
        <w:t xml:space="preserve"> v. </w:t>
      </w:r>
      <w:r>
        <w:rPr>
          <w:i/>
          <w:iCs/>
        </w:rPr>
        <w:t>Acuff-Rose Music, Inc.</w:t>
      </w:r>
      <w:r>
        <w:t xml:space="preserve">, 510 U.S. 569 (1994), and consistently treated as favoring fair use when the defendant’s work comments on or critiques the original. </w:t>
      </w:r>
      <w:r>
        <w:fldChar w:fldCharType="begin"/>
      </w:r>
      <w:r>
        <w:instrText>TA \l "Campbell v. Acuff-Rose Music, Inc.,     510 U.S. 569 (1994)" \s "Campbell v. Acuff-Rose Music, Inc., 510 U.S." \c 1</w:instrText>
      </w:r>
      <w:r>
        <w:fldChar w:fldCharType="separate"/>
      </w:r>
      <w:r>
        <w:fldChar w:fldCharType="end"/>
      </w:r>
      <w:r>
        <w:t xml:space="preserve"> See also </w:t>
      </w:r>
      <w:r>
        <w:rPr>
          <w:i/>
          <w:iCs/>
        </w:rPr>
        <w:t>SOFA Entertainment, Inc.</w:t>
      </w:r>
      <w:r>
        <w:t xml:space="preserve"> v. </w:t>
      </w:r>
      <w:r>
        <w:rPr>
          <w:i/>
          <w:iCs/>
        </w:rPr>
        <w:t>Dodger Productions, Inc.</w:t>
      </w:r>
      <w:r>
        <w:t xml:space="preserve">, 709 F.3d 1273, 1277–78 (9th Cir. 2013); </w:t>
      </w:r>
      <w:r>
        <w:fldChar w:fldCharType="begin"/>
      </w:r>
      <w:r>
        <w:instrText>TA \l "SOFA Entertainment, Inc. v. Dodger Productions, Inc.,     709 F.3d 1273 (9th Cir. 2013)" \s "SOFA Entertainment, Inc. v. Dodger Productions, Inc., 709 F.3d" \c 1</w:instrText>
      </w:r>
      <w:r>
        <w:fldChar w:fldCharType="separate"/>
      </w:r>
      <w:r>
        <w:fldChar w:fldCharType="end"/>
      </w:r>
      <w:r>
        <w:t xml:space="preserve"> </w:t>
      </w:r>
      <w:r>
        <w:rPr>
          <w:i/>
          <w:iCs/>
        </w:rPr>
        <w:t>Dereck Seltzer</w:t>
      </w:r>
      <w:r>
        <w:t xml:space="preserve"> v. </w:t>
      </w:r>
      <w:r>
        <w:rPr>
          <w:i/>
          <w:iCs/>
        </w:rPr>
        <w:t>Green Day, Inc.</w:t>
      </w:r>
      <w:r>
        <w:t xml:space="preserve">, 725 F.3d 1170, 1176–77 (9th Cir. 2013). </w:t>
      </w:r>
      <w:r>
        <w:fldChar w:fldCharType="begin"/>
      </w:r>
      <w:r>
        <w:instrText>TA \l "Dereck Seltzer v. Green Day, Inc.,     725 F.3d 1170 (9th Cir. 2013)" \s "Dereck Seltzer v. Green Day, Inc., 725 F.3d" \c 1</w:instrText>
      </w:r>
      <w:r>
        <w:fldChar w:fldCharType="separate"/>
      </w:r>
      <w:r>
        <w:fldChar w:fldCharType="end"/>
      </w:r>
    </w:p>
    <w:p>
      <w:pPr>
        <w:pStyle w:val="BodyText"/>
      </w:pPr>
      <w:r>
        <w:t xml:space="preserve">Global Media will emphasize that “the Blog Post did not include much content beyond the quoted material” and that Ms. Smith’s criticism was “short relative to the part of the Magazine Article that she quoted.” That framing tries to recast the Blog Post as republication. But fair use does not demand that commentary outnumber quotations; it demands that the quotations serve a distinct critical purpose. </w:t>
      </w:r>
      <w:r>
        <w:rPr>
          <w:i/>
          <w:iCs/>
        </w:rPr>
        <w:t>Campbell</w:t>
      </w:r>
      <w:r>
        <w:t xml:space="preserve"> v. </w:t>
      </w:r>
      <w:r>
        <w:rPr>
          <w:i/>
          <w:iCs/>
        </w:rPr>
        <w:t>Acuff-Rose Music, Inc.</w:t>
      </w:r>
      <w:r>
        <w:t xml:space="preserve">, 510 U.S. 569, 579 (1994). </w:t>
      </w:r>
      <w:r>
        <w:fldChar w:fldCharType="begin"/>
      </w:r>
      <w:r>
        <w:instrText>TA \l "Campbell v. Acuff-Rose Music, Inc.,     510 U.S. 569 (1994)" \s "Campbell v. Acuff-Rose Music, Inc., 510 U.S." \c 1</w:instrText>
      </w:r>
      <w:r>
        <w:fldChar w:fldCharType="separate"/>
      </w:r>
      <w:r>
        <w:fldChar w:fldCharType="end"/>
      </w:r>
      <w:r>
        <w:t xml:space="preserve"> Ms. Smith’s short, ruthless criticism is still criticism, and its effectiveness depends on allowing readers to see the specific language and framing she condemns. The Blog Post’s format—quotation followed by criticism—signals evaluation of the Magazine Article rather than an effort to pass the Magazine Article off as a substitute source.</w:t>
      </w:r>
    </w:p>
    <w:p>
      <w:pPr>
        <w:pStyle w:val="BodyText"/>
      </w:pPr>
      <w:r>
        <w:t xml:space="preserve">The noncommercial character of the use further supports fair use. The Blog has no advertisers. That absence of advertising weighs strongly against treating the Blog Post as commercial exploitation. While Global Media maintains that Ms. Smith benefited by seeing increased voluntary contributions to her Blog, indirect economic benefit does not automatically defeat fair use, particularly where the use is transformative criticism. </w:t>
      </w:r>
      <w:r>
        <w:rPr>
          <w:i/>
          <w:iCs/>
        </w:rPr>
        <w:t>Campbell</w:t>
      </w:r>
      <w:r>
        <w:t xml:space="preserve"> v. </w:t>
      </w:r>
      <w:r>
        <w:rPr>
          <w:i/>
          <w:iCs/>
        </w:rPr>
        <w:t>Acuff-Rose Music, Inc.</w:t>
      </w:r>
      <w:r>
        <w:t xml:space="preserve">, 510 U.S. 569, 584–85 (1994) (commerciality is not dispositive, and transformative purpose can outweigh it). </w:t>
      </w:r>
      <w:r>
        <w:fldChar w:fldCharType="begin"/>
      </w:r>
      <w:r>
        <w:instrText>TA \l "Campbell v. Acuff-Rose Music, Inc.,     510 U.S. 569 (1994)" \s "Campbell v. Acuff-Rose Music, Inc., 510 U.S." \c 1</w:instrText>
      </w:r>
      <w:r>
        <w:fldChar w:fldCharType="separate"/>
      </w:r>
      <w:r>
        <w:fldChar w:fldCharType="end"/>
      </w:r>
      <w:r>
        <w:t xml:space="preserve"> Whatever voluntary contributions may have increased, the use remains non-advertising and criticism-driven, not a conventional marketplace substitute for the Magazine Article.</w:t>
      </w:r>
    </w:p>
    <w:p>
      <w:pPr>
        <w:pStyle w:val="BodyText"/>
      </w:pPr>
      <w:r>
        <w:t xml:space="preserve">Factor two is, at most, neutral on these facts. The record identifies the copied work only as an “article from a magazine owned by Global Media.” Without more, Global Media cannot invoke the special solicitude given to unpublished works and the right of first publication emphasized in </w:t>
      </w:r>
      <w:r>
        <w:rPr>
          <w:i/>
          <w:iCs/>
        </w:rPr>
        <w:t>Harper &amp; Row, Publishers, Inc.</w:t>
      </w:r>
      <w:r>
        <w:t xml:space="preserve"> v. </w:t>
      </w:r>
      <w:r>
        <w:rPr>
          <w:i/>
          <w:iCs/>
        </w:rPr>
        <w:t>Nation Enterprises</w:t>
      </w:r>
      <w:r>
        <w:t xml:space="preserve">, 471 U.S. 539, 564–69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And even where a work contains expressive elements, the Supreme Court has repeatedly treated factor two as less important when the use is for criticism and the remaining factors show the use does not usurp the original’s market. See </w:t>
      </w:r>
      <w:r>
        <w:rPr>
          <w:i/>
          <w:iCs/>
        </w:rPr>
        <w:t>Campbell</w:t>
      </w:r>
      <w:r>
        <w:t xml:space="preserve"> v. </w:t>
      </w:r>
      <w:r>
        <w:rPr>
          <w:i/>
          <w:iCs/>
        </w:rPr>
        <w:t>Acuff-Rose Music, Inc.</w:t>
      </w:r>
      <w:r>
        <w:t xml:space="preserve">, 510 U.S. 569, 586 (1994). </w:t>
      </w:r>
      <w:r>
        <w:fldChar w:fldCharType="begin"/>
      </w:r>
      <w:r>
        <w:instrText>TA \l "Campbell v. Acuff-Rose Music, Inc.,     510 U.S. 569 (1994)" \s "Campbell v. Acuff-Rose Music, Inc., 510 U.S." \c 1</w:instrText>
      </w:r>
      <w:r>
        <w:fldChar w:fldCharType="separate"/>
      </w:r>
      <w:r>
        <w:fldChar w:fldCharType="end"/>
      </w:r>
    </w:p>
    <w:p>
      <w:pPr>
        <w:pStyle w:val="BodyText"/>
      </w:pPr>
      <w:r>
        <w:t xml:space="preserve">Global Media’s best argument is factor three, because Ms. Smith “quoted the heart” of the Magazine Article. Qualitatively taking the “heart” can weigh against fair use. </w:t>
      </w:r>
      <w:r>
        <w:rPr>
          <w:i/>
          <w:iCs/>
        </w:rPr>
        <w:t>Harper &amp; Row, Publishers, Inc.</w:t>
      </w:r>
      <w:r>
        <w:t xml:space="preserve"> v. </w:t>
      </w:r>
      <w:r>
        <w:rPr>
          <w:i/>
          <w:iCs/>
        </w:rPr>
        <w:t>Nation Enterprises</w:t>
      </w:r>
      <w:r>
        <w:t xml:space="preserve">, 471 U.S. 539, 565–66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But factor three does not apply a mechanical rule against taking central passages; it asks whether the amount taken is reasonably related to the transformative purpose. </w:t>
      </w:r>
      <w:r>
        <w:rPr>
          <w:i/>
          <w:iCs/>
        </w:rPr>
        <w:t>Campbell</w:t>
      </w:r>
      <w:r>
        <w:t xml:space="preserve"> v. </w:t>
      </w:r>
      <w:r>
        <w:rPr>
          <w:i/>
          <w:iCs/>
        </w:rPr>
        <w:t>Acuff-Rose Music, Inc.</w:t>
      </w:r>
      <w:r>
        <w:t xml:space="preserve">, 510 U.S. 569, 586–87 (1994). </w:t>
      </w:r>
      <w:r>
        <w:fldChar w:fldCharType="begin"/>
      </w:r>
      <w:r>
        <w:instrText>TA \l "Campbell v. Acuff-Rose Music, Inc.,     510 U.S. 569 (1994)" \s "Campbell v. Acuff-Rose Music, Inc., 510 U.S." \c 1</w:instrText>
      </w:r>
      <w:r>
        <w:fldChar w:fldCharType="separate"/>
      </w:r>
      <w:r>
        <w:fldChar w:fldCharType="end"/>
      </w:r>
      <w:r>
        <w:t xml:space="preserve"> Here, because Ms. Smith’s criticism targets the Magazine Article’s central thesis and rhetoric, quoting the “heart” is precisely how she “conjure[s] up” what she is condemning so readers can evaluate the critique. See id.</w:t>
      </w:r>
    </w:p>
    <w:p>
      <w:pPr>
        <w:pStyle w:val="BodyText"/>
      </w:pPr>
      <w:r>
        <w:t xml:space="preserve">Nor does the fact that Ms. Smith’s criticism was “short” defeat necessity. A ruthless critique can be concise and still require readers to see the key passages being attacked. The question is not whether a court can imagine a shorter excerpt in hindsight; it is whether the excerpt was tethered to the critical aim. </w:t>
      </w:r>
      <w:r>
        <w:rPr>
          <w:i/>
          <w:iCs/>
        </w:rPr>
        <w:t>Campbell</w:t>
      </w:r>
      <w:r>
        <w:t xml:space="preserve"> v. </w:t>
      </w:r>
      <w:r>
        <w:rPr>
          <w:i/>
          <w:iCs/>
        </w:rPr>
        <w:t>Acuff-Rose Music, Inc.</w:t>
      </w:r>
      <w:r>
        <w:t xml:space="preserve">, 510 U.S. 569, 586–87 (1994). </w:t>
      </w:r>
      <w:r>
        <w:fldChar w:fldCharType="begin"/>
      </w:r>
      <w:r>
        <w:instrText>TA \l "Campbell v. Acuff-Rose Music, Inc.,     510 U.S. 569 (1994)" \s "Campbell v. Acuff-Rose Music, Inc., 510 U.S." \c 1</w:instrText>
      </w:r>
      <w:r>
        <w:fldChar w:fldCharType="separate"/>
      </w:r>
      <w:r>
        <w:fldChar w:fldCharType="end"/>
      </w:r>
      <w:r>
        <w:t xml:space="preserve"> On this record, the quotation is the vehicle that makes the criticism intelligible and verifiable rather than a mere set of ungrounded assertions about what the Magazine Article supposedly said.</w:t>
      </w:r>
    </w:p>
    <w:p>
      <w:pPr>
        <w:pStyle w:val="BodyText"/>
      </w:pPr>
      <w:r>
        <w:t xml:space="preserve">Factor four favors fair use because Global Media’s claimed injury is not the type of market harm the Copyright Act protects against. Global Media asserts that Ms. Smith’s ruthless criticism “may have harmed the credibility of the Magazine” and maintains that the Blog has cost the Magazine business. But market harm for fair-use purposes turns on substitution and cognizable derivative or licensing markets—not reputational fallout from criticism. </w:t>
      </w:r>
      <w:r>
        <w:rPr>
          <w:i/>
          <w:iCs/>
        </w:rPr>
        <w:t>Campbell</w:t>
      </w:r>
      <w:r>
        <w:t xml:space="preserve"> v. </w:t>
      </w:r>
      <w:r>
        <w:rPr>
          <w:i/>
          <w:iCs/>
        </w:rPr>
        <w:t>Acuff-Rose Music, Inc.</w:t>
      </w:r>
      <w:r>
        <w:t xml:space="preserve">, 510 U.S. 569, 591–92 (1994). </w:t>
      </w:r>
      <w:r>
        <w:fldChar w:fldCharType="begin"/>
      </w:r>
      <w:r>
        <w:instrText>TA \l "Campbell v. Acuff-Rose Music, Inc.,     510 U.S. 569 (1994)" \s "Campbell v. Acuff-Rose Music, Inc., 510 U.S." \c 1</w:instrText>
      </w:r>
      <w:r>
        <w:fldChar w:fldCharType="separate"/>
      </w:r>
      <w:r>
        <w:fldChar w:fldCharType="end"/>
      </w:r>
      <w:r>
        <w:t xml:space="preserve"> Copyright law does not grant a right to be free from harsh commentary; it grants rights against unauthorized market substitution.</w:t>
      </w:r>
    </w:p>
    <w:p>
      <w:pPr>
        <w:pStyle w:val="BodyText"/>
      </w:pPr>
      <w:r>
        <w:t xml:space="preserve">Critically, nothing in the record shows that readers would use Ms. Smith’s Blog Post as a replacement for the Magazine Article in the relevant market, or that it impaired a traditional licensing market for excerpts in a way the law recognizes. Where a use is transformative commentary, courts do not presume market substitution merely because the plaintiff claims lost business; they look for usurpation of demand for the original (or for traditional licensing markets). See </w:t>
      </w:r>
      <w:r>
        <w:rPr>
          <w:i/>
          <w:iCs/>
        </w:rPr>
        <w:t>Harper &amp; Row, Publishers, Inc.</w:t>
      </w:r>
      <w:r>
        <w:t xml:space="preserve"> v. </w:t>
      </w:r>
      <w:r>
        <w:rPr>
          <w:i/>
          <w:iCs/>
        </w:rPr>
        <w:t>Nation Enterprises</w:t>
      </w:r>
      <w:r>
        <w:t xml:space="preserve">, 471 U.S. 539, 566–67 (1985) </w:t>
      </w:r>
      <w:r>
        <w:fldChar w:fldCharType="begin"/>
      </w:r>
      <w:r>
        <w:instrText>TA \l "Harper &amp; Row, Publishers, Inc. v. Nation Enterprises, 85 L. Ed. 2d 588 (1985)" \s "Harper &amp; Row, Publishers, Inc. v. Nation Enterprises, 85 L. Ed. 2d" \c 1</w:instrText>
      </w:r>
      <w:r>
        <w:fldChar w:fldCharType="separate"/>
      </w:r>
      <w:r>
        <w:fldChar w:fldCharType="end"/>
      </w:r>
      <w:r>
        <w:t xml:space="preserve">; </w:t>
      </w:r>
      <w:r>
        <w:rPr>
          <w:i/>
          <w:iCs/>
        </w:rPr>
        <w:t>Los Angeles News Service Robert Tur</w:t>
      </w:r>
      <w:r>
        <w:t xml:space="preserve"> v. </w:t>
      </w:r>
      <w:r>
        <w:rPr>
          <w:i/>
          <w:iCs/>
        </w:rPr>
        <w:t>CBS Broadcasting, Inc. Courtroom Television Network</w:t>
      </w:r>
      <w:r>
        <w:t xml:space="preserve">, 305 F.3d 924, 940–41 (9th Cir. 2002) </w:t>
      </w:r>
      <w:r>
        <w:fldChar w:fldCharType="begin"/>
      </w:r>
      <w:r>
        <w:instrText>TA \l "Los Angeles News Service Robert Tur v. CBS Broadcasting, Inc. Courtroom Television Network,     305 F.3d 924 (9th Cir. 2002)" \s "Los Angeles News Service Robert Tur v. CBS Broadcasting, Inc. Courtroom Television Network, 305 F.3d" \c 1</w:instrText>
      </w:r>
      <w:r>
        <w:fldChar w:fldCharType="separate"/>
      </w:r>
      <w:r>
        <w:fldChar w:fldCharType="end"/>
      </w:r>
      <w:r>
        <w:t xml:space="preserve"> Global Media’s asserted harms track the audience reaction to the criticism, not a displaced market for the Magazine Article.</w:t>
      </w:r>
    </w:p>
    <w:p>
      <w:pPr>
        <w:pStyle w:val="BodyText"/>
      </w:pPr>
      <w:r>
        <w:t xml:space="preserve">Weighing the factors together, Ms. Smith’s use falls squarely within the protective scope of 17 U.S.C. § 107: the Blog Post is transformative criticism posted on a Blog that does not have any advertisers; the amount quoted, though substantial in a qualitative sense, was reasonably connected to criticizing the Magazine Article’s core; and Global Media’s alleged harm is reputational and business-related in a manner that does not establish market substitution. </w:t>
      </w:r>
      <w:r>
        <w:fldChar w:fldCharType="begin"/>
      </w:r>
      <w:r>
        <w:instrText>TA \l "Dereck Seltzer v. Green Day, Inc.,     725 F.3d 1170 (9th Cir. 2013)" \s "Dereck Seltzer v. Green Day, Inc., 725 F.3d" \c 1</w:instrText>
      </w:r>
      <w:r>
        <w:fldChar w:fldCharType="separate"/>
      </w:r>
      <w:r>
        <w:fldChar w:fldCharType="end"/>
      </w:r>
      <w:r>
        <w:t xml:space="preserve"> Under the governing fair-use framework, Global Media’s attempt to convert harsh criticism into actionable copyright liability should be rejected. </w:t>
      </w:r>
      <w:r>
        <w:fldChar w:fldCharType="begin"/>
      </w:r>
      <w:r>
        <w:instrText>TA \l "Campbell v. Acuff-Rose Music, Inc.,     510 U.S. 569 (1994)" \s "Campbell v. Acuff-Rose Music, Inc., 510 U.S." \c 1</w:instrText>
      </w:r>
      <w:r>
        <w:fldChar w:fldCharType="separate"/>
      </w:r>
      <w:r>
        <w:fldChar w:fldCharType="end"/>
      </w:r>
      <w:bookmarkEnd w:id="13"/>
    </w:p>
    <w:p>
      <w:pPr>
        <w:pStyle w:val="Heading2"/>
      </w:pPr>
      <w:bookmarkStart w:id="15" w:name="X16cbda371cabede80d58f04e7a05decb3fbfca8"/>
      <w:bookmarkStart w:id="16" w:name="_Toc256000008"/>
      <w:r>
        <w:t>Global Media cannot recover blog contributions absent proof they were attributable to the quotation</w:t>
      </w:r>
      <w:bookmarkEnd w:id="16"/>
    </w:p>
    <w:p>
      <w:pPr>
        <w:pStyle w:val="FirstParagraph"/>
      </w:pPr>
      <w:r>
        <w:t xml:space="preserve">Section 504(b) authorizes recovery only of the infringer’s “profits . . . attributable to the infringement.”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That statutory limitation matters most where, as Global Media alleges here, the claimed “profits” are indirect: Ms. Smith did not sell the Magazine Article, the Blog has no advertisers, and Global Media instead points to “increased voluntary contributions to her Blog.” In this posture, Global Media cannot treat all contributions associated with the Blog Post as automatically “gross revenue” caused by infringement. It must first identify revenue reasonably related to the alleged infringement and supported by evidence, not assumption, because § 504(b) does not permit profit awards untethered from what the infringement actually generated.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On this record, Global Media’s theory fails at the threshold because it offers only a generalized assertion that Ms. Smith “benefited” by seeing increased voluntary contributions. That allegation does not establish that any particular contribution—or any measurable increment in contributions—was generated by the allegedly infringing quotation of the heart of the Magazine Article. Absent evidence tying contributions to the quotation itself (as opposed to readers’ interest in the Blog generally), Global Media’s requested “gross revenue” collapses into an impermissible ask for Ms. Smith’s donation stream untethered to infringement, exactly what § 504(b) forbids when profits are indirect and causation is attenuated.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 cannot bridge that causal gap by relying on the mere fact that Ms. Smith posted the Blog Post. The Blog Post also included Ms. Smith’s criticism of the Magazine Article—criticism described as “ruthless”—and Global Media itself maintains that the Blog has cost the Magazine business because the criticism “may have harmed the credibility of the Magazine.” That characterization underscores that readers could have been motivated by Ms. Smith’s viewpoint and criticism rather than by access to the quoted text. Section 504(b) requires profits “attributable to the infringement,” 17 U.S.C. § 504(b), not profits attributable to noninfringing commentary, reputation, or audience interest in criticism of the Magazine.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Even assuming Global Media could show that voluntary contributions increased after the Blog Post, it still must show that the increase was attributable to the allegedly infringing quotation rather than independent drivers that are evident on this record. </w:t>
      </w:r>
      <w:r>
        <w:fldChar w:fldCharType="begin"/>
      </w:r>
      <w:r>
        <w:instrText>TA \l "17 U.S.C. § 504 - Remedies for infringement: Damages and profits" \s "Remedies for infringement: Damages and profits" \c 2</w:instrText>
      </w:r>
      <w:r>
        <w:fldChar w:fldCharType="separate"/>
      </w:r>
      <w:r>
        <w:fldChar w:fldCharType="end"/>
      </w:r>
      <w:r>
        <w:t xml:space="preserve"> Ms. Smith wrote criticism after quoting the Magazine Article. The criticism—described as ruthless—could itself be the draw for readers and contributors, particularly where the asserted harm is reputational (“may have harmed the credibility of the Magazine”). Those facts present classic multi-factor causation. Section 504(b) does not permit Global Media to recover profits where the record does not allow a reasoned allocation between gains allegedly tied to the quotation and gains tied to lawful criticism and readership.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 will likely respond that the Blog Post “did not include much content beyond the quoted material,” and that Ms. Smith’s criticism was “short relative to the part of the Magazine Article that she quoted,” so the quotation must have driven any engagement and contributions. That inference does not satisfy § 504(b). </w:t>
      </w:r>
      <w:r>
        <w:fldChar w:fldCharType="begin"/>
      </w:r>
      <w:r>
        <w:instrText>TA \l "17 U.S.C. § 504 - Remedies for infringement: Damages and profits" \s "Remedies for infringement: Damages and profits" \c 2</w:instrText>
      </w:r>
      <w:r>
        <w:fldChar w:fldCharType="separate"/>
      </w:r>
      <w:r>
        <w:fldChar w:fldCharType="end"/>
      </w:r>
      <w:r>
        <w:t xml:space="preserve"> The question is not which portion of the post was longer; it is whether Global Media can prove, with evidence rather than conjecture, that contributions were made because of the quotation and not because of Ms. Smith’s criticism, her voice, or reader interest in her ruthless take on the Magazine Article. A short criticism can still be the salient reason readers engage, share, and contribute—particularly when the criticism is described as ruthless and alleged to impact the Magazine’s credibility. Without proof isolating the quotation as the driver of contributions, Global Media’s proposed attribution is speculative and legally insufficient under 17 U.S.C. § 504(b). </w:t>
      </w:r>
      <w:r>
        <w:fldChar w:fldCharType="begin"/>
      </w:r>
      <w:r>
        <w:instrText>TA \l "17 U.S.C. § 504 - Remedies for infringement: Damages and profits" \s "Remedies for infringement: Damages and profits" \c 2</w:instrText>
      </w:r>
      <w:r>
        <w:fldChar w:fldCharType="separate"/>
      </w:r>
      <w:r>
        <w:fldChar w:fldCharType="end"/>
      </w:r>
    </w:p>
    <w:p>
      <w:pPr>
        <w:pStyle w:val="BodyText"/>
      </w:pPr>
      <w:r>
        <w:t xml:space="preserve">Global Media may also attempt to reframe the quotation as the “engine” of the Blog Post because it allegedly copied “the heart” of the Magazine Article. But § 504(b) does not award profits based on the qualitative importance of the copied material in the abstract; it awards only those profits that are shown to be attributable to the infringement.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Where contributions are voluntary, attribution is especially sensitive to donor motivation. Without evidence that contributors were paying for access to the quoted Magazine Article (as opposed to reacting to or supporting Ms. Smith’s criticism), the Court cannot responsibly assign contributions to infringement rather than to independent, lawful drivers.</w:t>
      </w:r>
    </w:p>
    <w:p>
      <w:pPr>
        <w:pStyle w:val="BodyText"/>
      </w:pPr>
      <w:r>
        <w:t xml:space="preserve">Finally, the burden-shifting mechanism in § 504(b) does not rescue Global Media’s failure of proof. The statute shifts to the defendant only after the plaintiff identifies “gross revenue” in a way that is reasonably connected to infringement. 17 U.S.C. § 504(b). </w:t>
      </w:r>
      <w:r>
        <w:fldChar w:fldCharType="begin"/>
      </w:r>
      <w:r>
        <w:instrText>TA \l "17 U.S.C. § 504 - Remedies for infringement: Damages and profits" \s "Remedies for infringement: Damages and profits" \c 2</w:instrText>
      </w:r>
      <w:r>
        <w:fldChar w:fldCharType="separate"/>
      </w:r>
      <w:r>
        <w:fldChar w:fldCharType="end"/>
      </w:r>
      <w:r>
        <w:t xml:space="preserve"> Here, Global Media has not connected increased voluntary contributions to the allegedly infringing quotation itself; it has, at most, alleged that contributions increased around the time of a post that combined quotation and criticism. That is not enough to shift any apportionment burden to Ms. Smith, because Global Media has not established that the relevant revenue stream is within the universe of profits plausibly attributable to infringement rather than to criticism and readership.</w:t>
      </w:r>
    </w:p>
    <w:p>
      <w:pPr>
        <w:pStyle w:val="BodyText"/>
      </w:pPr>
      <w:r>
        <w:t xml:space="preserve">Because Global Media cannot prove that Ms. Smith’s voluntary contributions were attributable to the allegedly infringing quotation—as distinct from her independent, ruthless criticism and the Blog’s readership—the Court should deny recovery of those claimed contributions under 17 U.S.C. § 504(b). </w:t>
      </w:r>
      <w:r>
        <w:fldChar w:fldCharType="begin"/>
      </w:r>
      <w:r>
        <w:instrText>TA \l "17 U.S.C. § 504 - Remedies for infringement: Damages and profits" \s "Remedies for infringement: Damages and profits" \c 2</w:instrText>
      </w:r>
      <w:r>
        <w:fldChar w:fldCharType="separate"/>
      </w:r>
      <w:r>
        <w:fldChar w:fldCharType="end"/>
      </w:r>
      <w:bookmarkEnd w:id="15"/>
    </w:p>
    <w:p>
      <w:pPr>
        <w:pStyle w:val="Heading2"/>
      </w:pPr>
      <w:bookmarkStart w:id="17" w:name="Xa502aacdaeec33e1a2fe0ce996a72ef5664a8ad"/>
      <w:bookmarkStart w:id="18" w:name="_Toc256000009"/>
      <w:r>
        <w:t>Ms. Smith’s blog post is not a business act or practice under § 17200</w:t>
      </w:r>
      <w:bookmarkEnd w:id="18"/>
    </w:p>
    <w:p>
      <w:pPr>
        <w:pStyle w:val="FirstParagraph"/>
      </w:pPr>
      <w:r>
        <w:t xml:space="preserve">Cal. Bus. &amp; Prof. Code § 17200 reaches only “unlawful, unfair, or fraudulent business act[s] or practice[s],” not any conduct that allegedly causes a business to lose revenue. Cal. Bus. &amp; Prof. Code § 17200. </w:t>
      </w:r>
      <w:r>
        <w:fldChar w:fldCharType="begin"/>
      </w:r>
      <w:r>
        <w:instrText>TA \l "Cal. Bus. &amp; Prof. Code § 17200" \s "California Unfair Competition Law" \c 2</w:instrText>
      </w:r>
      <w:r>
        <w:fldChar w:fldCharType="separate"/>
      </w:r>
      <w:r>
        <w:fldChar w:fldCharType="end"/>
      </w:r>
      <w:r>
        <w:t xml:space="preserve"> Global Media’s theory attempts to invert that requirement by focusing on downstream effects (the Magazine allegedly “cost…business” and its credibility “may have” been harmed) rather than the threshold nature of Ms. Smith’s own conduct. Even accepting Global Media’s allegations as true, § 17200 does not convert every act of private criticism that purportedly hurts a business into “unfair competition.” The statute’s text requires a business act or practice by the defendant; economic impact alone does not supply the missing element. Cal. Bus. &amp; Prof. Code § 17200. </w:t>
      </w:r>
      <w:r>
        <w:fldChar w:fldCharType="begin"/>
      </w:r>
      <w:r>
        <w:instrText>TA \l "Cal. Bus. &amp; Prof. Code § 17200" \s "California Unfair Competition Law" \c 2</w:instrText>
      </w:r>
      <w:r>
        <w:fldChar w:fldCharType="separate"/>
      </w:r>
      <w:r>
        <w:fldChar w:fldCharType="end"/>
      </w:r>
    </w:p>
    <w:p>
      <w:pPr>
        <w:pStyle w:val="BodyText"/>
      </w:pPr>
      <w:r>
        <w:t xml:space="preserve">Nothing in the administrative record supports treating Ms. Smith’s operation of the Blog as market participation or a commercial enterprise. The fact pattern is explicit: “The Blog does not have any advertisers.” The challenged conduct is likewise described as a single “Blog Post” that “quoted the heart” of the Magazine Article and then criticized it—criticism that was “short relative to the part of the Magazine Article that she quoted” and described as “ruthless.” Those allegations describe an act of commentary about a publication, not a business practice such as marketing, selling, or advertising goods or services. Where the complained-of conduct is fundamentally expressive and disconnected from any conventional commercial mechanism (advertising, sales, subscriptions, paid access), Global Media cannot satisfy § 17200’s threshold requirement by relabeling criticism as “unfair competition.” Cal. Bus. &amp; Prof. Code § 17200. </w:t>
      </w:r>
      <w:r>
        <w:fldChar w:fldCharType="begin"/>
      </w:r>
      <w:r>
        <w:instrText>TA \l "Cal. Bus. &amp; Prof. Code § 17200" \s "California Unfair Competition Law" \c 2</w:instrText>
      </w:r>
      <w:r>
        <w:fldChar w:fldCharType="separate"/>
      </w:r>
      <w:r>
        <w:fldChar w:fldCharType="end"/>
      </w:r>
    </w:p>
    <w:p>
      <w:pPr>
        <w:pStyle w:val="BodyText"/>
      </w:pPr>
      <w:r>
        <w:t xml:space="preserve">First Amendment limits—embedded in the analysis of whether the UCL may regulate speech—confirm why Global Media’s attempt to plead a “business act or practice” fails. In </w:t>
      </w:r>
      <w:r>
        <w:rPr>
          <w:i/>
          <w:iCs/>
        </w:rPr>
        <w:t>Kasky</w:t>
      </w:r>
      <w:r>
        <w:t xml:space="preserve"> v. </w:t>
      </w:r>
      <w:r>
        <w:rPr>
          <w:i/>
          <w:iCs/>
        </w:rPr>
        <w:t>Nike, Inc.</w:t>
      </w:r>
      <w:r>
        <w:t xml:space="preserve">, 27 Cal. 4th 939 (2002), the California Supreme Court explained that whether speech is “commercial” turns on the identity of the speaker, the intended audience, and the content of the message. Id. </w:t>
      </w:r>
      <w:r>
        <w:fldChar w:fldCharType="begin"/>
      </w:r>
      <w:r>
        <w:instrText>TA \l "Kasky v. Nike, Inc.,     27 Cal. 4th 939 (2002)" \s "Kasky v. Nike, Inc., 27 Cal. 4th" \c 1</w:instrText>
      </w:r>
      <w:r>
        <w:fldChar w:fldCharType="separate"/>
      </w:r>
      <w:r>
        <w:fldChar w:fldCharType="end"/>
      </w:r>
      <w:r>
        <w:t xml:space="preserve"> Applying those considerations here, the Blog Post is noncommercial in all constitutionally salient respects. Ms. Smith is not alleged to be speaking as a seller of goods or services; she is alleged only to “run[] a blog” with “no advertisers.” The intended audience is readers of a blog engaging in public discourse, not consumers being solicited in a commercial transaction. And the content is criticism of Global Media’s Magazine Article—not factual representations about Ms. Smith’s own products or services designed to drive sales. Under </w:t>
      </w:r>
      <w:r>
        <w:rPr>
          <w:i/>
          <w:iCs/>
        </w:rPr>
        <w:t>Kasky</w:t>
      </w:r>
      <w:r>
        <w:t xml:space="preserve"> v. </w:t>
      </w:r>
      <w:r>
        <w:rPr>
          <w:i/>
          <w:iCs/>
        </w:rPr>
        <w:t>Nike, Inc.</w:t>
      </w:r>
      <w:r>
        <w:t xml:space="preserve">, 27 Cal. 4th 939 (2002), treating this kind of criticism as regulable “commercial” conduct would blur the constitutional line between marketplace promotion and protected commentary, creating precisely the kind of overreach that counsels against stretching § 17200 to cover noncommercial speech. </w:t>
      </w:r>
      <w:r>
        <w:fldChar w:fldCharType="begin"/>
      </w:r>
      <w:r>
        <w:instrText>TA \l "Kasky v. Nike, Inc.,     27 Cal. 4th 939 (2002)" \s "Kasky v. Nike, Inc., 27 Cal. 4th" \c 1</w:instrText>
      </w:r>
      <w:r>
        <w:fldChar w:fldCharType="separate"/>
      </w:r>
      <w:r>
        <w:fldChar w:fldCharType="end"/>
      </w:r>
    </w:p>
    <w:p>
      <w:pPr>
        <w:pStyle w:val="BodyText"/>
      </w:pPr>
      <w:r>
        <w:t xml:space="preserve">Global Media’s only asserted link to commerce—its allegation that Ms. Smith “benefited by seeing increased voluntary contributions to her Blog”—is too attenuated to transform criticism into a “business act or practice.” The record does not describe advertisers, paid access, subscriptions, affiliate marketing, sponsored content, sales, or any other commercial infrastructure. It also does not state that the Blog Post functioned as an advertisement for anything Ms. Smith sold, or that it was made as part of a commercial solicitation. At most, Global Media alleges an incidental consequence: that voluntary contributions increased after the Blog Post. But § 17200’s “business act or practice” requirement is not satisfied by the possibility that expressive activity might generate incidental donations. Cal. Bus. &amp; Prof. Code § 17200. </w:t>
      </w:r>
      <w:r>
        <w:fldChar w:fldCharType="begin"/>
      </w:r>
      <w:r>
        <w:instrText>TA \l "Cal. Bus. &amp; Prof. Code § 17200" \s "California Unfair Competition Law" \c 2</w:instrText>
      </w:r>
      <w:r>
        <w:fldChar w:fldCharType="separate"/>
      </w:r>
      <w:r>
        <w:fldChar w:fldCharType="end"/>
      </w:r>
      <w:r>
        <w:t xml:space="preserve"> If it were, nearly any sharp criticism that attracts attention could be recharacterized as commercial conduct whenever a speaker receives voluntary support—an outcome incompatible with the statutory limitation to business practices and inconsistent with the constitutional boundary emphasized in </w:t>
      </w:r>
      <w:r>
        <w:rPr>
          <w:i/>
          <w:iCs/>
        </w:rPr>
        <w:t>Kasky</w:t>
      </w:r>
      <w:r>
        <w:t xml:space="preserve"> v. </w:t>
      </w:r>
      <w:r>
        <w:rPr>
          <w:i/>
          <w:iCs/>
        </w:rPr>
        <w:t>Nike, Inc.</w:t>
      </w:r>
      <w:r>
        <w:t xml:space="preserve">, 27 Cal. 4th 939 (2002). </w:t>
      </w:r>
      <w:r>
        <w:fldChar w:fldCharType="begin"/>
      </w:r>
      <w:r>
        <w:instrText>TA \l "Kasky v. Nike, Inc.,     27 Cal. 4th 939 (2002)" \s "Kasky v. Nike, Inc., 27 Cal. 4th" \c 1</w:instrText>
      </w:r>
      <w:r>
        <w:fldChar w:fldCharType="separate"/>
      </w:r>
      <w:r>
        <w:fldChar w:fldCharType="end"/>
      </w:r>
    </w:p>
    <w:p>
      <w:pPr>
        <w:pStyle w:val="BodyText"/>
      </w:pPr>
      <w:r>
        <w:t xml:space="preserve">Global Media is likely to argue that because it “maintains that the Blog has cost the Magazine business,” and because Ms. Smith allegedly saw “increased voluntary contributions,” the Blog Post should be treated as competitive behavior within the marketplace. That reframing fails for two independent reasons. First, § 17200 focuses on the defendant’s conduct as a business act or practice, not on the plaintiff’s claimed injury or the plaintiff’s characterization of the defendant as a “competitor.” Cal. Bus. &amp; Prof. Code § 17200. </w:t>
      </w:r>
      <w:r>
        <w:fldChar w:fldCharType="begin"/>
      </w:r>
      <w:r>
        <w:instrText>TA \l "Cal. Bus. &amp; Prof. Code § 17200" \s "California Unfair Competition Law" \c 2</w:instrText>
      </w:r>
      <w:r>
        <w:fldChar w:fldCharType="separate"/>
      </w:r>
      <w:r>
        <w:fldChar w:fldCharType="end"/>
      </w:r>
      <w:r>
        <w:t xml:space="preserve"> The record contains no factual allegation that Ms. Smith offered competing goods or services, sold anything, ran ads, or engaged in advertising; it alleges only that she posted quoted content and criticism. Second, under </w:t>
      </w:r>
      <w:r>
        <w:rPr>
          <w:i/>
          <w:iCs/>
        </w:rPr>
        <w:t>Kasky</w:t>
      </w:r>
      <w:r>
        <w:t xml:space="preserve"> v. </w:t>
      </w:r>
      <w:r>
        <w:rPr>
          <w:i/>
          <w:iCs/>
        </w:rPr>
        <w:t>Nike, Inc.</w:t>
      </w:r>
      <w:r>
        <w:t xml:space="preserve">, 27 Cal. 4th 939 (2002), noncommercial criticism does not become commercial speech merely because it influences readers’ views and may have economic consequences for the subject of the criticism. </w:t>
      </w:r>
      <w:r>
        <w:fldChar w:fldCharType="begin"/>
      </w:r>
      <w:r>
        <w:instrText>TA \l "Kasky v. Nike, Inc.,     27 Cal. 4th 939 (2002)" \s "Kasky v. Nike, Inc., 27 Cal. 4th" \c 1</w:instrText>
      </w:r>
      <w:r>
        <w:fldChar w:fldCharType="separate"/>
      </w:r>
      <w:r>
        <w:fldChar w:fldCharType="end"/>
      </w:r>
      <w:r>
        <w:t xml:space="preserve"> That is the ordinary function of commentary about media: it can affect credibility and readership, but it remains noncommercial discourse.</w:t>
      </w:r>
    </w:p>
    <w:p>
      <w:pPr>
        <w:pStyle w:val="BodyText"/>
      </w:pPr>
      <w:r>
        <w:t xml:space="preserve">Global Media may also emphasize that Ms. Smith quoted “the heart” of the Magazine Article and included “not…much content beyond the quoted material,” suggesting the Blog Post was designed to appropriate value and divert attention from the Magazine. But even that characterization does not supply the required commercial nexus. Quoting and criticizing an article—even harshly—remains expressive conduct on the facts presented; Global Media has not alleged any additional facts tying the Blog Post to a commercial transaction, to a monetization plan, or to a systematic revenue-generating practice. And the statutory question presented here is narrow: whether this Blog Post satisfies § 17200’s “business act or practice” requirement. Cal. Bus. &amp; Prof. Code § 17200. </w:t>
      </w:r>
      <w:r>
        <w:fldChar w:fldCharType="begin"/>
      </w:r>
      <w:r>
        <w:instrText>TA \l "Cal. Bus. &amp; Prof. Code § 17200" \s "California Unfair Competition Law" \c 2</w:instrText>
      </w:r>
      <w:r>
        <w:fldChar w:fldCharType="separate"/>
      </w:r>
      <w:r>
        <w:fldChar w:fldCharType="end"/>
      </w:r>
      <w:r>
        <w:t xml:space="preserve"> Absent allegations that the Blog Post was part of business operations in trade or commerce (such as advertising or selling), the UCL cannot be deployed as a backdoor speech-regulation tool against a critic.</w:t>
      </w:r>
    </w:p>
    <w:p>
      <w:pPr>
        <w:pStyle w:val="BodyText"/>
      </w:pPr>
      <w:r>
        <w:t xml:space="preserve">Finally, the “act or practice” requirement underscores the mismatch between Global Media’s theory and the statute’s scope. The record identifies one challenged item: “the Blog Post.” It does not allege a recurring course of conduct, an ongoing practice of reposting Magazine content as a business strategy, or any sustained commercial method. Without facts showing that the conduct is part of an organized business practice in the course of trade or commerce, § 17200’s threshold element remains unsatisfied. Cal. Bus. &amp; Prof. Code § 17200. </w:t>
      </w:r>
      <w:r>
        <w:fldChar w:fldCharType="begin"/>
      </w:r>
      <w:r>
        <w:instrText>TA \l "Cal. Bus. &amp; Prof. Code § 17200" \s "California Unfair Competition Law" \c 2</w:instrText>
      </w:r>
      <w:r>
        <w:fldChar w:fldCharType="separate"/>
      </w:r>
      <w:r>
        <w:fldChar w:fldCharType="end"/>
      </w:r>
      <w:r>
        <w:t xml:space="preserve"> And because the challenged conduct is noncommercial criticism under </w:t>
      </w:r>
      <w:r>
        <w:rPr>
          <w:i/>
          <w:iCs/>
        </w:rPr>
        <w:t>Kasky</w:t>
      </w:r>
      <w:r>
        <w:t xml:space="preserve"> v. </w:t>
      </w:r>
      <w:r>
        <w:rPr>
          <w:i/>
          <w:iCs/>
        </w:rPr>
        <w:t>Nike, Inc.</w:t>
      </w:r>
      <w:r>
        <w:t xml:space="preserve">, 27 Cal. 4th 939 (2002), construing § 17200 to reach it would raise serious constitutional concerns—another reason the Court should reject Global Media’s attempt to plead a UCL claim from these allegations. </w:t>
      </w:r>
      <w:r>
        <w:fldChar w:fldCharType="begin"/>
      </w:r>
      <w:r>
        <w:instrText>TA \l "Kasky v. Nike, Inc.,     27 Cal. 4th 939 (2002)" \s "Kasky v. Nike, Inc., 27 Cal. 4th" \c 1</w:instrText>
      </w:r>
      <w:r>
        <w:fldChar w:fldCharType="separate"/>
      </w:r>
      <w:r>
        <w:fldChar w:fldCharType="end"/>
      </w:r>
    </w:p>
    <w:p>
      <w:pPr>
        <w:pStyle w:val="BodyText"/>
      </w:pPr>
      <w:r>
        <w:t xml:space="preserve">In sum, Global Media’s § 17200 claim fails because it targets noncommercial commentary posted on a non-advertiser blog and relies on alleged reputational and economic effects to manufacture a “business act or practice.” Cal. Bus. &amp; Prof. Code § 17200. </w:t>
      </w:r>
      <w:r>
        <w:fldChar w:fldCharType="begin"/>
      </w:r>
      <w:r>
        <w:instrText>TA \l "Cal. Bus. &amp; Prof. Code § 17200" \s "California Unfair Competition Law" \c 2</w:instrText>
      </w:r>
      <w:r>
        <w:fldChar w:fldCharType="separate"/>
      </w:r>
      <w:r>
        <w:fldChar w:fldCharType="end"/>
      </w:r>
      <w:r>
        <w:t xml:space="preserve"> Under </w:t>
      </w:r>
      <w:r>
        <w:rPr>
          <w:i/>
          <w:iCs/>
        </w:rPr>
        <w:t>Kasky</w:t>
      </w:r>
      <w:r>
        <w:t xml:space="preserve"> v. </w:t>
      </w:r>
      <w:r>
        <w:rPr>
          <w:i/>
          <w:iCs/>
        </w:rPr>
        <w:t>Nike, Inc.</w:t>
      </w:r>
      <w:r>
        <w:t xml:space="preserve">, 27 Cal. 4th 939 (2002), the Blog Post is not commercial speech and is not plausibly tethered to trade or commerce; the alleged increased voluntary contributions do not change that. </w:t>
      </w:r>
      <w:r>
        <w:fldChar w:fldCharType="begin"/>
      </w:r>
      <w:r>
        <w:instrText>TA \l "Kasky v. Nike, Inc.,     27 Cal. 4th 939 (2002)" \s "Kasky v. Nike, Inc., 27 Cal. 4th" \c 1</w:instrText>
      </w:r>
      <w:r>
        <w:fldChar w:fldCharType="separate"/>
      </w:r>
      <w:r>
        <w:fldChar w:fldCharType="end"/>
      </w:r>
      <w:r>
        <w:t xml:space="preserve"> Without a qualifying business act or practice, the UCL claim cannot proceed.</w:t>
      </w:r>
      <w:bookmarkEnd w:id="17"/>
    </w:p>
    <w:p>
      <w:pPr>
        <w:pStyle w:val="Heading2"/>
      </w:pPr>
      <w:bookmarkStart w:id="19" w:name="X61a6839afef7e9dc21d257289068b94a70663b7"/>
      <w:bookmarkStart w:id="20" w:name="_Toc256000010"/>
      <w:r>
        <w:t>Global Media lacks UCL standing because it alleges no lost money or property</w:t>
      </w:r>
      <w:bookmarkEnd w:id="20"/>
    </w:p>
    <w:p>
      <w:pPr>
        <w:pStyle w:val="FirstParagraph"/>
      </w:pPr>
      <w:r>
        <w:t xml:space="preserve">A private UCL plaintiff must plausibly allege that it “lost money or property” “as a result of” the challenged conduct. Cal. Bus. &amp; Prof. Code § 17204. </w:t>
      </w:r>
      <w:r>
        <w:fldChar w:fldCharType="begin"/>
      </w:r>
      <w:r>
        <w:instrText>TA \l "Cal. Bus. &amp; Prof. Code § 17200" \s "California Unfair Competition Law" \c 2</w:instrText>
      </w:r>
      <w:r>
        <w:fldChar w:fldCharType="separate"/>
      </w:r>
      <w:r>
        <w:fldChar w:fldCharType="end"/>
      </w:r>
      <w:r>
        <w:t xml:space="preserve"> This standing requirement is an economic-injury and causation screen: it is not enough to allege that a defendant’s conduct was unfair or that it may have caused reputational harm. Without an identified, concrete deprivation or diminution of money or a cognizable property interest that occurred because of the challenged act, a plaintiff cannot invoke Cal. Bus. &amp; Prof. Code § 17200. </w:t>
      </w:r>
      <w:r>
        <w:fldChar w:fldCharType="begin"/>
      </w:r>
      <w:r>
        <w:instrText>TA \l "Cal. Bus. &amp; Prof. Code § 17200" \s "California Unfair Competition Law" \c 2</w:instrText>
      </w:r>
      <w:r>
        <w:fldChar w:fldCharType="separate"/>
      </w:r>
      <w:r>
        <w:fldChar w:fldCharType="end"/>
      </w:r>
    </w:p>
    <w:p>
      <w:pPr>
        <w:pStyle w:val="BodyText"/>
      </w:pPr>
      <w:r>
        <w:t xml:space="preserve">Global Media’s asserted injury is not an economic loss as required by § 17204. The Fact Pattern alleges only that Ms. Smith’s criticism “may have harmed the credibility of the Magazine” and that Global Media “maintains that the Blog has cost the Magazine business.” That is, at most, an allegation of potential credibility harm coupled with an abstract assertion of “lost business.” Neither allegation identifies any actual loss of money or property—no specific lost sales, revenue, profits, or out-of-pocket expenditures—tethered to the Blog Post. Cal. Bus. &amp; Prof. Code § 17204. </w:t>
      </w:r>
      <w:r>
        <w:fldChar w:fldCharType="begin"/>
      </w:r>
      <w:r>
        <w:instrText>TA \l "Cal. Bus. &amp; Prof. Code § 17200" \s "California Unfair Competition Law" \c 2</w:instrText>
      </w:r>
      <w:r>
        <w:fldChar w:fldCharType="separate"/>
      </w:r>
      <w:r>
        <w:fldChar w:fldCharType="end"/>
      </w:r>
    </w:p>
    <w:p>
      <w:pPr>
        <w:pStyle w:val="BodyText"/>
      </w:pPr>
      <w:r>
        <w:t xml:space="preserve">Global Media’s “cost the Magazine business” assertion is conclusory and speculative on this record. The Fact Pattern does not identify any particular business that was “cost”—no identified subscribers, no particular transactions that did not occur, and no concrete monetary figures. Instead, Global Media asks the Court to infer an economic loss from the fact that Ms. Smith posted quoted material from the Magazine Article and offered “ruthless” criticism. Section 17204 requires more than an inference that criticism might have economic effects; it requires a pleaded loss of money or property. </w:t>
      </w:r>
      <w:r>
        <w:fldChar w:fldCharType="begin"/>
      </w:r>
      <w:r>
        <w:instrText>TA \l "Cal. Bus. &amp; Prof. Code § 17200" \s "California Unfair Competition Law" \c 2</w:instrText>
      </w:r>
      <w:r>
        <w:fldChar w:fldCharType="separate"/>
      </w:r>
      <w:r>
        <w:fldChar w:fldCharType="end"/>
      </w:r>
    </w:p>
    <w:p>
      <w:pPr>
        <w:pStyle w:val="BodyText"/>
      </w:pPr>
      <w:r>
        <w:t xml:space="preserve">Causation is independently absent. Section 17204 requires that any loss occur “as a result of” the challenged practice. Cal. Bus. &amp; Prof. Code § 17204. </w:t>
      </w:r>
      <w:r>
        <w:fldChar w:fldCharType="begin"/>
      </w:r>
      <w:r>
        <w:instrText>TA \l "Cal. Bus. &amp; Prof. Code § 17200" \s "California Unfair Competition Law" \c 2</w:instrText>
      </w:r>
      <w:r>
        <w:fldChar w:fldCharType="separate"/>
      </w:r>
      <w:r>
        <w:fldChar w:fldCharType="end"/>
      </w:r>
      <w:r>
        <w:t xml:space="preserve"> Here, the Fact Pattern contains no facts connecting the Blog Post to any specific, measurable economic consequence for Global Media. The allegation that credibility “may have” been harmed underscores the speculative nature of the asserted injury and does not establish that any money or property was lost because of the Blog Post, as opposed to any other cause.</w:t>
      </w:r>
    </w:p>
    <w:p>
      <w:pPr>
        <w:pStyle w:val="BodyText"/>
      </w:pPr>
      <w:r>
        <w:t xml:space="preserve">Global Media’s emphasis on Ms. Smith’s alleged benefit does not supply standing. Global Media “maintains that Smith benefited by seeing increased voluntary contributions to her Blog,” but the Blog “does not have any advertisers.” Even accepting increased voluntary contributions as true, § 17204 asks whether Global Media lost money or property as a result of Ms. Smith’s conduct—not whether Ms. Smith gained something. Cal. Bus. &amp; Prof. Code § 17204. </w:t>
      </w:r>
      <w:r>
        <w:fldChar w:fldCharType="begin"/>
      </w:r>
      <w:r>
        <w:instrText>TA \l "Cal. Bus. &amp; Prof. Code § 17200" \s "California Unfair Competition Law" \c 2</w:instrText>
      </w:r>
      <w:r>
        <w:fldChar w:fldCharType="separate"/>
      </w:r>
      <w:r>
        <w:fldChar w:fldCharType="end"/>
      </w:r>
      <w:r>
        <w:t xml:space="preserve"> A defendant’s alleged benefit cannot substitute for the plaintiff’s required economic injury.</w:t>
      </w:r>
    </w:p>
    <w:p>
      <w:pPr>
        <w:pStyle w:val="BodyText"/>
      </w:pPr>
      <w:r>
        <w:t xml:space="preserve">Nor can Global Media repackage “credibility” harm as a cognizable property loss without alleging an actual monetary diminution tied to it. The Fact Pattern’s language is expressly conditional (“may have harmed the credibility”), and it identifies no concrete economic consequences flowing from that asserted credibility impact. Without non-speculative facts showing that Global Media actually lost money or property because of the Blog Post, Global Media cannot satisfy § 17204 standing and therefore cannot proceed under § 17200. Cal. Bus. &amp; Prof. Code §§ 17200, 17204. </w:t>
      </w:r>
      <w:r>
        <w:fldChar w:fldCharType="begin"/>
      </w:r>
      <w:r>
        <w:instrText>TA \l "Cal. Bus. &amp; Prof. Code § 17200" \s "California Unfair Competition Law" \c 2</w:instrText>
      </w:r>
      <w:r>
        <w:fldChar w:fldCharType="separate"/>
      </w:r>
      <w:r>
        <w:fldChar w:fldCharType="end"/>
      </w:r>
      <w:bookmarkEnd w:id="19"/>
    </w:p>
    <w:p>
      <w:pPr>
        <w:pStyle w:val="Heading2"/>
      </w:pPr>
      <w:bookmarkStart w:id="21" w:name="Xb181c0fdb850557c63dfd66df7b0be3fbc7162f"/>
      <w:bookmarkStart w:id="22" w:name="_Toc256000011"/>
      <w:r>
        <w:t>The Blog Post contains no false statement of fact under section 45.</w:t>
      </w:r>
      <w:bookmarkEnd w:id="22"/>
    </w:p>
    <w:p>
      <w:pPr>
        <w:pStyle w:val="FirstParagraph"/>
      </w:pPr>
      <w:r>
        <w:t xml:space="preserve">Libel requires more than harsh criticism or reputational consequences; it requires a “false and unprivileged publication” in writing that is “of and concerning” the plaintiff and that tends to injure reputation or occupation. Cal. Civ. Code § 45. </w:t>
      </w:r>
      <w:r>
        <w:fldChar w:fldCharType="begin"/>
      </w:r>
      <w:r>
        <w:instrText>TA \l "Cal. Civ. Code § 45" \s "California Civil Code Section 45" \c 2</w:instrText>
      </w:r>
      <w:r>
        <w:fldChar w:fldCharType="separate"/>
      </w:r>
      <w:r>
        <w:fldChar w:fldCharType="end"/>
      </w:r>
      <w:r>
        <w:t xml:space="preserve"> That threshold falsity requirement is dispositive here because the Blog Post consists primarily of Ms. Smith’s quotations of “the heart” of Global Media’s own Magazine Article, followed by criticism that was “short” relative to the quoted material and described as “ruthless.” Accurate quotation of what Global Media itself published is not a false statement by Ms. Smith about Global Media or its Magazine; it is Global Media’s own text reproduced, and it cannot supply the falsity element required by § 45. </w:t>
      </w:r>
      <w:r>
        <w:fldChar w:fldCharType="begin"/>
      </w:r>
      <w:r>
        <w:instrText>TA \l "Cal. Civ. Code § 45" \s "California Civil Code Section 45" \c 2</w:instrText>
      </w:r>
      <w:r>
        <w:fldChar w:fldCharType="separate"/>
      </w:r>
      <w:r>
        <w:fldChar w:fldCharType="end"/>
      </w:r>
    </w:p>
    <w:p>
      <w:pPr>
        <w:pStyle w:val="BodyText"/>
      </w:pPr>
      <w:r>
        <w:t xml:space="preserve">Nor does the record supply any additional, provably false factual assertion in the Blog Post. The fact pattern describes only that, “after quoting the Magazine Article, Smith criticized the article,” and that the criticism “may have harmed the credibility of the Magazine.” That is not the same as a publication of a false fact. A critique—even a ruthless one—communicates evaluative judgment about the Magazine Article, not an objectively verifiable assertion about Global Media or its Magazine. </w:t>
      </w:r>
      <w:r>
        <w:fldChar w:fldCharType="begin"/>
      </w:r>
      <w:r>
        <w:instrText>TA \l "Gertz v. Robert Welch, Inc.,     418 U.S. 323 (1974)" \s "Gertz v. Robert Welch, Inc., 418 U.S." \c 1</w:instrText>
      </w:r>
      <w:r>
        <w:fldChar w:fldCharType="separate"/>
      </w:r>
      <w:r>
        <w:fldChar w:fldCharType="end"/>
      </w:r>
      <w:r>
        <w:t xml:space="preserve"> Where, as here, the post discloses the underlying material by reproducing the Magazine Article and then offers an appraisal of that material, readers are positioned to assess the Magazine Article themselves. In that context, the critique is understood as commentary on disclosed content rather than as a hidden factual report about Global Media.</w:t>
      </w:r>
    </w:p>
    <w:p>
      <w:pPr>
        <w:pStyle w:val="BodyText"/>
      </w:pPr>
      <w:r>
        <w:t xml:space="preserve">Global Media may attempt to reframe the claim as defamation-by-implication, arguing that Ms. Smith’s selection of excerpts and critical framing insinuated a concrete, defamatory fact about Global Media or its Magazine. But defamation-by-implication still requires a specific implication of fact that a reasonable reader would draw and that is provably false. Cal. Civ. Code § 45. </w:t>
      </w:r>
      <w:r>
        <w:fldChar w:fldCharType="begin"/>
      </w:r>
      <w:r>
        <w:instrText>TA \l "Cal. Civ. Code § 45" \s "California Civil Code Section 45" \c 2</w:instrText>
      </w:r>
      <w:r>
        <w:fldChar w:fldCharType="separate"/>
      </w:r>
      <w:r>
        <w:fldChar w:fldCharType="end"/>
      </w:r>
      <w:r>
        <w:t xml:space="preserve"> On this record, there is no described implication that Global Media fabricated anything, lied, engaged in misconduct, or committed any other fact-specific wrongdoing. The only described “sting” is that the criticism was “ruthless” and “may have harmed the credibility of the Magazine,” which is fully consistent with nonactionable commentary about the Magazine Article’s quality, viewpoint, or persuasiveness. Without an identified, verifiable factual implication, Global Media cannot convert criticism into falsity.</w:t>
      </w:r>
    </w:p>
    <w:p>
      <w:pPr>
        <w:pStyle w:val="BodyText"/>
      </w:pPr>
      <w:r>
        <w:t xml:space="preserve">Global Media also cannot substitute alleged business impact for the required false statement. Global Media “maintains that the Blog has cost the Magazine business,” and it “maintains that Smith benefited by seeing increased voluntary contributions to her Blog.” Even assuming those maintained impacts, they address damages and motive; they do not establish that Ms. Smith published any false statement of fact about Global Media or its Magazine. Cal. Civ. Code § 45. </w:t>
      </w:r>
      <w:r>
        <w:fldChar w:fldCharType="begin"/>
      </w:r>
      <w:r>
        <w:instrText>TA \l "Cal. Civ. Code § 45" \s "California Civil Code Section 45" \c 2</w:instrText>
      </w:r>
      <w:r>
        <w:fldChar w:fldCharType="separate"/>
      </w:r>
      <w:r>
        <w:fldChar w:fldCharType="end"/>
      </w:r>
      <w:r>
        <w:t xml:space="preserve"> California’s libel statute targets false publications, not the marketplace consequences of readers disagreeing with, disbelieving, or devaluing a publication after reading quotations and a critique.</w:t>
      </w:r>
    </w:p>
    <w:p>
      <w:pPr>
        <w:pStyle w:val="BodyText"/>
      </w:pPr>
      <w:r>
        <w:t xml:space="preserve">Finally, Global Media’s theory would improperly collapse the statutory elements by treating any credibility harm from criticism as inherently defamatory. Section 45 requires falsity as a prerequisite; a publication does not become “false” merely because it is persuasive or because it prompts readers to view a magazine less favorably. Cal. Civ. Code § 45. </w:t>
      </w:r>
      <w:r>
        <w:fldChar w:fldCharType="begin"/>
      </w:r>
      <w:r>
        <w:instrText>TA \l "Cal. Civ. Code § 45" \s "California Civil Code Section 45" \c 2</w:instrText>
      </w:r>
      <w:r>
        <w:fldChar w:fldCharType="separate"/>
      </w:r>
      <w:r>
        <w:fldChar w:fldCharType="end"/>
      </w:r>
      <w:r>
        <w:t xml:space="preserve"> The Blog Post, as described, is dominated by Global Media’s own words and contains little content beyond those quotations; the remaining content is criticism of the Magazine Article. Because Global Media cannot point to any false statement of fact (or reasonably drawn, provably false factual implication) “of and concerning” Global Media or its Magazine, the Blog Post does not constitute actionable libel under § 45. </w:t>
      </w:r>
      <w:r>
        <w:fldChar w:fldCharType="begin"/>
      </w:r>
      <w:r>
        <w:instrText>TA \l "Cal. Civ. Code § 45" \s "California Civil Code Section 45" \c 2</w:instrText>
      </w:r>
      <w:r>
        <w:fldChar w:fldCharType="separate"/>
      </w:r>
      <w:r>
        <w:fldChar w:fldCharType="end"/>
      </w:r>
      <w:bookmarkEnd w:id="21"/>
    </w:p>
    <w:p>
      <w:pPr>
        <w:pStyle w:val="Heading2"/>
      </w:pPr>
      <w:bookmarkStart w:id="23" w:name="_Toc256000012"/>
      <w:r>
        <w:t>Global Media must plead special damages because the post is not libel on its face</w:t>
      </w:r>
      <w:bookmarkEnd w:id="23"/>
    </w:p>
    <w:p>
      <w:pPr>
        <w:pStyle w:val="FirstParagraph"/>
      </w:pPr>
      <w:r>
        <w:t xml:space="preserve">Defamation is actionable only where the challenged writing falls within the statutory definition of libel and, critically, where the alleged “sting” is discernible as defamatory on the face of the publication or else is supported by the heightened damages showing required for non-facial defamation. See Cal. Civ. Code §§ 44–45. </w:t>
      </w:r>
      <w:r>
        <w:fldChar w:fldCharType="begin"/>
      </w:r>
      <w:r>
        <w:instrText>TA \l "Cal. Civ. Code § 44" \s "California Civil Code Section 44" \c 2</w:instrText>
      </w:r>
      <w:r>
        <w:fldChar w:fldCharType="separate"/>
      </w:r>
      <w:r>
        <w:fldChar w:fldCharType="end"/>
      </w:r>
      <w:r>
        <w:t xml:space="preserve"> </w:t>
      </w:r>
      <w:r>
        <w:fldChar w:fldCharType="begin"/>
      </w:r>
      <w:r>
        <w:instrText>TA \l "Cal. Civ. Code § 45" \s "California Civil Code Section 45" \c 2</w:instrText>
      </w:r>
      <w:r>
        <w:fldChar w:fldCharType="separate"/>
      </w:r>
      <w:r>
        <w:fldChar w:fldCharType="end"/>
      </w:r>
      <w:r>
        <w:t xml:space="preserve"> Cal. Civ. Code § 45a draws the threshold line: if a publication is not “libel on its face,” the plaintiff may not proceed on generalized reputational harm alone and instead must plead and prove “special damages.” Cal. Civ. Code § 45a. </w:t>
      </w:r>
      <w:r>
        <w:fldChar w:fldCharType="begin"/>
      </w:r>
      <w:r>
        <w:instrText>TA \l "Cal. Civ. Code § 45a" \s "California Civil Code Section 45a" \c 2</w:instrText>
      </w:r>
      <w:r>
        <w:fldChar w:fldCharType="separate"/>
      </w:r>
      <w:r>
        <w:fldChar w:fldCharType="end"/>
      </w:r>
      <w:r>
        <w:t xml:space="preserve"> That threshold issue is for the Court and turns on whether an ordinary reader would perceive a defamatory meaning directly from the publication itself, without resort to extrinsic facts, contextual inference, or insinuation.</w:t>
      </w:r>
    </w:p>
    <w:p>
      <w:pPr>
        <w:pStyle w:val="BodyText"/>
      </w:pPr>
      <w:r>
        <w:t xml:space="preserve">The pleaded facts place this case squarely on the § 45a side of the line. The Blog Post “quoted the heart of” the Magazine Article and “did not include much content beyond the quoted material.” </w:t>
      </w:r>
      <w:r>
        <w:fldChar w:fldCharType="begin"/>
      </w:r>
      <w:r>
        <w:instrText>TA \l "Noelia Monge v. Maya Magazines, Inc.,     688 F.3d 1164 (9th Cir. 2012)" \s "Noelia Monge v. Maya Magazines, Inc., 688 F.3d" \c 1</w:instrText>
      </w:r>
      <w:r>
        <w:fldChar w:fldCharType="separate"/>
      </w:r>
      <w:r>
        <w:fldChar w:fldCharType="end"/>
      </w:r>
      <w:r>
        <w:t xml:space="preserve"> Ms. Smith then “criticized the article,” and that criticism was “short relative to the part of the Magazine Article that she quoted,” albeit described as “ruthless.” On those allegations, any claimed reputational injury does not arise from a discrete, self-contained assertion that is defamatory on its face; it arises only from the juxtaposition of (1) the Magazine Article’s content and (2) Ms. Smith’s brief critique, and the inferences a reader might draw from that juxtaposition about “the credibility of the Magazine.” A reader would have to supply the supposed defamatory implication from context—exactly the kind of inferential theory that makes a claim one “not libelous on its face” within the meaning of § 45a. Cal. Civ. Code § 45a. </w:t>
      </w:r>
      <w:r>
        <w:fldChar w:fldCharType="begin"/>
      </w:r>
      <w:r>
        <w:instrText>TA \l "Cal. Civ. Code § 45a" \s "California Civil Code Section 45a" \c 2</w:instrText>
      </w:r>
      <w:r>
        <w:fldChar w:fldCharType="separate"/>
      </w:r>
      <w:r>
        <w:fldChar w:fldCharType="end"/>
      </w:r>
    </w:p>
    <w:p>
      <w:pPr>
        <w:pStyle w:val="BodyText"/>
      </w:pPr>
      <w:r>
        <w:t xml:space="preserve">Global Media will likely argue that a “ruthless” critique that “may have harmed the credibility of the Magazine” necessarily “tends to injure” it in its business and therefore is actionable as libel under Cal. Civ. Code § 45. </w:t>
      </w:r>
      <w:r>
        <w:fldChar w:fldCharType="begin"/>
      </w:r>
      <w:r>
        <w:instrText>TA \l "Cal. Civ. Code § 45" \s "California Civil Code Section 45" \c 2</w:instrText>
      </w:r>
      <w:r>
        <w:fldChar w:fldCharType="separate"/>
      </w:r>
      <w:r>
        <w:fldChar w:fldCharType="end"/>
      </w:r>
      <w:r>
        <w:t xml:space="preserve"> But § 45 and § 45a operate together: even if Global Media characterizes the Blog Post as injurious, the dispositive question remains whether the defamatory meaning is apparent from the face of the words themselves or instead requires additional inference from context. </w:t>
      </w:r>
      <w:r>
        <w:fldChar w:fldCharType="begin"/>
      </w:r>
      <w:r>
        <w:instrText>TA \l "Cal. Civ. Code § 45a" \s "California Civil Code Section 45a" \c 2</w:instrText>
      </w:r>
      <w:r>
        <w:fldChar w:fldCharType="separate"/>
      </w:r>
      <w:r>
        <w:fldChar w:fldCharType="end"/>
      </w:r>
      <w:r>
        <w:t xml:space="preserve"> Here, the Blog Post is predominantly quotation plus a short critique; the supposed harm depends on a reader’s interpretive leap from commentary to a reputational conclusion. That is not “libel on its face” under § 45a, and Global Media cannot avoid § 45a by repackaging contextual inference as facial defamation. </w:t>
      </w:r>
      <w:r>
        <w:fldChar w:fldCharType="begin"/>
      </w:r>
      <w:r>
        <w:instrText>TA \l "Cal. Civ. Code § 45a" \s "California Civil Code Section 45a" \c 2</w:instrText>
      </w:r>
      <w:r>
        <w:fldChar w:fldCharType="separate"/>
      </w:r>
      <w:r>
        <w:fldChar w:fldCharType="end"/>
      </w:r>
    </w:p>
    <w:p>
      <w:pPr>
        <w:pStyle w:val="BodyText"/>
      </w:pPr>
      <w:r>
        <w:t xml:space="preserve">Once § 45a applies, Global Media must plead and ultimately prove “special damages”—a concrete, quantifiable pecuniary loss proximately caused by the Blog Post—not merely a narrative of reputational injury or diminished credibility. Cal. Civ. Code § 45a. </w:t>
      </w:r>
      <w:r>
        <w:fldChar w:fldCharType="begin"/>
      </w:r>
      <w:r>
        <w:instrText>TA \l "Cal. Civ. Code § 45a" \s "California Civil Code Section 45a" \c 2</w:instrText>
      </w:r>
      <w:r>
        <w:fldChar w:fldCharType="separate"/>
      </w:r>
      <w:r>
        <w:fldChar w:fldCharType="end"/>
      </w:r>
      <w:r>
        <w:t xml:space="preserve"> The record reflects only the bare assertion that the Blog “has cost the Magazine business.” That allegation is precisely the sort of conclusory “lost business” claim that fails to satisfy § 45a: it identifies no particular lost customer, lost transaction, canceled relationship, lost amount, or other measurable pecuniary harm that could be tested for causation and proof. Without such particulars, the allegation is speculative and collapses into the very generalized reputational harm that § 45a excludes absent special damages. </w:t>
      </w:r>
      <w:r>
        <w:fldChar w:fldCharType="begin"/>
      </w:r>
      <w:r>
        <w:instrText>TA \l "Cal. Civ. Code § 45a" \s "California Civil Code Section 45a" \c 2</w:instrText>
      </w:r>
      <w:r>
        <w:fldChar w:fldCharType="separate"/>
      </w:r>
      <w:r>
        <w:fldChar w:fldCharType="end"/>
      </w:r>
    </w:p>
    <w:p>
      <w:pPr>
        <w:pStyle w:val="BodyText"/>
      </w:pPr>
      <w:r>
        <w:t xml:space="preserve">Global Media’s own pleaded circumstances underscore why § 45a’s special-damages requirement matters here. The Blog “does not have any advertisers,” and the only alleged “benefit” to Ms. Smith is “increased voluntary contributions to her Blog.” Even if that benefit were accepted as true, it does not establish Global Media’s special damages; § 45a requires Global Media to plead its own pecuniary loss with specificity, not to point to Ms. Smith’s alleged gain. Cal. Civ. Code § 45a. </w:t>
      </w:r>
      <w:r>
        <w:fldChar w:fldCharType="begin"/>
      </w:r>
      <w:r>
        <w:instrText>TA \l "Cal. Civ. Code § 45a" \s "California Civil Code Section 45a" \c 2</w:instrText>
      </w:r>
      <w:r>
        <w:fldChar w:fldCharType="separate"/>
      </w:r>
      <w:r>
        <w:fldChar w:fldCharType="end"/>
      </w:r>
      <w:r>
        <w:t xml:space="preserve"> Nor does an allegation that the critique “may have harmed the credibility of the Magazine” supply special damages, because credibility harm is reputational and inferential rather than an itemized economic loss.</w:t>
      </w:r>
    </w:p>
    <w:p>
      <w:pPr>
        <w:pStyle w:val="BodyText"/>
      </w:pPr>
      <w:r>
        <w:t xml:space="preserve">Because Global Media’s theory of harm turns on contextual inference from a quotation-heavy post plus brief criticism, the claim is governed by Cal. Civ. Code § 45a. </w:t>
      </w:r>
      <w:r>
        <w:fldChar w:fldCharType="begin"/>
      </w:r>
      <w:r>
        <w:instrText>TA \l "Cal. Civ. Code § 45a" \s "California Civil Code Section 45a" \c 2</w:instrText>
      </w:r>
      <w:r>
        <w:fldChar w:fldCharType="separate"/>
      </w:r>
      <w:r>
        <w:fldChar w:fldCharType="end"/>
      </w:r>
      <w:r>
        <w:t xml:space="preserve"> And because Global Media alleges only that the Blog “cost the Magazine business,” without pleading any concrete pecuniary loss with particulars, Global Media fails to state a claim that can proceed under § 45a. </w:t>
      </w:r>
      <w:r>
        <w:fldChar w:fldCharType="begin"/>
      </w:r>
      <w:r>
        <w:instrText>TA \l "Cal. Civ. Code § 45a" \s "California Civil Code Section 45a" \c 2</w:instrText>
      </w:r>
      <w:r>
        <w:fldChar w:fldCharType="separate"/>
      </w:r>
      <w:r>
        <w:fldChar w:fldCharType="end"/>
      </w:r>
      <w:r>
        <w:t xml:space="preserve"> The Court should dismiss the defamation claim for failure to plead special damages, or, at minimum, require Global Media to replead with the specificity § 45a demands. </w:t>
      </w:r>
      <w:r>
        <w:fldChar w:fldCharType="begin"/>
      </w:r>
      <w:r>
        <w:instrText>TA \l "Cal. Civ. Code § 45a" \s "California Civil Code Section 45a" \c 2</w:instrText>
      </w:r>
      <w:r>
        <w:fldChar w:fldCharType="separate"/>
      </w:r>
      <w:r>
        <w:fldChar w:fldCharType="end"/>
      </w:r>
    </w:p>
    <w:p>
      <w:bookmarkStart w:id="24" w:name="argument"/>
      <w:bookmarkStart w:id="25" w:name="X10fc345c180ce2802c260c070269a86bcae5b91"/>
      <w:bookmarkEnd w:id="24"/>
      <w:bookmarkEnd w:id="25"/>
      <w:r>
        <w:br w:type="page"/>
      </w:r>
    </w:p>
    <w:p>
      <w:pPr>
        <w:pStyle w:val="Heading1"/>
      </w:pPr>
      <w:bookmarkStart w:id="26" w:name="_Toc256000013"/>
      <w:r>
        <w:t>Conclusion</w:t>
      </w:r>
      <w:bookmarkEnd w:id="26"/>
    </w:p>
    <w:p>
      <w:pPr>
        <w:pStyle w:val="FirstParagraph"/>
      </w:pPr>
      <w:r>
        <w:t>For the foregoing reasons, and because the undisputed facts and governing law compel judgment as a matter of law—including under 17 U.S.C. § 107 and § 504(b), and Cal. Bus. &amp; Prof. Code § 17200 and Cal. Civ. Code §§ 45, 45a—the Court should enter judgment in favor of Ms. Smith and against Global Media.</w:t>
      </w:r>
    </w:p>
    <w:p>
      <w:pPr>
        <w:spacing w:before="240" w:after="240"/>
      </w:pPr>
    </w:p>
    <w:tbl>
      <w:tblPr>
        <w:tblW w:w="9360" w:type="dxa"/>
        <w:jc w:val="left"/>
        <w:tblInd w:w="0" w:type="dxa"/>
        <w:tblLayout w:type="fixed"/>
        <w:tblCellMar>
          <w:top w:w="0" w:type="dxa"/>
          <w:left w:w="108" w:type="dxa"/>
          <w:bottom w:w="0" w:type="dxa"/>
          <w:right w:w="108" w:type="dxa"/>
        </w:tblCellMar>
      </w:tblPr>
      <w:tblGrid>
        <w:gridCol w:w="4681"/>
        <w:gridCol w:w="4679"/>
      </w:tblGrid>
      <w:tr>
        <w:tblPrEx>
          <w:tblW w:w="9360" w:type="dxa"/>
          <w:tblInd w:w="0" w:type="dxa"/>
          <w:tblLayout w:type="fixed"/>
        </w:tblPrEx>
        <w:tc>
          <w:tcPr>
            <w:tcW w:w="4680" w:type="dxa"/>
          </w:tcPr>
          <w:p>
            <w:pPr>
              <w:widowControl w:val="0"/>
              <w:spacing w:before="240" w:after="200"/>
              <w:ind w:left="0" w:firstLine="0"/>
            </w:pPr>
            <w:r>
              <w:t>Dated: [DATE]</w:t>
            </w:r>
          </w:p>
        </w:tc>
        <w:tc>
          <w:tcPr>
            <w:tcW w:w="4679" w:type="dxa"/>
          </w:tcPr>
          <w:p>
            <w:pPr>
              <w:widowControl w:val="0"/>
              <w:spacing w:before="0" w:after="240" w:line="240" w:lineRule="auto"/>
              <w:ind w:left="0" w:firstLine="0"/>
            </w:pPr>
            <w:r>
              <w:t>Respectfully submitted,</w:t>
            </w:r>
          </w:p>
          <w:p>
            <w:pPr>
              <w:widowControl w:val="0"/>
              <w:spacing w:before="480" w:after="0" w:line="240" w:lineRule="auto"/>
              <w:ind w:left="0" w:firstLine="0"/>
            </w:pPr>
            <w:r>
              <w:t>____________________________</w:t>
            </w:r>
          </w:p>
          <w:p>
            <w:pPr>
              <w:widowControl w:val="0"/>
              <w:spacing w:before="120" w:after="0" w:line="240" w:lineRule="auto"/>
              <w:ind w:left="0" w:firstLine="0"/>
            </w:pPr>
            <w:r>
              <w:t>[ATTORNEY NAME]</w:t>
            </w:r>
          </w:p>
          <w:p>
            <w:pPr>
              <w:widowControl w:val="0"/>
              <w:spacing w:before="0" w:after="0" w:line="240" w:lineRule="auto"/>
              <w:ind w:left="0" w:firstLine="0"/>
            </w:pPr>
            <w:r>
              <w:t>Attorney for Defendant</w:t>
            </w:r>
          </w:p>
        </w:tc>
      </w:tr>
    </w:tbl>
    <w:p>
      <w:bookmarkStart w:id="27" w:name="conclusion"/>
      <w:bookmarkEnd w:id="27"/>
      <w:r>
        <w:br w:type="page"/>
      </w:r>
    </w:p>
    <w:p>
      <w:pPr>
        <w:pStyle w:val="Heading1"/>
      </w:pPr>
      <w:bookmarkStart w:id="28" w:name="_Toc256000014"/>
      <w:r>
        <w:t>Certificate of Compliance</w:t>
      </w:r>
      <w:bookmarkEnd w:id="28"/>
    </w:p>
    <w:p>
      <w:pPr>
        <w:pStyle w:val="centeredstyle"/>
      </w:pPr>
      <w:r>
        <w:t>CERTIFICATE OF COMPLIANCE WITH [COURT_RULES]</w:t>
      </w:r>
    </w:p>
    <w:p>
      <w:pPr>
        <w:pStyle w:val="BodyText"/>
      </w:pPr>
      <w:r>
        <w:t>I, [YOUR_NAME], counsel for the Defendant, hereby certify that, according to the word-count tool in Microsoft Word, the Brief of Defendant consists of 7055 words, excluding footnotes. The Brief therefore complies with [COURT_RULES] and is within the [WORD_LIMIT] word limit.</w:t>
      </w:r>
    </w:p>
    <w:p>
      <w:pPr>
        <w:pStyle w:val="BodyText"/>
      </w:pPr>
      <w:r>
        <w:t>Dated 26 of March, 2026.</w:t>
      </w:r>
    </w:p>
    <w:p>
      <w:r>
        <mc:AlternateContent>
          <mc:Choice Requires="wps">
            <w:drawing>
              <wp:inline distT="0" distB="0" distL="0" distR="0">
                <wp:extent cx="5943600" cy="19050"/>
                <wp:effectExtent l="0" t="0" r="0" b="0"/>
                <wp:docPr id="1"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5" style="width:467.95pt;height:1.45pt;margin-top:0;margin-left:0;mso-position-horizontal:center;mso-position-vertical:top;mso-wrap-style:none;position:absolute;v-text-anchor:middle;z-index:251658240"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2"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6" style="width:467.95pt;height:1.45pt;margin-top:0;margin-left:0;mso-position-horizontal:center;mso-position-vertical:top;mso-wrap-style:none;position:absolute;v-text-anchor:middle;z-index:251659264"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p>
    <w:p>
      <w:bookmarkStart w:id="29" w:name="certificate-of-compliance"/>
      <w:bookmarkEnd w:id="29"/>
      <w:r>
        <w:br w:type="page"/>
      </w:r>
    </w:p>
    <w:p>
      <w:pPr>
        <w:pStyle w:val="Heading1"/>
      </w:pPr>
      <w:bookmarkStart w:id="30" w:name="certificate-of-service"/>
      <w:bookmarkStart w:id="31" w:name="_Toc256000015"/>
      <w:r>
        <w:t>Certificate of Service</w:t>
      </w:r>
      <w:bookmarkEnd w:id="31"/>
    </w:p>
    <w:p>
      <w:pPr>
        <w:pStyle w:val="centeredstyle"/>
      </w:pPr>
      <w:r>
        <w:t>NO. [CASE_NUMBER]</w:t>
      </w:r>
    </w:p>
    <w:p>
      <w:pPr>
        <w:pStyle w:val="centeredstyle"/>
      </w:pPr>
      <w:r>
        <w:t>IN THE UNITED STATES DISTRICT COURT FOR THE [_____ DISTRICT] OF CALIFORNIA</w:t>
      </w:r>
    </w:p>
    <w:p>
      <w:r>
        <mc:AlternateContent>
          <mc:Choice Requires="wps">
            <w:drawing>
              <wp:inline distT="0" distB="0" distL="0" distR="0">
                <wp:extent cx="5943600" cy="19050"/>
                <wp:effectExtent l="0" t="0" r="0" b="0"/>
                <wp:docPr id="3"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7" style="width:467.95pt;height:1.45pt;margin-top:0;margin-left:0;mso-position-horizontal:center;mso-position-vertical:top;mso-wrap-style:none;position:absolute;v-text-anchor:middle;z-index:251660288" o:allowincell="f" fillcolor="white" stroked="t" strokecolor="black">
                <v:fill color2="black" type="solid" o:detectmouseclick="t"/>
                <v:stroke joinstyle="round" endcap="flat"/>
                <w10:wrap type="topAndBottom"/>
              </v:rect>
            </w:pict>
          </mc:Fallback>
        </mc:AlternateContent>
      </w:r>
    </w:p>
    <w:p>
      <w:pPr>
        <w:pStyle w:val="centeredstyle"/>
      </w:pPr>
      <w:r>
        <w:t>GLOBAL MEDIA, INC.</w:t>
      </w:r>
    </w:p>
    <w:p>
      <w:pPr>
        <w:pStyle w:val="centeredstyle"/>
      </w:pPr>
      <w:r>
        <w:t>v.</w:t>
      </w:r>
    </w:p>
    <w:p>
      <w:pPr>
        <w:pStyle w:val="centeredstyle"/>
      </w:pPr>
      <w:r>
        <w:t>JANE SMITH</w:t>
      </w:r>
    </w:p>
    <w:p>
      <w:r>
        <mc:AlternateContent>
          <mc:Choice Requires="wps">
            <w:drawing>
              <wp:inline distT="0" distB="0" distL="0" distR="0">
                <wp:extent cx="5943600" cy="19050"/>
                <wp:effectExtent l="0" t="0" r="0" b="0"/>
                <wp:docPr id="4"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8" style="width:467.95pt;height:1.45pt;margin-top:0;margin-left:0;mso-position-horizontal:center;mso-position-vertical:top;mso-wrap-style:none;position:absolute;v-text-anchor:middle;z-index:251661312" o:allowincell="f" fillcolor="white" stroked="t" strokecolor="black">
                <v:fill color2="black" type="solid" o:detectmouseclick="t"/>
                <v:stroke joinstyle="round" endcap="flat"/>
                <w10:wrap type="topAndBottom"/>
              </v:rect>
            </w:pict>
          </mc:Fallback>
        </mc:AlternateContent>
      </w:r>
    </w:p>
    <w:p>
      <w:pPr>
        <w:pStyle w:val="centeredstyle"/>
      </w:pPr>
      <w:r>
        <w:t>CERTIFICATE OF SERVICE</w:t>
      </w:r>
    </w:p>
    <w:p>
      <w:pPr>
        <w:pStyle w:val="BodyText"/>
      </w:pPr>
      <w:r>
        <w:t>This is to certify that I am counsel for the Defendant in the above-captioned case. On Thursday, March 26, 2026, I served a copy of the foregoing brief: ‘Legal Brief’ by [METHOD_OF_SERVICE] on the following parties:</w:t>
      </w:r>
    </w:p>
    <w:p>
      <w:pPr>
        <w:pStyle w:val="BodyText"/>
      </w:pPr>
      <w:r>
        <w:t>Dated 26 of March, 2026.</w:t>
      </w:r>
    </w:p>
    <w:p>
      <w:r>
        <mc:AlternateContent>
          <mc:Choice Requires="wps">
            <w:drawing>
              <wp:inline distT="0" distB="0" distL="0" distR="0">
                <wp:extent cx="5943600" cy="19050"/>
                <wp:effectExtent l="0" t="0" r="0" b="0"/>
                <wp:docPr id="5"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29" style="width:467.95pt;height:1.45pt;margin-top:0;margin-left:0;mso-position-horizontal:center;mso-position-vertical:top;mso-wrap-style:none;position:absolute;v-text-anchor:middle;z-index:251662336" o:allowincell="f" fillcolor="white" stroked="t" strokecolor="black">
                <v:fill color2="black" type="solid" o:detectmouseclick="t"/>
                <v:stroke joinstyle="round" endcap="flat"/>
                <w10:wrap type="topAndBottom"/>
              </v:rect>
            </w:pict>
          </mc:Fallback>
        </mc:AlternateContent>
      </w:r>
    </w:p>
    <w:p>
      <w:r>
        <mc:AlternateContent>
          <mc:Choice Requires="wps">
            <w:drawing>
              <wp:inline distT="0" distB="0" distL="0" distR="0">
                <wp:extent cx="5943600" cy="19050"/>
                <wp:effectExtent l="0" t="0" r="0" b="0"/>
                <wp:docPr id="6" name=""/>
                <wp:cNvGraphicFramePr/>
                <a:graphic xmlns:a="http://schemas.openxmlformats.org/drawingml/2006/main">
                  <a:graphicData uri="http://schemas.microsoft.com/office/word/2010/wordprocessingShape">
                    <wps:wsp xmlns:wps="http://schemas.microsoft.com/office/word/2010/wordprocessingShape">
                      <wps:c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_x0000_s1030" style="width:467.95pt;height:1.45pt;margin-top:0;margin-left:0;mso-position-horizontal:center;mso-position-vertical:top;mso-wrap-style:none;position:absolute;v-text-anchor:middle;z-index:251663360" o:allowincell="f" fillcolor="white" stroked="t" strokecolor="black">
                <v:fill color2="black" type="solid" o:detectmouseclick="t"/>
                <v:stroke joinstyle="round" endcap="flat"/>
                <w10:wrap type="topAndBottom"/>
              </v:rect>
            </w:pict>
          </mc:Fallback>
        </mc:AlternateContent>
      </w:r>
    </w:p>
    <w:p>
      <w:pPr>
        <w:pStyle w:val="FirstParagraph"/>
      </w:pPr>
      <w:r>
        <w:t>[YOUR_NAME]</w:t>
      </w:r>
    </w:p>
    <w:p>
      <w:pPr>
        <w:pStyle w:val="BodyText"/>
      </w:pPr>
      <w:r>
        <w:t>[YOUR_FIRM]</w:t>
      </w:r>
    </w:p>
    <w:p>
      <w:pPr>
        <w:pStyle w:val="BodyText"/>
      </w:pPr>
      <w:r>
        <w:t>[YOUR_ADDRESS]</w:t>
      </w:r>
    </w:p>
    <w:p>
      <w:pPr>
        <w:pStyle w:val="BodyText"/>
      </w:pPr>
      <w:r>
        <w:t>[CITY, STATE ZIP]</w:t>
      </w:r>
    </w:p>
    <w:p>
      <w:pPr>
        <w:pStyle w:val="BodyText"/>
      </w:pPr>
      <w:r>
        <w:t>[PHONE]</w:t>
      </w:r>
    </w:p>
    <w:p>
      <w:pPr>
        <w:pStyle w:val="BodyText"/>
      </w:pPr>
      <w:r>
        <w:t>[EMAIL]</w:t>
      </w:r>
      <w:bookmarkEnd w:id="30"/>
    </w:p>
    <w:sectPr>
      <w:footerReference w:type="even" r:id="rId4"/>
      <w:footerReference w:type="default" r:id="rId5"/>
      <w:type w:val="nextPage"/>
      <w:pgSz w:w="12240" w:h="15840"/>
      <w:pgMar w:top="1440" w:right="1440" w:bottom="1440" w:left="1440" w:header="0" w:footer="720" w:gutter="0"/>
      <w:pgNumType w:fmt="decimal"/>
      <w:cols w:space="720"/>
      <w:formProt w:val="0"/>
      <w:titlePg/>
      <w:textDirection w:val="lrTb"/>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0"/>
    <w:family w:val="roman"/>
    <w:pitch w:val="variable"/>
  </w:font>
  <w:font w:name="Franklin Gothic Book">
    <w:charset w:val="00"/>
    <w:family w:val="roman"/>
    <w:pitch w:val="variable"/>
  </w:font>
  <w:font w:name="Constantia">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021565622"/>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584563179"/>
      <w:docPartObj>
        <w:docPartGallery w:val="Page Numbers (Bottom of Page)"/>
        <w:docPartUniq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sdtContent>
  </w:sdt>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6FE4FF"/>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272D5725"/>
    <w:multiLevelType w:val="hybridMultilevel"/>
    <w:tmpl w:val="0000000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nsid w:val="36AE7D40"/>
    <w:multiLevelType w:val="hybridMultilevel"/>
    <w:tmpl w:val="00000000"/>
    <w:lvl w:ilvl="0">
      <w:start w:va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nsid w:val="3C543B4D"/>
    <w:multiLevelType w:val="hybridMultilevel"/>
    <w:tmpl w:val="00000000"/>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3E72AE0E"/>
    <w:multiLevelType w:val="hybridMultilevel"/>
    <w:tmpl w:val="000000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43A03B8D"/>
    <w:multiLevelType w:val="hybridMultilevel"/>
    <w:tmpl w:val="00000000"/>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4AEFA03E"/>
    <w:multiLevelType w:val="hybridMultilevel"/>
    <w:tmpl w:val="000000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658846A6"/>
    <w:multiLevelType w:val="hybridMultilevel"/>
    <w:tmpl w:val="0000000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6B981A08"/>
    <w:multiLevelType w:val="hybridMultilevel"/>
    <w:tmpl w:val="00000000"/>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DA15D8B"/>
    <w:multiLevelType w:val="hybridMultilevel"/>
    <w:tmpl w:val="00000000"/>
    <w:lvl w:ilvl="0">
      <w:start w:val="1"/>
      <w:numFmt w:val="upperRoman"/>
      <w:lvlText w:val="%1."/>
      <w:lvlJc w:val="left"/>
      <w:pPr>
        <w:tabs>
          <w:tab w:val="num" w:pos="0"/>
        </w:tabs>
        <w:ind w:left="0" w:firstLine="0"/>
      </w:pPr>
    </w:lvl>
    <w:lvl w:ilvl="1">
      <w:start w:val="1"/>
      <w:numFmt w:val="upperRoman"/>
      <w:pStyle w:val="Heading2"/>
      <w:lvlText w:val="%2."/>
      <w:lvlJc w:val="left"/>
      <w:pPr>
        <w:tabs>
          <w:tab w:val="num" w:pos="0"/>
        </w:tabs>
        <w:ind w:left="720" w:hanging="720"/>
      </w:pPr>
    </w:lvl>
    <w:lvl w:ilvl="2">
      <w:start w:val="1"/>
      <w:numFmt w:val="upperLetter"/>
      <w:pStyle w:val="Heading3"/>
      <w:suff w:val="space"/>
      <w:lvlText w:val="%3."/>
      <w:lvlJc w:val="left"/>
      <w:pPr>
        <w:tabs>
          <w:tab w:val="num" w:pos="0"/>
        </w:tabs>
        <w:ind w:left="1440" w:hanging="720"/>
      </w:pPr>
    </w:lvl>
    <w:lvl w:ilvl="3">
      <w:start w:val="1"/>
      <w:numFmt w:val="lowerLetter"/>
      <w:pStyle w:val="Heading4"/>
      <w:lvlText w:val="%4)"/>
      <w:lvlJc w:val="left"/>
      <w:pPr>
        <w:tabs>
          <w:tab w:val="num" w:pos="0"/>
        </w:tabs>
        <w:ind w:left="2160" w:firstLine="0"/>
      </w:pPr>
    </w:lvl>
    <w:lvl w:ilvl="4">
      <w:start w:val="1"/>
      <w:numFmt w:val="decimal"/>
      <w:pStyle w:val="Heading5"/>
      <w:lvlText w:val="(%5)"/>
      <w:lvlJc w:val="left"/>
      <w:pPr>
        <w:tabs>
          <w:tab w:val="num" w:pos="0"/>
        </w:tabs>
        <w:ind w:left="2880" w:firstLine="0"/>
      </w:pPr>
    </w:lvl>
    <w:lvl w:ilvl="5">
      <w:start w:val="1"/>
      <w:numFmt w:val="lowerLetter"/>
      <w:pStyle w:val="Heading6"/>
      <w:lvlText w:val="(%6)"/>
      <w:lvlJc w:val="left"/>
      <w:pPr>
        <w:tabs>
          <w:tab w:val="num" w:pos="0"/>
        </w:tabs>
        <w:ind w:left="3600" w:firstLine="0"/>
      </w:pPr>
    </w:lvl>
    <w:lvl w:ilvl="6">
      <w:start w:val="1"/>
      <w:numFmt w:val="lowerRoman"/>
      <w:pStyle w:val="Heading7"/>
      <w:lvlText w:val="(%7)"/>
      <w:lvlJc w:val="left"/>
      <w:pPr>
        <w:tabs>
          <w:tab w:val="num" w:pos="0"/>
        </w:tabs>
        <w:ind w:left="4320" w:firstLine="0"/>
      </w:pPr>
    </w:lvl>
    <w:lvl w:ilvl="7">
      <w:start w:val="1"/>
      <w:numFmt w:val="lowerLetter"/>
      <w:pStyle w:val="Heading8"/>
      <w:lvlText w:val="(%8)"/>
      <w:lvlJc w:val="left"/>
      <w:pPr>
        <w:tabs>
          <w:tab w:val="num" w:pos="0"/>
        </w:tabs>
        <w:ind w:left="5040" w:firstLine="0"/>
      </w:pPr>
    </w:lvl>
    <w:lvl w:ilvl="8">
      <w:start w:val="1"/>
      <w:numFmt w:val="lowerRoman"/>
      <w:pStyle w:val="Heading9"/>
      <w:lvlText w:val="(%9)"/>
      <w:lvlJc w:val="left"/>
      <w:pPr>
        <w:tabs>
          <w:tab w:val="num" w:pos="0"/>
        </w:tabs>
        <w:ind w:left="5760" w:firstLine="0"/>
      </w:pPr>
    </w:lvl>
  </w:abstractNum>
  <w:num w:numId="1">
    <w:abstractNumId w:val="9"/>
  </w:num>
  <w:num w:numId="2">
    <w:abstractNumId w:val="5"/>
  </w:num>
  <w:num w:numId="3">
    <w:abstractNumId w:val="0"/>
  </w:num>
  <w:num w:numId="4">
    <w:abstractNumId w:val="7"/>
  </w:num>
  <w:num w:numId="5">
    <w:abstractNumId w:val="8"/>
  </w:num>
  <w:num w:numId="6">
    <w:abstractNumId w:val="3"/>
  </w:num>
  <w:num w:numId="7">
    <w:abstractNumId w:val="4"/>
  </w:num>
  <w:num w:numId="8">
    <w:abstractNumId w:val="6"/>
  </w:num>
  <w:num w:numId="9">
    <w:abstractNumId w:val="1"/>
  </w:num>
  <w:num w:numId="10">
    <w:abstractNumId w:val="2"/>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1">
    <w:lsdException w:name="toc 1" w:uiPriority="39"/>
    <w:lsdException w:name="toc 2" w:uiPriority="39"/>
    <w:lsdException w:name="toc 3" w:uiPriority="39"/>
    <w:lsdException w:name="table of authorities" w:uiPriority="99"/>
    <w:lsdException w:name="toa heading"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39F"/>
    <w:pPr>
      <w:widowControl/>
      <w:bidi w:val="0"/>
      <w:spacing w:before="0" w:after="200"/>
      <w:jc w:val="left"/>
    </w:pPr>
    <w:rPr>
      <w:rFonts w:ascii="Constantia" w:hAnsi="Constantia" w:eastAsiaTheme="minorHAnsi" w:cstheme="minorBidi"/>
      <w:color w:val="auto"/>
      <w:kern w:val="0"/>
      <w:sz w:val="24"/>
      <w:szCs w:val="24"/>
      <w:lang w:val="en-US" w:eastAsia="en-US" w:bidi="ar-SA"/>
    </w:rPr>
  </w:style>
  <w:style w:type="paragraph" w:styleId="Heading1">
    <w:name w:val="heading 1"/>
    <w:basedOn w:val="Normal"/>
    <w:next w:val="BodyText"/>
    <w:uiPriority w:val="9"/>
    <w:qFormat/>
    <w:rsid w:val="0067625C"/>
    <w:pPr>
      <w:keepNext/>
      <w:keepLines/>
      <w:spacing w:before="480" w:after="240"/>
      <w:jc w:val="center"/>
      <w:outlineLvl w:val="0"/>
    </w:pPr>
    <w:rPr>
      <w:rFonts w:asciiTheme="majorHAnsi" w:eastAsiaTheme="majorEastAsia" w:hAnsiTheme="majorHAnsi" w:cs="Times New Roman (Headings CS)"/>
      <w:b/>
      <w:bCs/>
      <w:caps/>
      <w:sz w:val="32"/>
      <w:szCs w:val="32"/>
      <w:u w:val="single"/>
    </w:rPr>
  </w:style>
  <w:style w:type="paragraph" w:styleId="Heading2">
    <w:name w:val="heading 2"/>
    <w:basedOn w:val="Normal"/>
    <w:next w:val="BodyText"/>
    <w:uiPriority w:val="9"/>
    <w:unhideWhenUsed/>
    <w:qFormat/>
    <w:rsid w:val="00F6070A"/>
    <w:pPr>
      <w:keepNext/>
      <w:keepLines/>
      <w:numPr>
        <w:ilvl w:val="1"/>
        <w:numId w:val="1"/>
      </w:numPr>
      <w:spacing w:before="200" w:after="200"/>
      <w:outlineLvl w:val="1"/>
    </w:pPr>
    <w:rPr>
      <w:rFonts w:asciiTheme="majorHAnsi" w:eastAsiaTheme="majorEastAsia" w:hAnsiTheme="majorHAnsi" w:cstheme="majorBidi"/>
      <w:b/>
      <w:bCs/>
      <w:sz w:val="28"/>
      <w:szCs w:val="28"/>
    </w:rPr>
  </w:style>
  <w:style w:type="paragraph" w:styleId="Heading3">
    <w:name w:val="heading 3"/>
    <w:basedOn w:val="Heading2"/>
    <w:next w:val="BodyText"/>
    <w:uiPriority w:val="9"/>
    <w:unhideWhenUsed/>
    <w:qFormat/>
    <w:rsid w:val="000D01E7"/>
    <w:pPr>
      <w:numPr>
        <w:ilvl w:val="2"/>
        <w:numId w:val="1"/>
      </w:numPr>
      <w:ind w:left="1080" w:hanging="360"/>
      <w:outlineLvl w:val="2"/>
    </w:pPr>
  </w:style>
  <w:style w:type="paragraph" w:styleId="Heading4">
    <w:name w:val="heading 4"/>
    <w:basedOn w:val="Normal"/>
    <w:next w:val="BodyText"/>
    <w:uiPriority w:val="9"/>
    <w:unhideWhenUsed/>
    <w:qFormat/>
    <w:rsid w:val="00F6070A"/>
    <w:pPr>
      <w:keepNext/>
      <w:keepLines/>
      <w:numPr>
        <w:ilvl w:val="3"/>
        <w:numId w:val="1"/>
      </w:numPr>
      <w:spacing w:before="200" w:after="0"/>
      <w:outlineLvl w:val="3"/>
    </w:pPr>
    <w:rPr>
      <w:rFonts w:asciiTheme="majorHAnsi" w:eastAsiaTheme="majorEastAsia" w:hAnsiTheme="majorHAnsi" w:cstheme="majorBidi"/>
      <w:bCs/>
      <w:color w:val="000000" w:themeColor="text1"/>
    </w:rPr>
  </w:style>
  <w:style w:type="paragraph" w:styleId="Heading5">
    <w:name w:val="heading 5"/>
    <w:basedOn w:val="Normal"/>
    <w:next w:val="BodyText"/>
    <w:uiPriority w:val="9"/>
    <w:unhideWhenUsed/>
    <w:qFormat/>
    <w:rsid w:val="00F6070A"/>
    <w:pPr>
      <w:keepNext/>
      <w:keepLines/>
      <w:numPr>
        <w:ilvl w:val="4"/>
        <w:numId w:val="1"/>
      </w:numPr>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rsid w:val="00F6070A"/>
    <w:pPr>
      <w:keepNext/>
      <w:keepLines/>
      <w:numPr>
        <w:ilvl w:val="5"/>
        <w:numId w:val="1"/>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F6070A"/>
    <w:pPr>
      <w:keepNext/>
      <w:keepLines/>
      <w:numPr>
        <w:ilvl w:val="6"/>
        <w:numId w:val="1"/>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F6070A"/>
    <w:pPr>
      <w:keepNext/>
      <w:keepLines/>
      <w:numPr>
        <w:ilvl w:val="7"/>
        <w:numId w:val="1"/>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F6070A"/>
    <w:pPr>
      <w:keepNext/>
      <w:keepLines/>
      <w:numPr>
        <w:ilvl w:val="8"/>
        <w:numId w:val="1"/>
      </w:numPr>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qFormat/>
  </w:style>
  <w:style w:type="character" w:customStyle="1" w:styleId="CaptionChar">
    <w:name w:val="Caption Char"/>
    <w:basedOn w:val="DefaultParagraphFont"/>
    <w:link w:val="Caption"/>
    <w:qFormat/>
  </w:style>
  <w:style w:type="character" w:customStyle="1" w:styleId="VerbatimChar">
    <w:name w:val="Verbatim Char"/>
    <w:basedOn w:val="CaptionChar"/>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sid w:val="00C772B3"/>
    <w:rPr>
      <w:color w:val="000000" w:themeColor="text1"/>
    </w:rPr>
  </w:style>
  <w:style w:type="character" w:customStyle="1" w:styleId="FooterChar">
    <w:name w:val="Footer Char"/>
    <w:basedOn w:val="DefaultParagraphFont"/>
    <w:link w:val="Footer"/>
    <w:qFormat/>
    <w:rsid w:val="002C6476"/>
  </w:style>
  <w:style w:type="character" w:styleId="PageNumber">
    <w:name w:val="page number"/>
    <w:basedOn w:val="DefaultParagraphFont"/>
    <w:qFormat/>
    <w:rsid w:val="002C6476"/>
  </w:style>
  <w:style w:type="character" w:customStyle="1" w:styleId="TableofAuthoritiesChar">
    <w:name w:val="Table of Authorities Char"/>
    <w:basedOn w:val="DefaultParagraphFont"/>
    <w:link w:val="TableofAuthorities"/>
    <w:uiPriority w:val="99"/>
    <w:qFormat/>
    <w:rsid w:val="000F239C"/>
    <w:rPr>
      <w:rFonts w:ascii="Constantia" w:hAnsi="Constantia" w:cs="Times New Roman (Body CS)"/>
    </w:rPr>
  </w:style>
  <w:style w:type="character" w:customStyle="1" w:styleId="KeywordTok">
    <w:name w:val="KeywordTok"/>
    <w:basedOn w:val="VerbatimChar"/>
    <w:qFormat/>
    <w:rPr>
      <w:b/>
      <w:color w:val="007020"/>
    </w:rPr>
  </w:style>
  <w:style w:type="character" w:customStyle="1" w:styleId="DataTypeTok">
    <w:name w:val="DataTypeTok"/>
    <w:basedOn w:val="VerbatimChar"/>
    <w:qFormat/>
    <w:rPr>
      <w:color w:val="902000"/>
    </w:rPr>
  </w:style>
  <w:style w:type="character" w:customStyle="1" w:styleId="DecValTok">
    <w:name w:val="DecValTok"/>
    <w:basedOn w:val="VerbatimChar"/>
    <w:qFormat/>
    <w:rPr>
      <w:color w:val="40A070"/>
    </w:rPr>
  </w:style>
  <w:style w:type="character" w:customStyle="1" w:styleId="BaseNTok">
    <w:name w:val="BaseNTok"/>
    <w:basedOn w:val="VerbatimChar"/>
    <w:qFormat/>
    <w:rPr>
      <w:color w:val="40A070"/>
    </w:rPr>
  </w:style>
  <w:style w:type="character" w:customStyle="1" w:styleId="FloatTok">
    <w:name w:val="FloatTok"/>
    <w:basedOn w:val="VerbatimChar"/>
    <w:qFormat/>
    <w:rPr>
      <w:color w:val="40A070"/>
    </w:rPr>
  </w:style>
  <w:style w:type="character" w:customStyle="1" w:styleId="ConstantTok">
    <w:name w:val="ConstantTok"/>
    <w:basedOn w:val="VerbatimChar"/>
    <w:qFormat/>
    <w:rPr>
      <w:color w:val="880000"/>
    </w:rPr>
  </w:style>
  <w:style w:type="character" w:customStyle="1" w:styleId="CharTok">
    <w:name w:val="CharTok"/>
    <w:basedOn w:val="VerbatimChar"/>
    <w:qFormat/>
    <w:rPr>
      <w:color w:val="4070A0"/>
    </w:rPr>
  </w:style>
  <w:style w:type="character" w:customStyle="1" w:styleId="SpecialCharTok">
    <w:name w:val="SpecialCharTok"/>
    <w:basedOn w:val="VerbatimChar"/>
    <w:qFormat/>
    <w:rPr>
      <w:color w:val="4070A0"/>
    </w:rPr>
  </w:style>
  <w:style w:type="character" w:customStyle="1" w:styleId="StringTok">
    <w:name w:val="StringTok"/>
    <w:basedOn w:val="VerbatimChar"/>
    <w:qFormat/>
    <w:rPr>
      <w:color w:val="4070A0"/>
    </w:rPr>
  </w:style>
  <w:style w:type="character" w:customStyle="1" w:styleId="VerbatimStringTok">
    <w:name w:val="VerbatimStringTok"/>
    <w:basedOn w:val="VerbatimChar"/>
    <w:qFormat/>
    <w:rPr>
      <w:color w:val="4070A0"/>
    </w:rPr>
  </w:style>
  <w:style w:type="character" w:customStyle="1" w:styleId="SpecialStringTok">
    <w:name w:val="SpecialStringTok"/>
    <w:basedOn w:val="VerbatimChar"/>
    <w:qFormat/>
    <w:rPr>
      <w:color w:val="BB6688"/>
    </w:rPr>
  </w:style>
  <w:style w:type="character" w:customStyle="1" w:styleId="ImportTok">
    <w:name w:val="ImportTok"/>
    <w:basedOn w:val="VerbatimChar"/>
    <w:qFormat/>
    <w:rPr>
      <w:b/>
      <w:color w:val="008000"/>
    </w:rPr>
  </w:style>
  <w:style w:type="character" w:customStyle="1" w:styleId="CommentTok">
    <w:name w:val="CommentTok"/>
    <w:basedOn w:val="VerbatimChar"/>
    <w:qFormat/>
    <w:rPr>
      <w:i/>
      <w:color w:val="60A0B0"/>
    </w:rPr>
  </w:style>
  <w:style w:type="character" w:customStyle="1" w:styleId="DocumentationTok">
    <w:name w:val="DocumentationTok"/>
    <w:basedOn w:val="VerbatimChar"/>
    <w:qFormat/>
    <w:rPr>
      <w:i/>
      <w:color w:val="BA2121"/>
    </w:rPr>
  </w:style>
  <w:style w:type="character" w:customStyle="1" w:styleId="AnnotationTok">
    <w:name w:val="AnnotationTok"/>
    <w:basedOn w:val="VerbatimChar"/>
    <w:qFormat/>
    <w:rPr>
      <w:b/>
      <w:i/>
      <w:color w:val="60A0B0"/>
    </w:rPr>
  </w:style>
  <w:style w:type="character" w:customStyle="1" w:styleId="CommentVarTok">
    <w:name w:val="CommentVarTok"/>
    <w:basedOn w:val="VerbatimChar"/>
    <w:qFormat/>
    <w:rPr>
      <w:b/>
      <w:i/>
      <w:color w:val="60A0B0"/>
    </w:rPr>
  </w:style>
  <w:style w:type="character" w:customStyle="1" w:styleId="OtherTok">
    <w:name w:val="OtherTok"/>
    <w:basedOn w:val="VerbatimChar"/>
    <w:qFormat/>
    <w:rPr>
      <w:color w:val="007020"/>
    </w:rPr>
  </w:style>
  <w:style w:type="character" w:customStyle="1" w:styleId="FunctionTok">
    <w:name w:val="FunctionTok"/>
    <w:basedOn w:val="VerbatimChar"/>
    <w:qFormat/>
    <w:rPr>
      <w:color w:val="06287E"/>
    </w:rPr>
  </w:style>
  <w:style w:type="character" w:customStyle="1" w:styleId="VariableTok">
    <w:name w:val="VariableTok"/>
    <w:basedOn w:val="VerbatimChar"/>
    <w:qFormat/>
    <w:rPr>
      <w:color w:val="19177C"/>
    </w:rPr>
  </w:style>
  <w:style w:type="character" w:customStyle="1" w:styleId="ControlFlowTok">
    <w:name w:val="ControlFlowTok"/>
    <w:basedOn w:val="VerbatimChar"/>
    <w:qFormat/>
    <w:rPr>
      <w:b/>
      <w:color w:val="007020"/>
    </w:rPr>
  </w:style>
  <w:style w:type="character" w:customStyle="1" w:styleId="OperatorTok">
    <w:name w:val="OperatorTok"/>
    <w:basedOn w:val="VerbatimChar"/>
    <w:qFormat/>
    <w:rPr>
      <w:color w:val="666666"/>
    </w:rPr>
  </w:style>
  <w:style w:type="character" w:customStyle="1" w:styleId="BuiltInTok">
    <w:name w:val="BuiltInTok"/>
    <w:basedOn w:val="VerbatimChar"/>
    <w:qFormat/>
    <w:rPr>
      <w:color w:val="008000"/>
    </w:rPr>
  </w:style>
  <w:style w:type="character" w:customStyle="1" w:styleId="ExtensionTok">
    <w:name w:val="ExtensionTok"/>
    <w:basedOn w:val="VerbatimChar"/>
    <w:qFormat/>
  </w:style>
  <w:style w:type="character" w:customStyle="1" w:styleId="PreprocessorTok">
    <w:name w:val="PreprocessorTok"/>
    <w:basedOn w:val="VerbatimChar"/>
    <w:qFormat/>
    <w:rPr>
      <w:color w:val="BC7A00"/>
    </w:rPr>
  </w:style>
  <w:style w:type="character" w:customStyle="1" w:styleId="AttributeTok">
    <w:name w:val="AttributeTok"/>
    <w:basedOn w:val="VerbatimChar"/>
    <w:qFormat/>
    <w:rPr>
      <w:color w:val="7D9029"/>
    </w:rPr>
  </w:style>
  <w:style w:type="character" w:customStyle="1" w:styleId="RegionMarkerTok">
    <w:name w:val="RegionMarkerTok"/>
    <w:basedOn w:val="VerbatimChar"/>
    <w:qFormat/>
  </w:style>
  <w:style w:type="character" w:customStyle="1" w:styleId="InformationTok">
    <w:name w:val="InformationTok"/>
    <w:basedOn w:val="VerbatimChar"/>
    <w:qFormat/>
    <w:rPr>
      <w:b/>
      <w:i/>
      <w:color w:val="60A0B0"/>
    </w:rPr>
  </w:style>
  <w:style w:type="character" w:customStyle="1" w:styleId="WarningTok">
    <w:name w:val="WarningTok"/>
    <w:basedOn w:val="VerbatimChar"/>
    <w:qFormat/>
    <w:rPr>
      <w:b/>
      <w:i/>
      <w:color w:val="60A0B0"/>
    </w:rPr>
  </w:style>
  <w:style w:type="character" w:customStyle="1" w:styleId="AlertTok">
    <w:name w:val="AlertTok"/>
    <w:basedOn w:val="VerbatimChar"/>
    <w:qFormat/>
    <w:rPr>
      <w:b/>
      <w:color w:val="FF0000"/>
    </w:rPr>
  </w:style>
  <w:style w:type="character" w:customStyle="1" w:styleId="ErrorTok">
    <w:name w:val="ErrorTok"/>
    <w:basedOn w:val="VerbatimChar"/>
    <w:qFormat/>
    <w:rPr>
      <w:b/>
      <w:color w:val="FF0000"/>
    </w:rPr>
  </w:style>
  <w:style w:type="character" w:customStyle="1" w:styleId="NormalTok">
    <w:name w:val="NormalTok"/>
    <w:basedOn w:val="VerbatimChar"/>
    <w:qFormat/>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w:hAnsi="Liberation Sans" w:cs="Noto Sans Devanagari"/>
      <w:sz w:val="28"/>
      <w:szCs w:val="28"/>
    </w:rPr>
  </w:style>
  <w:style w:type="paragraph" w:styleId="BodyText">
    <w:name w:val="Body Text"/>
    <w:basedOn w:val="Normal"/>
    <w:qFormat/>
    <w:rsid w:val="009F741B"/>
    <w:pPr>
      <w:spacing w:before="0" w:after="0" w:line="480" w:lineRule="auto"/>
      <w:ind w:firstLine="720"/>
    </w:pPr>
  </w:style>
  <w:style w:type="paragraph" w:styleId="List">
    <w:name w:val="List"/>
    <w:basedOn w:val="Normal"/>
    <w:rsid w:val="001A6454"/>
    <w:pPr>
      <w:spacing w:before="0" w:after="200"/>
      <w:ind w:left="360" w:hanging="360"/>
      <w:contextualSpacing/>
    </w:p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6D7BB9"/>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styleId="Date">
    <w:name w:val="Date"/>
    <w:next w:val="BodyText"/>
    <w:qFormat/>
    <w:pPr>
      <w:keepNext/>
      <w:keepLines/>
      <w:widowControl/>
      <w:bidi w:val="0"/>
      <w:spacing w:before="0" w:after="200"/>
      <w:jc w:val="center"/>
    </w:pPr>
    <w:rPr>
      <w:rFonts w:asciiTheme="minorHAnsi" w:eastAsiaTheme="minorHAnsi" w:hAnsiTheme="minorHAnsi" w:cstheme="minorBidi"/>
      <w:color w:val="auto"/>
      <w:kern w:val="0"/>
      <w:sz w:val="24"/>
      <w:szCs w:val="24"/>
      <w:lang w:val="en-US" w:eastAsia="en-US" w:bidi="ar-S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72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widowControl/>
      <w:bidi w:val="0"/>
      <w:spacing w:before="100" w:after="100"/>
      <w:ind w:left="480" w:right="480" w:firstLine="0"/>
      <w:jc w:val="left"/>
    </w:pPr>
    <w:rPr>
      <w:rFonts w:asciiTheme="minorHAnsi" w:eastAsiaTheme="minorHAnsi" w:hAnsiTheme="minorHAnsi" w:cstheme="minorBidi"/>
      <w:color w:val="auto"/>
      <w:kern w:val="0"/>
      <w:sz w:val="24"/>
      <w:szCs w:val="24"/>
      <w:lang w:val="en-US" w:eastAsia="en-US" w:bidi="ar-SA"/>
    </w:rPr>
  </w:style>
  <w:style w:type="paragraph" w:customStyle="1" w:styleId="DefinitionTerm">
    <w:name w:val="Definition Term"/>
    <w:basedOn w:val="Normal"/>
    <w:next w:val="Definition"/>
    <w:qFormat/>
    <w:pPr>
      <w:keepNext/>
      <w:keepLines/>
      <w:spacing w:before="0" w:after="0"/>
    </w:pPr>
    <w:rPr>
      <w:b/>
    </w:rPr>
  </w:style>
  <w:style w:type="paragraph" w:customStyle="1" w:styleId="Definition">
    <w:name w:val="Definition"/>
    <w:basedOn w:val="Normal"/>
    <w:qFormat/>
  </w:style>
  <w:style w:type="paragraph" w:styleId="Caption">
    <w:name w:val="caption"/>
    <w:basedOn w:val="Normal"/>
    <w:link w:val="CaptionChar"/>
    <w:qFormat/>
    <w:pPr>
      <w:spacing w:before="0" w:after="120"/>
    </w:pPr>
    <w:rPr>
      <w:i/>
    </w:rPr>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53669C"/>
    <w:pPr>
      <w:spacing w:before="240" w:after="240" w:line="259" w:lineRule="auto"/>
      <w:outlineLvl w:val="9"/>
    </w:pPr>
    <w:rPr>
      <w:bCs w:val="0"/>
      <w:caps w:val="0"/>
      <w:smallCaps w:val="0"/>
      <w:sz w:val="28"/>
      <w:u w:val="none"/>
    </w:rPr>
  </w:style>
  <w:style w:type="paragraph" w:customStyle="1" w:styleId="HeaderandFooter">
    <w:name w:val="Header and Footer"/>
    <w:basedOn w:val="Normal"/>
    <w:qFormat/>
  </w:style>
  <w:style w:type="paragraph" w:styleId="Footer">
    <w:name w:val="footer"/>
    <w:basedOn w:val="Normal"/>
    <w:link w:val="FooterChar"/>
    <w:rsid w:val="002C6476"/>
    <w:pPr>
      <w:tabs>
        <w:tab w:val="clear" w:pos="720"/>
        <w:tab w:val="center" w:pos="4680"/>
        <w:tab w:val="right" w:pos="9360"/>
      </w:tabs>
      <w:spacing w:before="0" w:after="0"/>
    </w:pPr>
  </w:style>
  <w:style w:type="paragraph" w:styleId="TOC1">
    <w:name w:val="toc 1"/>
    <w:basedOn w:val="Normal"/>
    <w:next w:val="Normal"/>
    <w:autoRedefine/>
    <w:uiPriority w:val="39"/>
    <w:rsid w:val="00F069A8"/>
    <w:pPr>
      <w:tabs>
        <w:tab w:val="clear" w:pos="720"/>
        <w:tab w:val="right" w:leader="dot" w:pos="9350"/>
      </w:tabs>
      <w:spacing w:before="240" w:after="240"/>
      <w:ind w:right="720" w:firstLine="0"/>
    </w:pPr>
    <w:rPr>
      <w:rFonts w:cs="Times New Roman (Body CS)"/>
      <w:caps/>
    </w:rPr>
  </w:style>
  <w:style w:type="paragraph" w:styleId="TOC2">
    <w:name w:val="toc 2"/>
    <w:basedOn w:val="Normal"/>
    <w:next w:val="Normal"/>
    <w:autoRedefine/>
    <w:uiPriority w:val="39"/>
    <w:rsid w:val="00F069A8"/>
    <w:pPr>
      <w:tabs>
        <w:tab w:val="left" w:pos="360"/>
        <w:tab w:val="right" w:leader="dot" w:pos="9350"/>
      </w:tabs>
      <w:spacing w:before="240" w:after="240"/>
      <w:ind w:right="720" w:firstLine="0"/>
    </w:pPr>
    <w:rPr>
      <w:rFonts w:cs="Times New Roman (Body CS)"/>
    </w:rPr>
  </w:style>
  <w:style w:type="paragraph" w:styleId="TOC3">
    <w:name w:val="toc 3"/>
    <w:basedOn w:val="Normal"/>
    <w:next w:val="Normal"/>
    <w:autoRedefine/>
    <w:uiPriority w:val="39"/>
    <w:rsid w:val="00F069A8"/>
    <w:pPr>
      <w:tabs>
        <w:tab w:val="left" w:pos="360"/>
        <w:tab w:val="clear" w:pos="720"/>
        <w:tab w:val="right" w:leader="dot" w:pos="9350"/>
      </w:tabs>
      <w:spacing w:before="240" w:after="240"/>
      <w:ind w:left="475" w:right="720" w:firstLine="0"/>
    </w:pPr>
    <w:rPr>
      <w:rFonts w:cs="Times New Roman (Body CS)"/>
    </w:rPr>
  </w:style>
  <w:style w:type="paragraph" w:customStyle="1" w:styleId="centeredstyle">
    <w:name w:val="centered_style"/>
    <w:basedOn w:val="Normal"/>
    <w:qFormat/>
    <w:rsid w:val="007F4339"/>
    <w:pPr>
      <w:jc w:val="center"/>
    </w:pPr>
  </w:style>
  <w:style w:type="paragraph" w:styleId="TOAHeading">
    <w:name w:val="toa heading"/>
    <w:basedOn w:val="Normal"/>
    <w:next w:val="Normal"/>
    <w:uiPriority w:val="99"/>
    <w:qFormat/>
    <w:rsid w:val="007A7E0E"/>
    <w:pPr>
      <w:spacing w:before="120" w:after="200"/>
    </w:pPr>
    <w:rPr>
      <w:rFonts w:asciiTheme="majorHAnsi" w:eastAsiaTheme="majorEastAsia" w:hAnsiTheme="majorHAnsi" w:cstheme="majorBidi"/>
      <w:b/>
      <w:bCs/>
    </w:rPr>
  </w:style>
  <w:style w:type="paragraph" w:styleId="TableofAuthorities">
    <w:name w:val="table of authorities"/>
    <w:basedOn w:val="Normal"/>
    <w:next w:val="Normal"/>
    <w:link w:val="TableofAuthoritiesChar"/>
    <w:uiPriority w:val="99"/>
    <w:qFormat/>
    <w:rsid w:val="000F239C"/>
    <w:pPr>
      <w:tabs>
        <w:tab w:val="clear" w:pos="720"/>
        <w:tab w:val="right" w:leader="dot" w:pos="9360"/>
      </w:tabs>
      <w:spacing w:before="0" w:after="120" w:line="240" w:lineRule="auto"/>
      <w:ind w:left="720" w:hanging="720"/>
    </w:pPr>
    <w:rPr>
      <w:rFonts w:cs="Times New Roman (Body CS)"/>
    </w:rPr>
  </w:style>
  <w:style w:type="paragraph" w:styleId="ListBullet">
    <w:name w:val="List Bullet"/>
    <w:basedOn w:val="Normal"/>
    <w:qFormat/>
    <w:rsid w:val="00D45D12"/>
    <w:pPr>
      <w:numPr>
        <w:ilvl w:val="0"/>
        <w:numId w:val="2"/>
      </w:numPr>
      <w:spacing w:before="0" w:after="200" w:line="480" w:lineRule="auto"/>
      <w:contextualSpacing/>
    </w:pPr>
  </w:style>
  <w:style w:type="paragraph" w:styleId="ListBullet2">
    <w:name w:val="List Bullet 2"/>
    <w:basedOn w:val="Normal"/>
    <w:qFormat/>
    <w:rsid w:val="001A6454"/>
    <w:pPr>
      <w:numPr>
        <w:ilvl w:val="0"/>
        <w:numId w:val="3"/>
      </w:numPr>
      <w:spacing w:before="0" w:after="200"/>
      <w:contextualSpacing/>
    </w:pPr>
  </w:style>
  <w:style w:type="paragraph" w:styleId="ListBullet4">
    <w:name w:val="List Bullet 4"/>
    <w:basedOn w:val="Normal"/>
    <w:qFormat/>
    <w:rsid w:val="001A6454"/>
    <w:pPr>
      <w:numPr>
        <w:ilvl w:val="0"/>
        <w:numId w:val="5"/>
      </w:numPr>
      <w:spacing w:before="0" w:after="200"/>
      <w:contextualSpacing/>
    </w:pPr>
  </w:style>
  <w:style w:type="paragraph" w:styleId="ListBullet5">
    <w:name w:val="List Bullet 5"/>
    <w:basedOn w:val="Normal"/>
    <w:qFormat/>
    <w:rsid w:val="001A6454"/>
    <w:pPr>
      <w:numPr>
        <w:ilvl w:val="0"/>
        <w:numId w:val="6"/>
      </w:numPr>
      <w:spacing w:before="0" w:after="200"/>
      <w:contextualSpacing/>
    </w:pPr>
  </w:style>
  <w:style w:type="paragraph" w:styleId="ListBullet3">
    <w:name w:val="List Bullet 3"/>
    <w:basedOn w:val="Normal"/>
    <w:rsid w:val="001A6454"/>
    <w:pPr>
      <w:spacing w:before="0" w:after="200"/>
      <w:ind w:left="720" w:hanging="360"/>
      <w:contextualSpacing/>
    </w:pPr>
  </w:style>
  <w:style w:type="paragraph" w:styleId="ListNumber">
    <w:name w:val="List Number"/>
    <w:basedOn w:val="Normal"/>
    <w:qFormat/>
    <w:rsid w:val="00D45D12"/>
    <w:pPr>
      <w:numPr>
        <w:ilvl w:val="0"/>
        <w:numId w:val="7"/>
      </w:numPr>
      <w:spacing w:before="0" w:after="200" w:line="480" w:lineRule="auto"/>
      <w:contextualSpacing/>
    </w:pPr>
  </w:style>
  <w:style w:type="paragraph" w:styleId="ListNumber2">
    <w:name w:val="List Number 2"/>
    <w:basedOn w:val="Normal"/>
    <w:qFormat/>
    <w:rsid w:val="001A6454"/>
    <w:pPr>
      <w:numPr>
        <w:ilvl w:val="0"/>
        <w:numId w:val="8"/>
      </w:numPr>
      <w:spacing w:before="0" w:after="200"/>
      <w:contextualSpacing/>
    </w:pPr>
  </w:style>
  <w:style w:type="paragraph" w:customStyle="1" w:styleId="disclaimerstyle">
    <w:name w:val="disclaimer_style"/>
    <w:basedOn w:val="Normal"/>
    <w:qFormat/>
    <w:rsid w:val="004974DC"/>
    <w:rPr>
      <w:rFonts w:ascii="Times New Roman" w:hAnsi="Times New Roman"/>
    </w:rPr>
  </w:style>
  <w:style w:type="paragraph" w:customStyle="1" w:styleId="SourceCode">
    <w:name w:val="Source Code"/>
    <w:basedOn w:val="Normal"/>
    <w:link w:val="VerbatimChar"/>
    <w:qFormat/>
  </w:style>
  <w:style w:type="numbering" w:customStyle="1" w:styleId="CurrentList1">
    <w:name w:val="Current List1"/>
    <w:uiPriority w:val="99"/>
    <w:qFormat/>
    <w:rsid w:val="00674A19"/>
  </w:style>
  <w:style w:type="numbering" w:customStyle="1" w:styleId="CurrentList2">
    <w:name w:val="Current List2"/>
    <w:uiPriority w:val="99"/>
    <w:qFormat/>
    <w:rsid w:val="008B4603"/>
  </w:style>
  <w:style w:type="numbering" w:customStyle="1" w:styleId="CurrentList3">
    <w:name w:val="Current List3"/>
    <w:uiPriority w:val="99"/>
    <w:qFormat/>
    <w:rsid w:val="000F41EA"/>
  </w:style>
  <w:style w:type="numbering" w:customStyle="1" w:styleId="CurrentList4">
    <w:name w:val="Current List4"/>
    <w:uiPriority w:val="99"/>
    <w:qFormat/>
    <w:rsid w:val="00FB499D"/>
  </w:style>
  <w:style w:type="numbering" w:customStyle="1" w:styleId="CurrentList5">
    <w:name w:val="Current List5"/>
    <w:uiPriority w:val="99"/>
    <w:qFormat/>
    <w:rsid w:val="00F6070A"/>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theme" Target="theme/theme1.xml"/><Relationship Id="rId7" Type="http://schemas.openxmlformats.org/officeDocument/2006/relationships/numbering" Target="numbering.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33</Pages>
  <Words>803</Words>
  <Characters>4323</Characters>
  <Application>Microsoft Office Word</Application>
  <DocSecurity>0</DocSecurity>
  <Lines>0</Lines>
  <Paragraphs>43</Paragraphs>
  <ScaleCrop>false</ScaleCrop>
  <Company/>
  <LinksUpToDate>false</LinksUpToDate>
  <CharactersWithSpaces>5095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2026-03-26T23:06:19Z</dcterms:created>
  <dcterms:modified xsi:type="dcterms:W3CDTF">2026-03-26T23:06:22Z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/main/tmp/05144fd544ba4bbc89e5f12dcf8f8d2c.json</vt:lpwstr>
  </property>
  <property fmtid="{D5CDD505-2E9C-101B-9397-08002B2CF9AE}" pid="3" name="csl">
    <vt:lpwstr>functions/legal_research/documents/brief/pandoc/bluebook-inline-toa.csl</vt:lpwstr>
  </property>
  <property fmtid="{D5CDD505-2E9C-101B-9397-08002B2CF9AE}" pid="4" name="references">
    <vt:lpwstr/>
  </property>
  <property fmtid="{D5CDD505-2E9C-101B-9397-08002B2CF9AE}" pid="5" name="used_categories">
    <vt:lpwstr>1,2</vt:lpwstr>
  </property>
</Properties>
</file>