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3.0 -->
  <w:body>
    <w:p>
      <w:pPr>
        <w:pStyle w:val="centeredstyle"/>
      </w:pPr>
      <w:r>
        <w:rPr>
          <w:b/>
          <w:bCs/>
        </w:rPr>
        <w:t>LEGAL ADVISORY AND DISCLAIMER</w:t>
      </w:r>
    </w:p>
    <w:p>
      <w:pPr>
        <w:pStyle w:val="disclaimerstyle"/>
        <w:numPr>
          <w:ilvl w:val="0"/>
          <w:numId w:val="11"/>
        </w:numPr>
      </w:pPr>
      <w:r>
        <w:rPr>
          <w:b/>
          <w:bCs/>
        </w:rPr>
        <w:t>Preliminary Draft</w:t>
      </w:r>
      <w:r>
        <w:t>: This legal brief is a research and drafting tool, not a final work product. It is not ready for filing and must not be submitted to any court in its current form.</w:t>
      </w:r>
    </w:p>
    <w:p>
      <w:pPr>
        <w:pStyle w:val="disclaimerstyle"/>
        <w:numPr>
          <w:ilvl w:val="0"/>
          <w:numId w:val="9"/>
        </w:numPr>
      </w:pPr>
      <w:r>
        <w:rPr>
          <w:b/>
          <w:bCs/>
        </w:rPr>
        <w:t>Duty to Review</w:t>
      </w:r>
      <w:r>
        <w:t>: You must independently verify all factual allegations and legal theories. It is your responsibility to supplement and revise this legal brief to ensure accuracy and viability.</w:t>
      </w:r>
    </w:p>
    <w:p>
      <w:pPr>
        <w:pStyle w:val="disclaimerstyle"/>
        <w:numPr>
          <w:ilvl w:val="0"/>
          <w:numId w:val="9"/>
        </w:numPr>
      </w:pPr>
      <w:r>
        <w:rPr>
          <w:b/>
          <w:bCs/>
        </w:rPr>
        <w:t>Local Rules</w:t>
      </w:r>
      <w:r>
        <w:t>: You are responsible for ensuring compliance with all local rules, standing orders, and venue-specific formatting (e.g., margins, line numbering, and signature blocks).</w:t>
      </w:r>
    </w:p>
    <w:p>
      <w:pPr>
        <w:pStyle w:val="disclaimerstyle"/>
        <w:numPr>
          <w:ilvl w:val="0"/>
          <w:numId w:val="9"/>
        </w:numPr>
      </w:pPr>
      <w:r>
        <w:rPr>
          <w:b/>
          <w:bCs/>
        </w:rPr>
        <w:t>Citations</w:t>
      </w:r>
      <w:r>
        <w:t>: All legal citations must be verified for accuracy, currency, and Bluebook compliance. Formatting signals and cross-references are not yet finalized.</w:t>
      </w:r>
    </w:p>
    <w:p>
      <w:pPr>
        <w:pStyle w:val="disclaimerstyle"/>
        <w:numPr>
          <w:ilvl w:val="0"/>
          <w:numId w:val="9"/>
        </w:numPr>
      </w:pPr>
      <w:r>
        <w:rPr>
          <w:b/>
          <w:bCs/>
        </w:rPr>
        <w:t>Professional Responsibility</w:t>
      </w:r>
      <w:r>
        <w:t>: The signing attorney bears sole responsibility for the legal sufficiency and ethical compliance of the final filing.</w:t>
      </w:r>
    </w:p>
    <w:p>
      <w:r>
        <w:br w:type="page"/>
      </w:r>
    </w:p>
    <w:tbl>
      <w:tblPr>
        <w:tblW w:w="5000" w:type="pct"/>
        <w:jc w:val="left"/>
        <w:tblInd w:w="0" w:type="dxa"/>
        <w:tblLayout w:type="fixed"/>
        <w:tblCellMar>
          <w:top w:w="0" w:type="dxa"/>
          <w:left w:w="108" w:type="dxa"/>
          <w:bottom w:w="0" w:type="dxa"/>
          <w:right w:w="108" w:type="dxa"/>
        </w:tblCellMar>
      </w:tblPr>
      <w:tblGrid>
        <w:gridCol w:w="9360"/>
      </w:tblGrid>
      <w:tr>
        <w:tblPrEx>
          <w:tblW w:w="5000" w:type="pct"/>
          <w:tblInd w:w="0" w:type="dxa"/>
          <w:tblLayout w:type="fixed"/>
        </w:tblPrEx>
        <w:tc>
          <w:tcPr>
            <w:tcW w:w="9360" w:type="dxa"/>
          </w:tcPr>
          <w:p>
            <w:pPr>
              <w:pageBreakBefore/>
              <w:widowControl w:val="0"/>
              <w:spacing w:before="0" w:after="0" w:line="240" w:lineRule="auto"/>
              <w:ind w:left="0" w:firstLine="0"/>
            </w:pPr>
            <w:r>
              <w:t>[ATTORNEY NAME]</w:t>
            </w:r>
          </w:p>
          <w:p>
            <w:pPr>
              <w:widowControl w:val="0"/>
              <w:spacing w:before="0" w:after="0" w:line="240" w:lineRule="auto"/>
              <w:ind w:left="0" w:firstLine="0"/>
            </w:pPr>
            <w:r>
              <w:t>[FIRM_NAME]</w:t>
            </w:r>
          </w:p>
          <w:p>
            <w:pPr>
              <w:widowControl w:val="0"/>
              <w:spacing w:before="0" w:after="0" w:line="240" w:lineRule="auto"/>
              <w:ind w:left="0" w:firstLine="0"/>
            </w:pPr>
            <w:r>
              <w:t>[ADDRESS]</w:t>
            </w:r>
          </w:p>
          <w:p>
            <w:pPr>
              <w:widowControl w:val="0"/>
              <w:spacing w:before="0" w:after="0" w:line="240" w:lineRule="auto"/>
              <w:ind w:left="0" w:firstLine="0"/>
            </w:pPr>
            <w:r>
              <w:t>[PHONE]</w:t>
            </w:r>
          </w:p>
          <w:p>
            <w:pPr>
              <w:widowControl w:val="0"/>
              <w:spacing w:before="0" w:after="0" w:line="240" w:lineRule="auto"/>
              <w:ind w:left="0" w:firstLine="0"/>
            </w:pPr>
            <w:r>
              <w:t>[FAX]</w:t>
            </w:r>
          </w:p>
          <w:p>
            <w:pPr>
              <w:widowControl w:val="0"/>
              <w:spacing w:before="0" w:after="0" w:line="240" w:lineRule="auto"/>
              <w:ind w:left="0" w:firstLine="0"/>
            </w:pPr>
            <w:r>
              <w:t>Attorney for Defendant</w:t>
            </w:r>
          </w:p>
          <w:p>
            <w:pPr>
              <w:widowControl w:val="0"/>
              <w:spacing w:before="0" w:after="240" w:line="240" w:lineRule="auto"/>
              <w:ind w:left="0" w:firstLine="0"/>
            </w:pPr>
            <w:r>
              <w:t>DEFENDANT JANE SMITH</w:t>
            </w:r>
          </w:p>
        </w:tc>
      </w:tr>
    </w:tbl>
    <w:p>
      <w:pPr>
        <w:spacing w:before="240" w:after="240"/>
        <w:ind w:left="0" w:firstLine="720"/>
        <w:jc w:val="center"/>
      </w:pPr>
      <w:r>
        <w:rPr>
          <w:b/>
        </w:rPr>
        <w:t>CALIFORNIA STATE TRIAL COURT</w:t>
      </w: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Borders>
              <w:bottom w:val="single" w:sz="4" w:space="0" w:color="000000"/>
              <w:right w:val="single" w:sz="4" w:space="0" w:color="000000"/>
            </w:tcBorders>
          </w:tcPr>
          <w:p>
            <w:pPr>
              <w:widowControl w:val="0"/>
              <w:spacing w:before="240" w:after="0"/>
              <w:ind w:left="40" w:firstLine="0"/>
            </w:pPr>
            <w:r>
              <w:t>GLOBAL MEDIA, INC.,</w:t>
            </w:r>
          </w:p>
          <w:p>
            <w:pPr>
              <w:widowControl w:val="0"/>
              <w:spacing w:before="240" w:after="0"/>
              <w:ind w:left="720" w:firstLine="0"/>
            </w:pPr>
            <w:r>
              <w:t>Plaintiff,</w:t>
            </w:r>
          </w:p>
          <w:p>
            <w:pPr>
              <w:widowControl w:val="0"/>
              <w:spacing w:before="240" w:after="0"/>
              <w:ind w:left="40" w:firstLine="0"/>
            </w:pPr>
            <w:r>
              <w:t>v.</w:t>
            </w:r>
          </w:p>
          <w:p>
            <w:pPr>
              <w:widowControl w:val="0"/>
              <w:spacing w:before="240" w:after="0"/>
              <w:ind w:left="40" w:firstLine="0"/>
            </w:pPr>
            <w:r>
              <w:t>JANE SMITH,</w:t>
            </w:r>
          </w:p>
          <w:p>
            <w:pPr>
              <w:widowControl w:val="0"/>
              <w:spacing w:before="240" w:after="0"/>
              <w:ind w:left="720" w:firstLine="0"/>
            </w:pPr>
            <w:r>
              <w:t>Defendant.</w:t>
            </w:r>
          </w:p>
        </w:tc>
        <w:tc>
          <w:tcPr>
            <w:tcW w:w="4679" w:type="dxa"/>
            <w:tcBorders>
              <w:left w:val="single" w:sz="4" w:space="0" w:color="000000"/>
            </w:tcBorders>
            <w:tcMar>
              <w:left w:w="100" w:type="dxa"/>
            </w:tcMar>
          </w:tcPr>
          <w:p>
            <w:pPr>
              <w:widowControl w:val="0"/>
              <w:spacing w:before="240" w:after="0"/>
              <w:ind w:left="720" w:hanging="360"/>
            </w:pPr>
            <w:r>
              <w:t>Case No.: [CASE NO.]</w:t>
            </w:r>
          </w:p>
          <w:p>
            <w:pPr>
              <w:widowControl w:val="0"/>
              <w:spacing w:before="240" w:after="240" w:line="240" w:lineRule="auto"/>
              <w:ind w:left="360" w:firstLine="0"/>
            </w:pPr>
            <w:r>
              <w:rPr>
                <w:b/>
                <w:caps/>
              </w:rPr>
              <w:t>LEGAL BRIEF</w:t>
            </w:r>
          </w:p>
          <w:p>
            <w:pPr>
              <w:widowControl w:val="0"/>
              <w:spacing w:before="0" w:after="0" w:line="300" w:lineRule="auto"/>
              <w:ind w:left="360" w:firstLine="0"/>
            </w:pPr>
            <w:r>
              <w:t>Date: [DATE]</w:t>
            </w:r>
          </w:p>
          <w:p>
            <w:pPr>
              <w:widowControl w:val="0"/>
              <w:spacing w:before="0" w:after="0" w:line="300" w:lineRule="auto"/>
              <w:ind w:left="360" w:firstLine="0"/>
            </w:pPr>
            <w:r>
              <w:t>Time: [TIME]</w:t>
            </w:r>
          </w:p>
          <w:p>
            <w:pPr>
              <w:widowControl w:val="0"/>
              <w:spacing w:before="0" w:after="0" w:line="300" w:lineRule="auto"/>
              <w:ind w:left="360" w:firstLine="0"/>
            </w:pPr>
            <w:r>
              <w:t>Dept: [DEPT]</w:t>
            </w:r>
          </w:p>
          <w:p>
            <w:pPr>
              <w:widowControl w:val="0"/>
              <w:spacing w:before="0" w:after="0" w:line="300" w:lineRule="auto"/>
              <w:ind w:left="360" w:firstLine="0"/>
            </w:pPr>
            <w:r>
              <w:t>Judge: [JUDGE]</w:t>
            </w:r>
          </w:p>
          <w:p>
            <w:pPr>
              <w:widowControl w:val="0"/>
              <w:spacing w:before="0" w:after="0" w:line="300" w:lineRule="auto"/>
              <w:ind w:left="360" w:firstLine="0"/>
            </w:pPr>
            <w:r>
              <w:t>Reservation No.: [RESERVATION NO.]</w:t>
            </w:r>
          </w:p>
          <w:p>
            <w:pPr>
              <w:widowControl w:val="0"/>
              <w:spacing w:before="0" w:after="0" w:line="300" w:lineRule="auto"/>
              <w:ind w:left="360" w:firstLine="0"/>
            </w:pPr>
            <w:r>
              <w:t>Date Filed: [DATE FILED]</w:t>
            </w:r>
          </w:p>
        </w:tc>
      </w:tr>
    </w:tbl>
    <w:p>
      <w:pPr>
        <w:spacing w:before="240" w:after="240"/>
      </w:pPr>
    </w:p>
    <w:p/>
    <w:sdt>
      <w:sdtPr>
        <w:id w:val="2125458454"/>
        <w:docPartObj>
          <w:docPartGallery w:val="Table of Contents"/>
          <w:docPartUnique/>
        </w:docPartObj>
      </w:sdtPr>
      <w:sdtContent>
        <w:p>
          <w:pPr>
            <w:pStyle w:val="TOCHeading"/>
          </w:pPr>
          <w:r>
            <w:br w:type="page"/>
          </w:r>
          <w:r>
            <w:t>Table of Contents</w:t>
          </w:r>
        </w:p>
        <w:p>
          <w:pPr>
            <w:pStyle w:val="TOC1"/>
            <w:rPr>
              <w:rFonts w:asciiTheme="minorHAnsi" w:hAnsiTheme="minorHAnsi"/>
              <w:noProof/>
              <w:sz w:val="22"/>
            </w:rPr>
          </w:pPr>
          <w:r>
            <w:fldChar w:fldCharType="begin"/>
          </w:r>
          <w:r>
            <w:rPr>
              <w:rStyle w:val="IndexLink"/>
              <w:webHidden/>
            </w:rPr>
            <w:instrText xml:space="preserve"> TOC \z \o "1-3" \u \h</w:instrText>
          </w:r>
          <w:r>
            <w:rPr>
              <w:rStyle w:val="IndexLink"/>
              <w:webHidden/>
            </w:rPr>
            <w:fldChar w:fldCharType="separate"/>
          </w:r>
          <w:hyperlink w:anchor="_Toc256000000" w:history="1">
            <w:r>
              <w:rPr>
                <w:rStyle w:val="Hyperlink"/>
              </w:rPr>
              <w:t>Table of Authorities</w:t>
            </w:r>
            <w:r>
              <w:tab/>
            </w:r>
            <w:r>
              <w:fldChar w:fldCharType="begin"/>
            </w:r>
            <w:r>
              <w:instrText xml:space="preserve"> PAGEREF _Toc256000000 \h </w:instrText>
            </w:r>
            <w:r>
              <w:fldChar w:fldCharType="separate"/>
            </w:r>
            <w:r>
              <w:t>4</w:t>
            </w:r>
            <w:r>
              <w:fldChar w:fldCharType="end"/>
            </w:r>
          </w:hyperlink>
        </w:p>
        <w:p>
          <w:pPr>
            <w:pStyle w:val="TOC1"/>
            <w:rPr>
              <w:rFonts w:asciiTheme="minorHAnsi" w:hAnsiTheme="minorHAnsi"/>
              <w:noProof/>
              <w:sz w:val="22"/>
            </w:rPr>
          </w:pPr>
          <w:hyperlink w:anchor="_Toc256000001" w:history="1">
            <w:r>
              <w:rPr>
                <w:rStyle w:val="Hyperlink"/>
              </w:rPr>
              <w:t>Introduction</w:t>
            </w:r>
            <w:r>
              <w:tab/>
            </w:r>
            <w:r>
              <w:fldChar w:fldCharType="begin"/>
            </w:r>
            <w:r>
              <w:instrText xml:space="preserve"> PAGEREF _Toc256000001 \h </w:instrText>
            </w:r>
            <w:r>
              <w:fldChar w:fldCharType="separate"/>
            </w:r>
            <w:r>
              <w:t>5</w:t>
            </w:r>
            <w:r>
              <w:fldChar w:fldCharType="end"/>
            </w:r>
          </w:hyperlink>
        </w:p>
        <w:p>
          <w:pPr>
            <w:pStyle w:val="TOC1"/>
            <w:rPr>
              <w:rFonts w:asciiTheme="minorHAnsi" w:hAnsiTheme="minorHAnsi"/>
              <w:noProof/>
              <w:sz w:val="22"/>
            </w:rPr>
          </w:pPr>
          <w:hyperlink w:anchor="_Toc256000002" w:history="1">
            <w:r>
              <w:rPr>
                <w:rStyle w:val="Hyperlink"/>
              </w:rPr>
              <w:t>Statement of Jurisdiction</w:t>
            </w:r>
            <w:r>
              <w:tab/>
            </w:r>
            <w:r>
              <w:fldChar w:fldCharType="begin"/>
            </w:r>
            <w:r>
              <w:instrText xml:space="preserve"> PAGEREF _Toc256000002 \h </w:instrText>
            </w:r>
            <w:r>
              <w:fldChar w:fldCharType="separate"/>
            </w:r>
            <w:r>
              <w:t>7</w:t>
            </w:r>
            <w:r>
              <w:fldChar w:fldCharType="end"/>
            </w:r>
          </w:hyperlink>
        </w:p>
        <w:p>
          <w:pPr>
            <w:pStyle w:val="TOC1"/>
            <w:rPr>
              <w:rFonts w:asciiTheme="minorHAnsi" w:hAnsiTheme="minorHAnsi"/>
              <w:noProof/>
              <w:sz w:val="22"/>
            </w:rPr>
          </w:pPr>
          <w:hyperlink w:anchor="_Toc256000003" w:history="1">
            <w:r>
              <w:rPr>
                <w:rStyle w:val="Hyperlink"/>
              </w:rPr>
              <w:t>Statement of Issues</w:t>
            </w:r>
            <w:r>
              <w:tab/>
            </w:r>
            <w:r>
              <w:fldChar w:fldCharType="begin"/>
            </w:r>
            <w:r>
              <w:instrText xml:space="preserve"> PAGEREF _Toc256000003 \h </w:instrText>
            </w:r>
            <w:r>
              <w:fldChar w:fldCharType="separate"/>
            </w:r>
            <w:r>
              <w:t>9</w:t>
            </w:r>
            <w:r>
              <w:fldChar w:fldCharType="end"/>
            </w:r>
          </w:hyperlink>
        </w:p>
        <w:p>
          <w:pPr>
            <w:pStyle w:val="TOC1"/>
            <w:rPr>
              <w:rFonts w:asciiTheme="minorHAnsi" w:hAnsiTheme="minorHAnsi"/>
              <w:noProof/>
              <w:sz w:val="22"/>
            </w:rPr>
          </w:pPr>
          <w:hyperlink w:anchor="_Toc256000004" w:history="1">
            <w:r>
              <w:rPr>
                <w:rStyle w:val="Hyperlink"/>
              </w:rPr>
              <w:t>Statement of the Case</w:t>
            </w:r>
            <w:r>
              <w:tab/>
            </w:r>
            <w:r>
              <w:fldChar w:fldCharType="begin"/>
            </w:r>
            <w:r>
              <w:instrText xml:space="preserve"> PAGEREF _Toc256000004 \h </w:instrText>
            </w:r>
            <w:r>
              <w:fldChar w:fldCharType="separate"/>
            </w:r>
            <w:r>
              <w:t>10</w:t>
            </w:r>
            <w:r>
              <w:fldChar w:fldCharType="end"/>
            </w:r>
          </w:hyperlink>
        </w:p>
        <w:p>
          <w:pPr>
            <w:pStyle w:val="TOC1"/>
            <w:rPr>
              <w:rFonts w:asciiTheme="minorHAnsi" w:hAnsiTheme="minorHAnsi"/>
              <w:noProof/>
              <w:sz w:val="22"/>
            </w:rPr>
          </w:pPr>
          <w:hyperlink w:anchor="_Toc256000005" w:history="1">
            <w:r>
              <w:rPr>
                <w:rStyle w:val="Hyperlink"/>
              </w:rPr>
              <w:t>Statement of the Facts</w:t>
            </w:r>
            <w:r>
              <w:tab/>
            </w:r>
            <w:r>
              <w:fldChar w:fldCharType="begin"/>
            </w:r>
            <w:r>
              <w:instrText xml:space="preserve"> PAGEREF _Toc256000005 \h </w:instrText>
            </w:r>
            <w:r>
              <w:fldChar w:fldCharType="separate"/>
            </w:r>
            <w:r>
              <w:t>11</w:t>
            </w:r>
            <w:r>
              <w:fldChar w:fldCharType="end"/>
            </w:r>
          </w:hyperlink>
        </w:p>
        <w:p>
          <w:pPr>
            <w:pStyle w:val="TOC1"/>
            <w:rPr>
              <w:rFonts w:asciiTheme="minorHAnsi" w:hAnsiTheme="minorHAnsi"/>
              <w:noProof/>
              <w:sz w:val="22"/>
            </w:rPr>
          </w:pPr>
          <w:hyperlink w:anchor="_Toc256000006" w:history="1">
            <w:r>
              <w:rPr>
                <w:rStyle w:val="Hyperlink"/>
              </w:rPr>
              <w:t>Argument</w:t>
            </w:r>
            <w:r>
              <w:tab/>
            </w:r>
            <w:r>
              <w:fldChar w:fldCharType="begin"/>
            </w:r>
            <w:r>
              <w:instrText xml:space="preserve"> PAGEREF _Toc256000006 \h </w:instrText>
            </w:r>
            <w:r>
              <w:fldChar w:fldCharType="separate"/>
            </w:r>
            <w:r>
              <w:t>13</w:t>
            </w:r>
            <w:r>
              <w:fldChar w:fldCharType="end"/>
            </w:r>
          </w:hyperlink>
        </w:p>
        <w:p>
          <w:pPr>
            <w:pStyle w:val="TOC2"/>
            <w:rPr>
              <w:rFonts w:asciiTheme="minorHAnsi" w:hAnsiTheme="minorHAnsi"/>
              <w:noProof/>
              <w:sz w:val="22"/>
            </w:rPr>
          </w:pPr>
          <w:hyperlink w:anchor="_Toc256000007" w:history="1">
            <w:r>
              <w:rPr>
                <w:rStyle w:val="Hyperlink"/>
              </w:rPr>
              <w:t>I.</w:t>
            </w:r>
            <w:r>
              <w:rPr>
                <w:rFonts w:asciiTheme="minorHAnsi" w:hAnsiTheme="minorHAnsi"/>
                <w:noProof/>
                <w:sz w:val="22"/>
              </w:rPr>
              <w:tab/>
            </w:r>
            <w:r>
              <w:rPr>
                <w:rStyle w:val="Hyperlink"/>
              </w:rPr>
              <w:t>Ms. Smith’s blog post is fair use criticism notwithstanding verbatim quotation of the article’s heart.</w:t>
            </w:r>
            <w:r>
              <w:tab/>
            </w:r>
            <w:r>
              <w:fldChar w:fldCharType="begin"/>
            </w:r>
            <w:r>
              <w:instrText xml:space="preserve"> PAGEREF _Toc256000007 \h </w:instrText>
            </w:r>
            <w:r>
              <w:fldChar w:fldCharType="separate"/>
            </w:r>
            <w:r>
              <w:t>13</w:t>
            </w:r>
            <w:r>
              <w:fldChar w:fldCharType="end"/>
            </w:r>
          </w:hyperlink>
        </w:p>
        <w:p>
          <w:pPr>
            <w:pStyle w:val="TOC2"/>
            <w:rPr>
              <w:rFonts w:asciiTheme="minorHAnsi" w:hAnsiTheme="minorHAnsi"/>
              <w:noProof/>
              <w:sz w:val="22"/>
            </w:rPr>
          </w:pPr>
          <w:hyperlink w:anchor="_Toc256000008" w:history="1">
            <w:r>
              <w:rPr>
                <w:rStyle w:val="Hyperlink"/>
              </w:rPr>
              <w:t>II.</w:t>
            </w:r>
            <w:r>
              <w:rPr>
                <w:rFonts w:asciiTheme="minorHAnsi" w:hAnsiTheme="minorHAnsi"/>
                <w:noProof/>
                <w:sz w:val="22"/>
              </w:rPr>
              <w:tab/>
            </w:r>
            <w:r>
              <w:rPr>
                <w:rStyle w:val="Hyperlink"/>
              </w:rPr>
              <w:t>Global Media cannot prove § 504(b) damages or profits tied to the single Blog Post</w:t>
            </w:r>
            <w:r>
              <w:tab/>
            </w:r>
            <w:r>
              <w:fldChar w:fldCharType="begin"/>
            </w:r>
            <w:r>
              <w:instrText xml:space="preserve"> PAGEREF _Toc256000008 \h </w:instrText>
            </w:r>
            <w:r>
              <w:fldChar w:fldCharType="separate"/>
            </w:r>
            <w:r>
              <w:t>17</w:t>
            </w:r>
            <w:r>
              <w:fldChar w:fldCharType="end"/>
            </w:r>
          </w:hyperlink>
        </w:p>
        <w:p>
          <w:pPr>
            <w:pStyle w:val="TOC2"/>
            <w:rPr>
              <w:rFonts w:asciiTheme="minorHAnsi" w:hAnsiTheme="minorHAnsi"/>
              <w:noProof/>
              <w:sz w:val="22"/>
            </w:rPr>
          </w:pPr>
          <w:hyperlink w:anchor="_Toc256000009" w:history="1">
            <w:r>
              <w:rPr>
                <w:rStyle w:val="Hyperlink"/>
              </w:rPr>
              <w:t>III.</w:t>
            </w:r>
            <w:r>
              <w:rPr>
                <w:rFonts w:asciiTheme="minorHAnsi" w:hAnsiTheme="minorHAnsi"/>
                <w:noProof/>
                <w:sz w:val="22"/>
              </w:rPr>
              <w:tab/>
            </w:r>
            <w:r>
              <w:rPr>
                <w:rStyle w:val="Hyperlink"/>
              </w:rPr>
              <w:t>Global Media lacks UCL standing because it shows no lost money or property.</w:t>
            </w:r>
            <w:r>
              <w:tab/>
            </w:r>
            <w:r>
              <w:fldChar w:fldCharType="begin"/>
            </w:r>
            <w:r>
              <w:instrText xml:space="preserve"> PAGEREF _Toc256000009 \h </w:instrText>
            </w:r>
            <w:r>
              <w:fldChar w:fldCharType="separate"/>
            </w:r>
            <w:r>
              <w:t>20</w:t>
            </w:r>
            <w:r>
              <w:fldChar w:fldCharType="end"/>
            </w:r>
          </w:hyperlink>
        </w:p>
        <w:p>
          <w:pPr>
            <w:pStyle w:val="TOC2"/>
            <w:rPr>
              <w:rFonts w:asciiTheme="minorHAnsi" w:hAnsiTheme="minorHAnsi"/>
              <w:noProof/>
              <w:sz w:val="22"/>
            </w:rPr>
          </w:pPr>
          <w:hyperlink w:anchor="_Toc256000010" w:history="1">
            <w:r>
              <w:rPr>
                <w:rStyle w:val="Hyperlink"/>
              </w:rPr>
              <w:t>IV.</w:t>
            </w:r>
            <w:r>
              <w:rPr>
                <w:rFonts w:asciiTheme="minorHAnsi" w:hAnsiTheme="minorHAnsi"/>
                <w:noProof/>
                <w:sz w:val="22"/>
              </w:rPr>
              <w:tab/>
            </w:r>
            <w:r>
              <w:rPr>
                <w:rStyle w:val="Hyperlink"/>
              </w:rPr>
              <w:t>Ms. Smith’s single Blog Post is not a “business act or practice” under § 17200</w:t>
            </w:r>
            <w:r>
              <w:tab/>
            </w:r>
            <w:r>
              <w:fldChar w:fldCharType="begin"/>
            </w:r>
            <w:r>
              <w:instrText xml:space="preserve"> PAGEREF _Toc256000010 \h </w:instrText>
            </w:r>
            <w:r>
              <w:fldChar w:fldCharType="separate"/>
            </w:r>
            <w:r>
              <w:t>23</w:t>
            </w:r>
            <w:r>
              <w:fldChar w:fldCharType="end"/>
            </w:r>
          </w:hyperlink>
        </w:p>
        <w:p>
          <w:pPr>
            <w:pStyle w:val="TOC2"/>
            <w:rPr>
              <w:rFonts w:asciiTheme="minorHAnsi" w:hAnsiTheme="minorHAnsi"/>
              <w:noProof/>
              <w:sz w:val="22"/>
            </w:rPr>
          </w:pPr>
          <w:hyperlink w:anchor="_Toc256000011" w:history="1">
            <w:r>
              <w:rPr>
                <w:rStyle w:val="Hyperlink"/>
              </w:rPr>
              <w:t>V.</w:t>
            </w:r>
            <w:r>
              <w:rPr>
                <w:rFonts w:asciiTheme="minorHAnsi" w:hAnsiTheme="minorHAnsi"/>
                <w:noProof/>
                <w:sz w:val="22"/>
              </w:rPr>
              <w:tab/>
            </w:r>
            <w:r>
              <w:rPr>
                <w:rStyle w:val="Hyperlink"/>
              </w:rPr>
              <w:t>The Blog Post is nonactionable because it lacks any false factual statement</w:t>
            </w:r>
            <w:r>
              <w:tab/>
            </w:r>
            <w:r>
              <w:fldChar w:fldCharType="begin"/>
            </w:r>
            <w:r>
              <w:instrText xml:space="preserve"> PAGEREF _Toc256000011 \h </w:instrText>
            </w:r>
            <w:r>
              <w:fldChar w:fldCharType="separate"/>
            </w:r>
            <w:r>
              <w:t>26</w:t>
            </w:r>
            <w:r>
              <w:fldChar w:fldCharType="end"/>
            </w:r>
          </w:hyperlink>
        </w:p>
        <w:p>
          <w:pPr>
            <w:pStyle w:val="TOC2"/>
            <w:rPr>
              <w:rFonts w:asciiTheme="minorHAnsi" w:hAnsiTheme="minorHAnsi"/>
              <w:noProof/>
              <w:sz w:val="22"/>
            </w:rPr>
          </w:pPr>
          <w:hyperlink w:anchor="_Toc256000012" w:history="1">
            <w:r>
              <w:rPr>
                <w:rStyle w:val="Hyperlink"/>
              </w:rPr>
              <w:t>VI.</w:t>
            </w:r>
            <w:r>
              <w:rPr>
                <w:rFonts w:asciiTheme="minorHAnsi" w:hAnsiTheme="minorHAnsi"/>
                <w:noProof/>
                <w:sz w:val="22"/>
              </w:rPr>
              <w:tab/>
            </w:r>
            <w:r>
              <w:rPr>
                <w:rStyle w:val="Hyperlink"/>
              </w:rPr>
              <w:t>Section 45a requires special damages because the Blog Post is not libel on its face</w:t>
            </w:r>
            <w:r>
              <w:tab/>
            </w:r>
            <w:r>
              <w:fldChar w:fldCharType="begin"/>
            </w:r>
            <w:r>
              <w:instrText xml:space="preserve"> PAGEREF _Toc256000012 \h </w:instrText>
            </w:r>
            <w:r>
              <w:fldChar w:fldCharType="separate"/>
            </w:r>
            <w:r>
              <w:t>28</w:t>
            </w:r>
            <w:r>
              <w:fldChar w:fldCharType="end"/>
            </w:r>
          </w:hyperlink>
        </w:p>
        <w:p>
          <w:pPr>
            <w:pStyle w:val="TOC1"/>
            <w:rPr>
              <w:rFonts w:asciiTheme="minorHAnsi" w:hAnsiTheme="minorHAnsi"/>
              <w:noProof/>
              <w:sz w:val="22"/>
            </w:rPr>
          </w:pPr>
          <w:hyperlink w:anchor="_Toc256000013" w:history="1">
            <w:r>
              <w:rPr>
                <w:rStyle w:val="Hyperlink"/>
              </w:rPr>
              <w:t>Conclusion</w:t>
            </w:r>
            <w:r>
              <w:tab/>
            </w:r>
            <w:r>
              <w:fldChar w:fldCharType="begin"/>
            </w:r>
            <w:r>
              <w:instrText xml:space="preserve"> PAGEREF _Toc256000013 \h </w:instrText>
            </w:r>
            <w:r>
              <w:fldChar w:fldCharType="separate"/>
            </w:r>
            <w:r>
              <w:t>32</w:t>
            </w:r>
            <w:r>
              <w:fldChar w:fldCharType="end"/>
            </w:r>
          </w:hyperlink>
        </w:p>
        <w:p>
          <w:pPr>
            <w:pStyle w:val="TOC1"/>
            <w:rPr>
              <w:rFonts w:asciiTheme="minorHAnsi" w:hAnsiTheme="minorHAnsi"/>
              <w:noProof/>
              <w:sz w:val="22"/>
            </w:rPr>
          </w:pPr>
          <w:hyperlink w:anchor="_Toc256000014" w:history="1">
            <w:r>
              <w:rPr>
                <w:rStyle w:val="Hyperlink"/>
              </w:rPr>
              <w:t>Certificate of Compliance</w:t>
            </w:r>
            <w:r>
              <w:tab/>
            </w:r>
            <w:r>
              <w:fldChar w:fldCharType="begin"/>
            </w:r>
            <w:r>
              <w:instrText xml:space="preserve"> PAGEREF _Toc256000014 \h </w:instrText>
            </w:r>
            <w:r>
              <w:fldChar w:fldCharType="separate"/>
            </w:r>
            <w:r>
              <w:t>33</w:t>
            </w:r>
            <w:r>
              <w:fldChar w:fldCharType="end"/>
            </w:r>
          </w:hyperlink>
        </w:p>
        <w:p>
          <w:pPr>
            <w:pStyle w:val="TOC1"/>
            <w:rPr>
              <w:rFonts w:asciiTheme="minorHAnsi" w:hAnsiTheme="minorHAnsi"/>
              <w:noProof/>
              <w:sz w:val="22"/>
            </w:rPr>
          </w:pPr>
          <w:hyperlink w:anchor="_Toc256000015" w:history="1">
            <w:r>
              <w:rPr>
                <w:rStyle w:val="Hyperlink"/>
              </w:rPr>
              <w:t>Certificate of Service</w:t>
            </w:r>
            <w:r>
              <w:tab/>
            </w:r>
            <w:r>
              <w:fldChar w:fldCharType="begin"/>
            </w:r>
            <w:r>
              <w:instrText xml:space="preserve"> PAGEREF _Toc256000015 \h </w:instrText>
            </w:r>
            <w:r>
              <w:fldChar w:fldCharType="separate"/>
            </w:r>
            <w:r>
              <w:t>34</w:t>
            </w:r>
            <w:r>
              <w:fldChar w:fldCharType="end"/>
            </w:r>
          </w:hyperlink>
        </w:p>
        <w:p>
          <w:pPr>
            <w:pStyle w:val="TOC1"/>
            <w:tabs>
              <w:tab w:val="clear" w:pos="9350"/>
              <w:tab w:val="right" w:leader="dot" w:pos="9360"/>
            </w:tabs>
          </w:pPr>
          <w:r>
            <w:rPr>
              <w:rStyle w:val="IndexLink"/>
            </w:rPr>
            <w:fldChar w:fldCharType="end"/>
          </w:r>
        </w:p>
      </w:sdtContent>
    </w:sdt>
    <w:p>
      <w:r>
        <w:br w:type="page"/>
      </w:r>
    </w:p>
    <w:p>
      <w:pPr>
        <w:pStyle w:val="Heading1"/>
      </w:pPr>
      <w:bookmarkStart w:id="0" w:name="_Toc256000000"/>
      <w:r>
        <w:t>Table of Authorities</w:t>
      </w:r>
      <w:bookmarkEnd w:id="0"/>
    </w:p>
    <w:sdt>
      <w:sdtPr>
        <w:id w:val="1782480880"/>
        <w:docPartObj>
          <w:docPartGallery w:val="Table of Authorities"/>
          <w:docPartUnique/>
        </w:docPartObj>
      </w:sdtPr>
      <w:sdtContent>
        <w:p>
          <w:pPr>
            <w:pStyle w:val="TOAHeading"/>
            <w:tabs>
              <w:tab w:val="right" w:leader="dot" w:pos="9350"/>
            </w:tabs>
          </w:pPr>
          <w:r>
            <w:fldChar w:fldCharType="begin"/>
          </w:r>
          <w:r>
            <w:instrText>TOA \h \c "1" \f</w:instrText>
          </w:r>
          <w:r>
            <w:fldChar w:fldCharType="separate"/>
          </w:r>
          <w:r>
            <w:t>Cases</w:t>
          </w:r>
        </w:p>
        <w:p>
          <w:pPr>
            <w:pStyle w:val="TableofAuthorities"/>
          </w:pPr>
          <w:r>
            <w:t>Campbell v. Acuff-Rose Music, Inc.,     510 U.S. 569 (1994)</w:t>
          </w:r>
          <w:r>
            <w:tab/>
          </w:r>
          <w:r>
            <w:t>13, 14, 15, 16, 17, 23</w:t>
          </w:r>
        </w:p>
        <w:p>
          <w:pPr>
            <w:pStyle w:val="TableofAuthorities"/>
          </w:pPr>
          <w:r>
            <w:t>Harper &amp; Row, Publishers, Inc. v. Nation Enterprises, 85 L. Ed. 2d 588 (1985)</w:t>
          </w:r>
          <w:r>
            <w:tab/>
          </w:r>
          <w:r>
            <w:t>14, 15, 16, 17</w:t>
          </w:r>
        </w:p>
        <w:p>
          <w:pPr>
            <w:pStyle w:val="TableofAuthorities"/>
          </w:pPr>
          <w:r>
            <w:t>Kasky v. Nike, Inc.,     27 Cal. 4th 939 (2002)</w:t>
          </w:r>
          <w:r>
            <w:tab/>
          </w:r>
          <w:r>
            <w:t>23, 25</w:t>
          </w:r>
        </w:p>
        <w:p>
          <w:pPr>
            <w:pStyle w:val="TableofAuthorities"/>
          </w:pPr>
          <w:r>
            <w:t>Korea Supply Co. v. Lockheed Martin Corp.,     29 Cal. 4th 1134 (2003)</w:t>
          </w:r>
          <w:r>
            <w:tab/>
          </w:r>
          <w:r>
            <w:t>20, 21, 22</w:t>
          </w:r>
        </w:p>
        <w:p>
          <w:pPr>
            <w:pStyle w:val="TableofAuthorities"/>
          </w:pPr>
          <w:r>
            <w:t>Los Angeles News Service v. Reuters Television International, Ltd.,     149 F.3d 987 (9th Cir. 1998)</w:t>
          </w:r>
          <w:r>
            <w:tab/>
          </w:r>
          <w:r>
            <w:t>15</w:t>
          </w:r>
        </w:p>
        <w:p>
          <w:pPr>
            <w:pStyle w:val="TableofAuthorities"/>
          </w:pPr>
          <w:r>
            <w:t>Worldwide Church of God v. Philadelphia Church of God, Inc.,     227 F.3d 1110 (9th Cir. 2000)</w:t>
          </w:r>
          <w:r>
            <w:tab/>
          </w:r>
          <w:r>
            <w:t>10, 27</w:t>
          </w:r>
        </w:p>
        <w:p>
          <w:r>
            <w:fldChar w:fldCharType="end"/>
          </w:r>
        </w:p>
        <w:p>
          <w:pPr>
            <w:pStyle w:val="TOAHeading"/>
            <w:tabs>
              <w:tab w:val="right" w:leader="dot" w:pos="9350"/>
            </w:tabs>
          </w:pPr>
          <w:r>
            <w:fldChar w:fldCharType="begin"/>
          </w:r>
          <w:r>
            <w:instrText>TOA \h \c "2" \f</w:instrText>
          </w:r>
          <w:r>
            <w:fldChar w:fldCharType="separate"/>
          </w:r>
          <w:r>
            <w:t>Statutes</w:t>
          </w:r>
        </w:p>
        <w:p>
          <w:pPr>
            <w:pStyle w:val="TableofAuthorities"/>
          </w:pPr>
          <w:r>
            <w:t>17 U.S.C. § 106 - Exclusive rights in copyrighted works</w:t>
          </w:r>
          <w:r>
            <w:tab/>
          </w:r>
          <w:r>
            <w:t>13</w:t>
          </w:r>
        </w:p>
        <w:p>
          <w:pPr>
            <w:pStyle w:val="TableofAuthorities"/>
          </w:pPr>
          <w:r>
            <w:t>17 U.S.C. § 501 - Infringement of copyright</w:t>
          </w:r>
          <w:r>
            <w:tab/>
          </w:r>
          <w:r>
            <w:t>13</w:t>
          </w:r>
        </w:p>
        <w:p>
          <w:pPr>
            <w:pStyle w:val="TableofAuthorities"/>
          </w:pPr>
          <w:r>
            <w:t>17 U.S.C. § 504 - Remedies for infringement: Damages and profits</w:t>
          </w:r>
          <w:r>
            <w:tab/>
          </w:r>
          <w:r>
            <w:t>17, 18, 19, 20</w:t>
          </w:r>
        </w:p>
        <w:p>
          <w:pPr>
            <w:pStyle w:val="TableofAuthorities"/>
          </w:pPr>
          <w:r>
            <w:t>Cal. Bus. &amp; Prof. Code § 17200</w:t>
          </w:r>
          <w:r>
            <w:tab/>
          </w:r>
          <w:r>
            <w:t>23, 24, 25, 26</w:t>
          </w:r>
        </w:p>
        <w:p>
          <w:pPr>
            <w:pStyle w:val="TableofAuthorities"/>
          </w:pPr>
          <w:r>
            <w:t>Cal. Bus. &amp; Prof. Code § 17203</w:t>
          </w:r>
          <w:r>
            <w:tab/>
          </w:r>
          <w:r>
            <w:t>22, 25</w:t>
          </w:r>
        </w:p>
        <w:p>
          <w:pPr>
            <w:pStyle w:val="TableofAuthorities"/>
          </w:pPr>
          <w:r>
            <w:t>Cal. Bus. &amp; Prof. Code § 17204</w:t>
          </w:r>
          <w:r>
            <w:tab/>
          </w:r>
          <w:r>
            <w:t>20, 21, 22</w:t>
          </w:r>
        </w:p>
        <w:p>
          <w:pPr>
            <w:pStyle w:val="TableofAuthorities"/>
          </w:pPr>
          <w:r>
            <w:t>Cal. Civ. Code § 44</w:t>
          </w:r>
          <w:r>
            <w:tab/>
          </w:r>
          <w:r>
            <w:t>26, 28, 31</w:t>
          </w:r>
        </w:p>
        <w:p>
          <w:pPr>
            <w:pStyle w:val="TableofAuthorities"/>
          </w:pPr>
          <w:r>
            <w:t>Cal. Civ. Code § 45</w:t>
          </w:r>
          <w:r>
            <w:tab/>
          </w:r>
          <w:r>
            <w:t>26, 27, 28, 29</w:t>
          </w:r>
        </w:p>
        <w:p>
          <w:pPr>
            <w:pStyle w:val="TableofAuthorities"/>
          </w:pPr>
          <w:r>
            <w:t>Cal. Civ. Code § 45a</w:t>
          </w:r>
          <w:r>
            <w:tab/>
          </w:r>
          <w:r>
            <w:t>27, 28, 29, 30, 31</w:t>
          </w:r>
        </w:p>
        <w:p>
          <w:r>
            <w:fldChar w:fldCharType="end"/>
          </w:r>
        </w:p>
      </w:sdtContent>
    </w:sdt>
    <w:p>
      <w:bookmarkStart w:id="1" w:name="table-of-authorities"/>
      <w:bookmarkEnd w:id="1"/>
      <w:r>
        <w:br w:type="page"/>
      </w:r>
    </w:p>
    <w:p>
      <w:pPr>
        <w:pStyle w:val="Heading1"/>
      </w:pPr>
      <w:bookmarkStart w:id="2" w:name="_Toc256000001"/>
      <w:r>
        <w:t>Introduction</w:t>
      </w:r>
      <w:bookmarkEnd w:id="2"/>
    </w:p>
    <w:p>
      <w:pPr>
        <w:pStyle w:val="FirstParagraph"/>
      </w:pPr>
      <w:r>
        <w:t xml:space="preserve">Defendant JANE SMITH (“Ms. Smith”) is a California resident who operates a non-advertised, noncommercial personal blog (the “Blog”). Plaintiff GLOBAL MEDIA (“Global Media”) is a California resident that owns and publishes a magazine for a broad readership, including the magazine article at issue (the “Magazine Article”). This case arises from a single Blog post (the “Blog Post”) in which Ms. Smith quoted what she considered the “heart” of the Magazine Article to identify the precise text she was criticizing, then offered brief—but pointed—commentary. See </w:t>
      </w:r>
      <w:r>
        <w:rPr>
          <w:i/>
          <w:iCs/>
        </w:rPr>
        <w:t>Worldwide Church of God, Inc.</w:t>
      </w:r>
      <w:r>
        <w:t xml:space="preserve"> v. </w:t>
      </w:r>
      <w:r>
        <w:rPr>
          <w:i/>
          <w:iCs/>
        </w:rPr>
        <w:t>Philadelphia Church of God, Inc.</w:t>
      </w:r>
      <w:r>
        <w:t>, 227 F.3d 1110, 1117–19 (9th Cir. 2000).</w:t>
      </w:r>
    </w:p>
    <w:p>
      <w:pPr>
        <w:pStyle w:val="BodyText"/>
      </w:pPr>
      <w:r>
        <w:t>Global Media’s claims attempt to convert criticism into liability. On the copyright claim, the core question is whether Ms. Smith’s limited verbatim quotation, used for the purpose of commentary and critique on a noncommercial blog, is protected fair use under 17 U.S.C. § 107—defeating infringement as a matter of law. Even apart from liability, Global Media cannot recover money damages without proof of non-speculative actual damages “as a result of” the Blog Post or profits “attributable to the infringement,” 17 U.S.C. § 504(b), particularly where the Blog carried no advertising and any alleged “benefit” consists only of voluntary reader contributions untethered to a commercial transaction.</w:t>
      </w:r>
    </w:p>
    <w:p>
      <w:pPr>
        <w:pStyle w:val="BodyText"/>
      </w:pPr>
      <w:r>
        <w:t>Global Media’s state-law theories fail for similar reasons. The Unfair Competition Law claim collapses because Global Media cannot show it “lost money or property” as a result of Ms. Smith’s single, non-advertised post, Cal. Bus. &amp; Prof. Code § 17204, and a one-off act of commentary is not a “business act or practice” under Cal. Bus. &amp; Prof. Code § 17200. The libel claim fails because the Blog Post largely reprints Global Media’s own words and adds only evaluative criticism, not a false, unprivileged statement of fact “of and concerning” Global Media capable of defamatory meaning, Cal. Civ. Code § 45; and, at most, any alleged defamatory “sting” would be libel per quod requiring special damages that Global Media cannot plead or prove, Cal. Civ. Code § 45a.</w:t>
      </w:r>
    </w:p>
    <w:p>
      <w:pPr>
        <w:pStyle w:val="BodyText"/>
      </w:pPr>
      <w:r>
        <w:t>In short, this lawsuit challenges protected speech—quoting for the purpose of critique—and seeks speculative damages based on asserted reputational fallout and attenuated business harms. The Court should reject Global Media’s attempt to impose copyright, UCL, and defamation liability for a noncommercial critical response to a published magazine article.</w:t>
      </w:r>
    </w:p>
    <w:p>
      <w:bookmarkStart w:id="3" w:name="introduction"/>
      <w:bookmarkEnd w:id="3"/>
      <w:r>
        <w:br w:type="page"/>
      </w:r>
    </w:p>
    <w:p>
      <w:pPr>
        <w:pStyle w:val="Heading1"/>
      </w:pPr>
      <w:bookmarkStart w:id="4" w:name="_Toc256000002"/>
      <w:r>
        <w:t>Statement of Jurisdiction</w:t>
      </w:r>
      <w:bookmarkEnd w:id="4"/>
    </w:p>
    <w:p>
      <w:pPr>
        <w:pStyle w:val="FirstParagraph"/>
      </w:pPr>
      <w:r>
        <w:t>This Court has subject matter jurisdiction because the California Superior Court is a court of general jurisdiction empowered to hear “all causes” except those given by statute to other courts. Cal. Const. art. VI, § 10. Global Media’s claims arising from Ms. Smith’s Blog Post—based on California statutory and common-law theories such as unfair competition and trade libel/defamation—fall squarely within that general jurisdiction. See Cal. Bus. &amp; Prof. Code §§ 17200–17204; Cal. Civ. Code §§ 44, 45, 45a.</w:t>
      </w:r>
    </w:p>
    <w:p>
      <w:pPr>
        <w:pStyle w:val="BodyText"/>
      </w:pPr>
      <w:r>
        <w:t>To the extent Global Media’s pleading references the Magazine Article and Ms. Smith’s quotation of it, those allegations do not defeat this Court’s subject matter jurisdiction where the gravamen of the causes of action pleaded and the relief sought arise under California law and can be adjudicated without the Court exercising exclusive federal jurisdiction over a standalone copyright claim. Cal. Const. art. VI, § 10 (general jurisdiction); see Cal. Bus. &amp; Prof. Code § 17200 (unlawful, unfair, or fraudulent business acts or practices); Cal. Civ. Code §§ 44, 45, 45a (defamation definitions and pleading framework for libel).</w:t>
      </w:r>
    </w:p>
    <w:p>
      <w:pPr>
        <w:pStyle w:val="BodyText"/>
      </w:pPr>
      <w:r>
        <w:t xml:space="preserve">This Court has personal jurisdiction over Ms. Smith because she is a California resident and the challenged conduct concerns her operation of a blog and publication of the Blog Post from and within California, creating forum contacts that are both continuous and directly connected to the dispute. California’s long-arm statute authorizes jurisdiction on “any basis not inconsistent with the Constitution of this state or of the United States,” and jurisdiction is proper where a defendant’s forum contacts support general jurisdiction (residency) or specific jurisdiction (forum-directed conduct and claims arising therefrom). Cal. Civ. Proc. Code § 410.10; </w:t>
      </w:r>
      <w:r>
        <w:rPr>
          <w:i/>
          <w:iCs/>
        </w:rPr>
        <w:t>Vons Cos.</w:t>
      </w:r>
      <w:r>
        <w:t xml:space="preserve"> v. </w:t>
      </w:r>
      <w:r>
        <w:rPr>
          <w:i/>
          <w:iCs/>
        </w:rPr>
        <w:t>Seabest Foods, Inc.</w:t>
      </w:r>
      <w:r>
        <w:t>, 14 Cal. 4th 434 (1996).</w:t>
      </w:r>
    </w:p>
    <w:p>
      <w:pPr>
        <w:pStyle w:val="BodyText"/>
      </w:pPr>
      <w:r>
        <w:t xml:space="preserve">Personal jurisdiction is also independently proper as to the claims asserted because the allegedly injurious publication and its effects are centered in California: Global Media is a California resident, alleges reputational and business harm connected to its Magazine in California, and the Blog Post was published online by a California resident with foreseeable in-state effects. Cal. Civ. Proc. Code § 410.10; </w:t>
      </w:r>
      <w:r>
        <w:rPr>
          <w:i/>
          <w:iCs/>
        </w:rPr>
        <w:t>Pavlovich</w:t>
      </w:r>
      <w:r>
        <w:t xml:space="preserve"> v. </w:t>
      </w:r>
      <w:r>
        <w:rPr>
          <w:i/>
          <w:iCs/>
        </w:rPr>
        <w:t>Superior Court</w:t>
      </w:r>
      <w:r>
        <w:t>, 29 Cal. 4th 262 (2002) (analyzing internet-based contacts and forum-directed effects for specific jurisdiction).</w:t>
      </w:r>
    </w:p>
    <w:p>
      <w:pPr>
        <w:pStyle w:val="BodyText"/>
      </w:pPr>
      <w:r>
        <w:t>Venue is proper in California because Ms. Smith resides in California and the alleged tortious publication and injury occurred in California, making venue appropriate in the county of Ms. Smith’s residence and/or where the alleged wrongful acts and resulting injury were suffered. Cal. Civ. Proc. Code § 395(a).</w:t>
      </w:r>
    </w:p>
    <w:p>
      <w:pPr>
        <w:pStyle w:val="BodyText"/>
      </w:pPr>
      <w:r>
        <w:t>Accordingly, the California Superior Court is the proper forum to hear and decide Global Media’s California-law claims arising from the Blog Post, and it may exercise jurisdiction over Ms. Smith and the controversy consistent with California’s jurisdictional statute and venue provisions. Cal. Civ. Proc. Code §§ 395(a), 410.10; Cal. Const. art. VI, § 10.</w:t>
      </w:r>
    </w:p>
    <w:p>
      <w:bookmarkStart w:id="5" w:name="statement-of-jurisdiction"/>
      <w:bookmarkEnd w:id="5"/>
      <w:r>
        <w:br w:type="page"/>
      </w:r>
    </w:p>
    <w:p>
      <w:pPr>
        <w:pStyle w:val="Heading1"/>
      </w:pPr>
      <w:bookmarkStart w:id="6" w:name="_Toc256000003"/>
      <w:r>
        <w:t>Statement of Issues</w:t>
      </w:r>
      <w:bookmarkEnd w:id="6"/>
    </w:p>
    <w:p>
      <w:pPr>
        <w:numPr>
          <w:ilvl w:val="0"/>
          <w:numId w:val="10"/>
        </w:numPr>
      </w:pPr>
      <w:r>
        <w:t>Whether Ms. Smith’s noncommercial blog post—using limited verbatim quotation from Global Media’s article for the purpose of critique and commentary—constitutes protected fair use under 17 U.S.C. § 107, defeating Global Media’s copyright infringement claim based on that post.</w:t>
      </w:r>
    </w:p>
    <w:p>
      <w:pPr>
        <w:numPr>
          <w:ilvl w:val="0"/>
          <w:numId w:val="10"/>
        </w:numPr>
      </w:pPr>
      <w:r>
        <w:t>Whether Global Media can prove any recoverable actual damages or infringer’s profits under 17 U.S.C. § 504(b) causally attributable to a single, non-advertised blog post where Ms. Smith realized no advertising revenue and any asserted “benefit” consists only of voluntary, non-transactional contributions.</w:t>
      </w:r>
    </w:p>
    <w:p>
      <w:pPr>
        <w:numPr>
          <w:ilvl w:val="0"/>
          <w:numId w:val="10"/>
        </w:numPr>
      </w:pPr>
      <w:r>
        <w:t>Whether Global Media lacks statutory standing under Cal. Bus. &amp; Prof. Code § 17204 because it cannot show it lost money or property as a result of Ms. Smith’s single blog post, as opposed to speculative reputational harm or attenuated allegations of lost business.</w:t>
      </w:r>
    </w:p>
    <w:p>
      <w:pPr>
        <w:numPr>
          <w:ilvl w:val="0"/>
          <w:numId w:val="10"/>
        </w:numPr>
      </w:pPr>
      <w:r>
        <w:t>Whether a single, non-advertised blog post published by Ms. Smith—without sales, advertising, or commercial transactions—fails as a matter of law to constitute a “business act or practice” actionable under Cal. Bus. &amp; Prof. Code § 17200.</w:t>
      </w:r>
    </w:p>
    <w:p>
      <w:pPr>
        <w:numPr>
          <w:ilvl w:val="0"/>
          <w:numId w:val="10"/>
        </w:numPr>
      </w:pPr>
      <w:r>
        <w:t>Whether Ms. Smith’s post is nonactionable because, properly construed, it does not contain a false, unprivileged statement of fact “of and concerning” Global Media that is capable of a defamatory meaning under Cal. Civ. Code § 45.</w:t>
      </w:r>
    </w:p>
    <w:p>
      <w:pPr>
        <w:numPr>
          <w:ilvl w:val="0"/>
          <w:numId w:val="10"/>
        </w:numPr>
      </w:pPr>
      <w:r>
        <w:t>Whether, even if the post could be construed as libel, it is at most libel per quod under Cal. Civ. Code § 45a, requiring Global Media to plead and prove special damages rather than relying on generalized assertions that the post “cost the Magazine business.”</w:t>
      </w:r>
    </w:p>
    <w:p>
      <w:bookmarkStart w:id="7" w:name="statement-of-issues"/>
      <w:bookmarkEnd w:id="7"/>
      <w:r>
        <w:br w:type="page"/>
      </w:r>
    </w:p>
    <w:p>
      <w:pPr>
        <w:pStyle w:val="Heading1"/>
      </w:pPr>
      <w:bookmarkStart w:id="8" w:name="_Toc256000004"/>
      <w:r>
        <w:t>Statement of the Case</w:t>
      </w:r>
      <w:bookmarkEnd w:id="8"/>
    </w:p>
    <w:p>
      <w:pPr>
        <w:pStyle w:val="FirstParagraph"/>
      </w:pPr>
      <w:r>
        <w:t xml:space="preserve">Plaintiff filed this action against Ms. Smith arising from a Blog Post that quoted the heart of Plaintiff’s Magazine Article and added brief criticism. </w:t>
      </w:r>
      <w:r>
        <w:fldChar w:fldCharType="begin"/>
      </w:r>
      <w:r>
        <w:instrText>TA \l "Worldwide Church of God v. Philadelphia Church of God, Inc.,     227 F.3d 1110 (9th Cir. 2000)" \s "Worldwide Church of God v. Philadelphia Church of God, Inc., 227 F.3d" \c 1</w:instrText>
      </w:r>
      <w:r>
        <w:fldChar w:fldCharType="separate"/>
      </w:r>
      <w:r>
        <w:fldChar w:fldCharType="end"/>
      </w:r>
      <w:r>
        <w:t xml:space="preserve"> The case is currently before this Court on Plaintiff’s claims challenging Ms. Smith’s publication of that Blog Post.</w:t>
      </w:r>
    </w:p>
    <w:p>
      <w:bookmarkStart w:id="9" w:name="statement-of-the-case"/>
      <w:bookmarkEnd w:id="9"/>
      <w:r>
        <w:br w:type="page"/>
      </w:r>
    </w:p>
    <w:p>
      <w:pPr>
        <w:pStyle w:val="Heading1"/>
      </w:pPr>
      <w:bookmarkStart w:id="10" w:name="_Toc256000005"/>
      <w:r>
        <w:t>Statement of the Facts</w:t>
      </w:r>
      <w:bookmarkEnd w:id="10"/>
    </w:p>
    <w:p>
      <w:pPr>
        <w:pStyle w:val="FirstParagraph"/>
      </w:pPr>
      <w:r>
        <w:t>Ms. Smith is a California resident who operates a personal blog (the “Blog”). The Blog does not carry advertising and is not monetized through advertisers.</w:t>
      </w:r>
    </w:p>
    <w:p>
      <w:pPr>
        <w:pStyle w:val="BodyText"/>
      </w:pPr>
      <w:r>
        <w:t>Global Media is also a California resident and owns a magazine that publishes articles intended for a broad readership. One such publication is the magazine article at issue here (the “Magazine Article”).</w:t>
      </w:r>
    </w:p>
    <w:p>
      <w:pPr>
        <w:pStyle w:val="BodyText"/>
      </w:pPr>
      <w:r>
        <w:t>Ms. Smith authored a post on the Blog (the “Blog Post”) addressing the Magazine Article. In the Blog Post, Ms. Smith quoted what she considered the heart of the Magazine Article in order to identify precisely the portion she was discussing and to anchor her commentary in the Article’s own language.</w:t>
      </w:r>
    </w:p>
    <w:p>
      <w:pPr>
        <w:pStyle w:val="BodyText"/>
      </w:pPr>
      <w:r>
        <w:t>The Blog Post consisted primarily of that quoted portion of the Magazine Article and did not include much content beyond the quoted text. After setting out the quoted material, Ms. Smith criticized the Magazine Article.</w:t>
      </w:r>
    </w:p>
    <w:p>
      <w:pPr>
        <w:pStyle w:val="BodyText"/>
      </w:pPr>
      <w:r>
        <w:t>Ms. Smith’s criticism was short relative to the portion of the Magazine Article that she quoted, and her critique has been described as “ruthless.” Ms. Smith’s purpose, however, was to respond critically to the Magazine Article as published, not to republish the Magazine Article as a substitute for the original.</w:t>
      </w:r>
    </w:p>
    <w:p>
      <w:pPr>
        <w:pStyle w:val="BodyText"/>
      </w:pPr>
      <w:r>
        <w:t>Global Media contends that Ms. Smith’s criticism may have harmed the magazine’s credibility. Global Media further maintains that the Blog Post has cost the magazine business, asserting that the Blog Post affected how readers perceived the Magazine Article and, by extension, the magazine’s reputation.</w:t>
      </w:r>
    </w:p>
    <w:p>
      <w:pPr>
        <w:pStyle w:val="BodyText"/>
      </w:pPr>
      <w:r>
        <w:t>Global Media also maintains that Ms. Smith benefited from publishing the Blog Post by receiving increased voluntary contributions to the Blog. Those contributions, as alleged, were voluntary and not tied to any advertising on the Blog, which carries none.</w:t>
      </w:r>
    </w:p>
    <w:p>
      <w:pPr>
        <w:pStyle w:val="BodyText"/>
      </w:pPr>
      <w:r>
        <w:t>This dispute arises from Ms. Smith’s publication of the Blog Post quoting the Magazine Article and offering critical commentary, and from Global Media’s contention that the Blog Post negatively affected the magazine’s business interests while increasing voluntary reader support for Ms. Smith’s Blog.</w:t>
      </w:r>
    </w:p>
    <w:p>
      <w:bookmarkStart w:id="11" w:name="statement-of-the-facts"/>
      <w:bookmarkEnd w:id="11"/>
      <w:r>
        <w:br w:type="page"/>
      </w:r>
    </w:p>
    <w:p>
      <w:pPr>
        <w:pStyle w:val="Heading1"/>
      </w:pPr>
      <w:bookmarkStart w:id="12" w:name="_Toc256000006"/>
      <w:r>
        <w:t>Argument</w:t>
      </w:r>
      <w:bookmarkEnd w:id="12"/>
    </w:p>
    <w:p>
      <w:pPr>
        <w:pStyle w:val="Heading2"/>
      </w:pPr>
      <w:bookmarkStart w:id="13" w:name="X49c7ed4f3aa3d4c78fc9417281865dadd308330"/>
      <w:bookmarkStart w:id="14" w:name="_Toc256000007"/>
      <w:r>
        <w:t>Ms. Smith’s blog post is fair use criticism notwithstanding verbatim quotation of the article’s heart.</w:t>
      </w:r>
      <w:bookmarkEnd w:id="14"/>
    </w:p>
    <w:p>
      <w:pPr>
        <w:pStyle w:val="FirstParagraph"/>
      </w:pPr>
      <w:r>
        <w:t xml:space="preserve">Fair use is a statutory limitation on Global Media’s exclusive rights under 17 U.S.C. § 106, and it defeats infringement liability under 17 U.S.C. § 501 where, as here, the challenged use is criticism directed at the copied work itself. 17 U.S.C. § 107. </w:t>
      </w:r>
      <w:r>
        <w:fldChar w:fldCharType="begin"/>
      </w:r>
      <w:r>
        <w:instrText>TA \l "17 U.S.C. § 106 - Exclusive rights in copyrighted works" \s "Exclusive rights in copyrighted works" \c 2</w:instrText>
      </w:r>
      <w:r>
        <w:fldChar w:fldCharType="separate"/>
      </w:r>
      <w:r>
        <w:fldChar w:fldCharType="end"/>
      </w:r>
      <w:r>
        <w:t xml:space="preserve"> </w:t>
      </w:r>
      <w:r>
        <w:fldChar w:fldCharType="begin"/>
      </w:r>
      <w:r>
        <w:instrText>TA \l "17 U.S.C. § 501 - Infringement of copyright" \s "Infringement of Copyright" \c 2</w:instrText>
      </w:r>
      <w:r>
        <w:fldChar w:fldCharType="separate"/>
      </w:r>
      <w:r>
        <w:fldChar w:fldCharType="end"/>
      </w:r>
      <w:r>
        <w:t xml:space="preserve"> The Blog Post’s purpose was not to republish the Magazine Article for its own sake, but to present the quoted portion and then criticize it. Criticism and commentary sit at the core of the fair-use doctrine, and the Supreme Court has emphasized that the key inquiry under the first factor is whether the challenged use “adds something new” with a further purpose or different character.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Here, the Blog Post took the Magazine Article’s words as an object of attack—Ms. Smith quoted the heart of the Magazine Article and then delivered criticism described as ruthless. That critical use is transformative in the relevant sense: the Blog Post is not offering the Magazine Article as a reading experience, but using the quoted portion so readers can understand and evaluate the criticism.</w:t>
      </w:r>
    </w:p>
    <w:p>
      <w:pPr>
        <w:pStyle w:val="BodyText"/>
      </w:pPr>
      <w:r>
        <w:t xml:space="preserve">Factor one strongly favors fair use because the Blog is noncommercial in the ordinary sense and the Blog Post was criticism. The Blog “does not have any advertisers,” which removes the paradigmatic commercial exploitation concerns present when copying is used to sell ads, subscriptions, or access to the copied expression. While Global Media maintains Ms. Smith “benefited by seeing increased voluntary contributions to her Blog,” that alleged indirect benefit does not convert criticism into a commercial substitute for the Magazine Article; the inquiry focuses on whether the challenged use is exploitative of the copyrighted expression’s market demand or instead serves a new, critical purpose.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Nor does fair use turn on the tone or severity of the critique: Ms. Smith’s criticism being “ruthless” may explain why Global Media believes the Magazine’s credibility was harmed, but copyright does not confer a right to be free from harsh commentary. The first factor therefore weighs heavily in favor of fair use.</w:t>
      </w:r>
    </w:p>
    <w:p>
      <w:pPr>
        <w:pStyle w:val="BodyText"/>
      </w:pPr>
      <w:r>
        <w:t xml:space="preserve">Global Media will argue the Blog Post “did not include much content beyond the quoted portion,” and that Ms. Smith’s criticism was “short relative to the part of the Magazine Article that she quoted,” portraying the post as republishing with only a thin veneer of commentary. That framing collapses the first and third factors into a categorical rule that criticism must be lengthy to be transformative. The governing question is whether the quotation is being used for a different purpose—here, criticism—and whether the amount taken is reasonably connected to that purpose.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A critique can be short and still meaningfully transform the use: the Blog Post’s function is to present the specific language being condemned and then deliver the condemnation. The criticism’s brevity does not eliminate the critical purpose or convert the post into a substitute publication.</w:t>
      </w:r>
    </w:p>
    <w:p>
      <w:pPr>
        <w:pStyle w:val="BodyText"/>
      </w:pPr>
      <w:r>
        <w:t xml:space="preserve">Factor two is at most neutral and does not rescue Global Media’s claim. The record identifies the work as a “Magazine Article,” and there is no fact that it was unpublished. The Supreme Court has treated copying from unpublished works as especially disfavored because it invades the author’s right of first publication. </w:t>
      </w:r>
      <w:r>
        <w:rPr>
          <w:i/>
          <w:iCs/>
        </w:rPr>
        <w:t>Harper &amp; Row, Publishers, Inc.</w:t>
      </w:r>
      <w:r>
        <w:t xml:space="preserve"> v. </w:t>
      </w:r>
      <w:r>
        <w:rPr>
          <w:i/>
          <w:iCs/>
        </w:rPr>
        <w:t>Nation Enters.</w:t>
      </w:r>
      <w:r>
        <w:t xml:space="preserve">, 471 U.S. 539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That concern is absent on this record. And even where published works contain creative choices, the second factor rarely outweighs a strong showing of criticism and transformative purpose.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Thus, factor two does not meaningfully undermine fair use.</w:t>
      </w:r>
    </w:p>
    <w:p>
      <w:pPr>
        <w:pStyle w:val="BodyText"/>
      </w:pPr>
      <w:r>
        <w:t xml:space="preserve">Global Media’s best point is factor three: Ms. Smith “quoted the heart” of the Magazine Article, and courts recognize that taking the “heart” can weigh against fair use even when the excerpt is not the entire work. </w:t>
      </w:r>
      <w:r>
        <w:rPr>
          <w:i/>
          <w:iCs/>
        </w:rPr>
        <w:t>Harper &amp; Row, Publishers, Inc.</w:t>
      </w:r>
      <w:r>
        <w:t xml:space="preserve"> v. </w:t>
      </w:r>
      <w:r>
        <w:rPr>
          <w:i/>
          <w:iCs/>
        </w:rPr>
        <w:t>Nation Enters.</w:t>
      </w:r>
      <w:r>
        <w:t xml:space="preserve">, 471 U.S. 539 (1985); </w:t>
      </w:r>
      <w:r>
        <w:rPr>
          <w:i/>
          <w:iCs/>
        </w:rPr>
        <w:t>Los Angeles News Serv.</w:t>
      </w:r>
      <w:r>
        <w:t xml:space="preserve"> v. </w:t>
      </w:r>
      <w:r>
        <w:rPr>
          <w:i/>
          <w:iCs/>
        </w:rPr>
        <w:t>KCAL-TV Channel 9</w:t>
      </w:r>
      <w:r>
        <w:t xml:space="preserve">, 108 F.3d 1119 (9th Cir. 1997).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w:t>
      </w:r>
      <w:r>
        <w:fldChar w:fldCharType="begin"/>
      </w:r>
      <w:r>
        <w:instrText>TA \l "Los Angeles News Service v. Reuters Television International, Ltd.,     149 F.3d 987 (9th Cir. 1998)" \s "Los Angeles News Service v. Reuters Television International, Ltd., 149 F.3d" \c 1</w:instrText>
      </w:r>
      <w:r>
        <w:fldChar w:fldCharType="separate"/>
      </w:r>
      <w:r>
        <w:fldChar w:fldCharType="end"/>
      </w:r>
      <w:r>
        <w:t xml:space="preserve"> But factor three does not ask only how much was taken; it asks whether the amount taken was reasonable in relation to the purpose of the use.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Where, as here, the Blog Post is criticism of the Magazine Article and the criticism is directed at what Global Media itself would call the article’s “heart,” quoting that central portion is the most direct way to identify precisely what is being criticized and allow readers to assess the critique. The fact that Ms. Smith quoted the heart is therefore not dispositive; it is consistent with a criticism purpose that necessarily targets the core passages.</w:t>
      </w:r>
    </w:p>
    <w:p>
      <w:pPr>
        <w:pStyle w:val="BodyText"/>
      </w:pPr>
      <w:r>
        <w:t xml:space="preserve">Global Media may contend Ms. Smith could have quoted less or paraphrased. But the fair-use analysis does not impose a rigid least-quotation requirement divorced from how criticism operates. Criticism is often aimed at exact wording, framing, or the thrust of the article, and verbatim quotation of the specific passages being attacked is commonly reasonable to “conjure up” the subject of the critique.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On this record, the court can conclude that the amount Ms. Smith quoted—though substantial and centered on the heart—was taken for the purpose of criticism rather than to provide the Magazine Article’s content as an alternative reading source.</w:t>
      </w:r>
    </w:p>
    <w:p>
      <w:pPr>
        <w:pStyle w:val="BodyText"/>
      </w:pPr>
      <w:r>
        <w:t xml:space="preserve">Factor four confirms fair use because Global Media’s asserted harms are not the type the Copyright Act protects, and the record does not establish market substitution. The fourth factor asks whether the challenged use usurps demand for the original or its traditional, reasonable, or likely-to-be-developed markets. </w:t>
      </w:r>
      <w:r>
        <w:rPr>
          <w:i/>
          <w:iCs/>
        </w:rPr>
        <w:t>Harper &amp; Row, Publishers, Inc.</w:t>
      </w:r>
      <w:r>
        <w:t xml:space="preserve"> v. </w:t>
      </w:r>
      <w:r>
        <w:rPr>
          <w:i/>
          <w:iCs/>
        </w:rPr>
        <w:t>Nation Enters.</w:t>
      </w:r>
      <w:r>
        <w:t xml:space="preserve">, 471 U.S. 539 (1985); </w:t>
      </w:r>
      <w:r>
        <w:rPr>
          <w:i/>
          <w:iCs/>
        </w:rPr>
        <w:t>Los Angeles News Serv.</w:t>
      </w:r>
      <w:r>
        <w:t xml:space="preserve"> v. </w:t>
      </w:r>
      <w:r>
        <w:rPr>
          <w:i/>
          <w:iCs/>
        </w:rPr>
        <w:t>KCAL-TV Channel 9</w:t>
      </w:r>
      <w:r>
        <w:t xml:space="preserve">, 108 F.3d 1119 (9th Cir. 1997).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w:t>
      </w:r>
      <w:r>
        <w:fldChar w:fldCharType="begin"/>
      </w:r>
      <w:r>
        <w:instrText>TA \l "Los Angeles News Service v. Reuters Television International, Ltd.,     149 F.3d 987 (9th Cir. 1998)" \s "Los Angeles News Service v. Reuters Television International, Ltd., 149 F.3d" \c 1</w:instrText>
      </w:r>
      <w:r>
        <w:fldChar w:fldCharType="separate"/>
      </w:r>
      <w:r>
        <w:fldChar w:fldCharType="end"/>
      </w:r>
      <w:r>
        <w:t xml:space="preserve"> Here, Global Media maintains the Blog “has cost the Magazine business,” but it also maintains that Ms. Smith’s criticism “may have harmed the credibility of the Magazine.” That is quintessentially reputational fallout from “ruthless” criticism—an injury that is not cognizable market harm under copyright because it flows from the critical message rather than from the copying serving as a market replacement for the Magazine Article.</w:t>
      </w:r>
    </w:p>
    <w:p>
      <w:pPr>
        <w:pStyle w:val="BodyText"/>
      </w:pPr>
      <w:r>
        <w:t xml:space="preserve">Nor does the record support a plausible inference that the Blog Post functioned as a market substitute. The Blog lacks advertisers, and the Blog Post’s presentation—quoting and then criticizing in a hostile manner—serves a different function than the Magazine Article itself. Transformative criticism is less likely to displace the market for the original because consumers do not seek it as a substitute for the copyrighted work’s normal purpose.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Global Media’s allegation that Ms. Smith received “increased voluntary contributions” likewise does not demonstrate substitution harm to Global Media; it speaks, if anything, to reader response to the criticism, not to an usurpation of the Magazine Article’s market for its expressive content.</w:t>
      </w:r>
    </w:p>
    <w:p>
      <w:pPr>
        <w:pStyle w:val="BodyText"/>
      </w:pPr>
      <w:r>
        <w:t xml:space="preserve">Global Media may invoke the fact that Ms. Smith quoted the heart to argue readers could obtain the core content from the Blog Post rather than from the Magazine Article. But the fourth factor requires a showing of market harm tied to the use in the relevant market for the copyrighted work or its derivatives, not a generalized assertion that criticism hurt the Magazine’s standing. </w:t>
      </w:r>
      <w:r>
        <w:rPr>
          <w:i/>
          <w:iCs/>
        </w:rPr>
        <w:t>Harper &amp; Row, Publishers, Inc.</w:t>
      </w:r>
      <w:r>
        <w:t xml:space="preserve"> v. </w:t>
      </w:r>
      <w:r>
        <w:rPr>
          <w:i/>
          <w:iCs/>
        </w:rPr>
        <w:t>Nation Enters.</w:t>
      </w:r>
      <w:r>
        <w:t xml:space="preserve">, 471 U.S. 539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On this record, the asserted harm is attributable at least as much to the “ruthless” criticism as to any displacement of demand by republishing; copyright does not provide a remedy for the public choosing to believe a critic rather than the Magazine.</w:t>
      </w:r>
    </w:p>
    <w:p>
      <w:pPr>
        <w:pStyle w:val="BodyText"/>
      </w:pPr>
      <w:r>
        <w:t xml:space="preserve">Considering the four factors together, the balance favors fair use. Factor one strongly supports Ms. Smith because the Blog Post is noncommercial criticism. Factor two is neutral on this record. Factor three presents a closer question because the Blog Post quoted the heart and contained little beyond the quote, but the amount can still be reasonable when the heart is what is being criticized. Factor four favors fair use because Global Media’s primary asserted harm is credibility damage from criticism and its claim of lost business is not tethered to market substitution. Under the governing Supreme Court and Ninth Circuit authorities, the Blog Post falls within the protective ambit of fair use and defeats Global Media’s copyright infringement claim based on that post. </w:t>
      </w:r>
      <w:r>
        <w:rPr>
          <w:b/>
          <w:bCs/>
        </w:rPr>
        <w:t>17USC107Limitationso?</w:t>
      </w:r>
      <w:r>
        <w:t xml:space="preserve"> 17 U.S.C. § 107;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w:t>
      </w:r>
      <w:r>
        <w:rPr>
          <w:i/>
          <w:iCs/>
        </w:rPr>
        <w:t>Harper &amp; Row, Publishers, Inc.</w:t>
      </w:r>
      <w:r>
        <w:t xml:space="preserve"> v. </w:t>
      </w:r>
      <w:r>
        <w:rPr>
          <w:i/>
          <w:iCs/>
        </w:rPr>
        <w:t>Nation Enters.</w:t>
      </w:r>
      <w:r>
        <w:t xml:space="preserve">, 471 U.S. 539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bookmarkEnd w:id="13"/>
    </w:p>
    <w:p>
      <w:pPr>
        <w:pStyle w:val="Heading2"/>
      </w:pPr>
      <w:bookmarkStart w:id="15" w:name="X944af5b4a122df99f58a43ad74ca6d1c8b36682"/>
      <w:bookmarkStart w:id="16" w:name="_Toc256000008"/>
      <w:r>
        <w:t>Global Media cannot prove § 504(b) damages or profits tied to the single Blog Post</w:t>
      </w:r>
      <w:bookmarkEnd w:id="16"/>
    </w:p>
    <w:p>
      <w:pPr>
        <w:pStyle w:val="FirstParagraph"/>
      </w:pPr>
      <w:r>
        <w:t xml:space="preserve">Section 504(b) permits recovery of only two categories: (1) the copyright owner’s “actual damages” and (2) “any profits of the infringer that are attributable to the infringement.”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Both categories impose a causation requirement—damages must be “as a result of the infringement,” and profits must be “attributable to the infringement.” Id. </w:t>
      </w:r>
      <w:r>
        <w:fldChar w:fldCharType="begin"/>
      </w:r>
      <w:r>
        <w:instrText>TA \l "17 U.S.C. § 504 - Remedies for infringement: Damages and profits" \s "Remedies for infringement: Damages and profits" \c 2</w:instrText>
      </w:r>
      <w:r>
        <w:fldChar w:fldCharType="separate"/>
      </w:r>
      <w:r>
        <w:fldChar w:fldCharType="end"/>
      </w:r>
      <w:r>
        <w:t xml:space="preserve"> The statute does not allow a recovery untethered to the challenged copying in the single Blog Post, and it does not allow awards based on generalized assertions of harm or on revenue that cannot be connected to the infringing use.</w:t>
      </w:r>
    </w:p>
    <w:p>
      <w:pPr>
        <w:pStyle w:val="BodyText"/>
      </w:pPr>
      <w:r>
        <w:t xml:space="preserve">Global Media’s actual-damages theory fails because the Fact Pattern identifies only two asserted harms: (i) that “the Blog has cost the Magazine business” and (ii) that Ms. Smith’s “ruthless” criticism “may have harmed the credibility of the Magazine.” Those are not, on this record, cognizable and quantifiable “actual damages” caused by the copying in the Blog Post.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A claim that the Magazine “lost business” is a conclusion, not proof of a monetary injury, and the statute requires proof of an amount of loss—not a suspicion that the Magazine may have suffered one.</w:t>
      </w:r>
    </w:p>
    <w:p>
      <w:pPr>
        <w:pStyle w:val="BodyText"/>
      </w:pPr>
      <w:r>
        <w:t xml:space="preserve">Critically, the asserted credibility harm underscores the causation problem. The Fact Pattern states that Ms. Smith “criticized the article” and that the criticism was “ruthless.” To the extent Global Media claims reputational injury, it must show that any asserted loss is “as a result of” infringement—i.e., because of the verbatim quotation—rather than because readers encountered the criticism itself.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But the alleged reputational impact flows, at most, from the criticism (a distinct act from the alleged copying), not from the mere fact of quotation. Without evidence that any specific, measurable economic loss is attributable to the copying (as opposed to the criticism), Global Media cannot satisfy § 504(b)’s causal nexus requirement.</w:t>
      </w:r>
    </w:p>
    <w:p>
      <w:pPr>
        <w:pStyle w:val="BodyText"/>
      </w:pPr>
      <w:r>
        <w:t xml:space="preserve">Global Media also cannot use § 504(b) to shift the case into a speculative “loss of credibility” damages model. Even if credibility was harmed, § 504(b) requires actual, monetary damages.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The Fact Pattern provides no basis to translate “may have harmed the credibility” into dollars, no identified lost transactions, and no non-speculative method for isolating what portion (if any) of any alleged business impact was caused by the single Blog Post’s quotation. A damages award on this record would necessarily rest on conjecture, which § 504(b) does not permit.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Media’s infringer’s-profits theory fails for an independent and even more direct reason: the Blog “does not have any advertisers,” and Global Media’s only asserted benefit is that Ms. Smith “benefited by seeing increased voluntary contributions to her Blog.” Profits under § 504(b) must be “attributable to the infringement,” not merely associated with Ms. Smith’s overall activity or popularity.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Voluntary contributions are, by their nature, not automatically tied to any particular post, much less to the portion of a post that allegedly infringed. Where the asserted “profit” is a purported increase in contributions, Global Media must show a non-speculative causal connection between the infringing quotation in this single Blog Post and an identifiable increment in those contributions. The Fact Pattern supplies none.</w:t>
      </w:r>
    </w:p>
    <w:p>
      <w:pPr>
        <w:pStyle w:val="BodyText"/>
      </w:pPr>
      <w:r>
        <w:t xml:space="preserve">Section 504(b) further requires Global Media to carry the threshold burden of identifying Ms. Smith’s “gross revenue” reasonably related to the alleged infringement before the burden shifts on deductions and apportionment.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Here, Global Media’s theory does not identify infringement-related “gross revenue”; it alleges only that contributions increased at some point after the Blog Post. That is not the same thing as proving gross revenue attributable to the infringing quotation, as opposed to Ms. Smith’s criticism, her existing audience, or other reasons readers may have chosen to make voluntary contributions.</w:t>
      </w:r>
    </w:p>
    <w:p>
      <w:pPr>
        <w:pStyle w:val="BodyText"/>
      </w:pPr>
      <w:r>
        <w:t xml:space="preserve">Even if Global Media could show some relationship between the Blog Post and an increase in contributions, § 504(b) would still require apportionment: only profits “attributable to the infringement” are recoverable.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The Fact Pattern is clear that the Blog Post contained both a quotation and criticism, and that the criticism was “short” but “ruthless.” Any contributions allegedly motivated by readers’ agreement with, interest in, or reaction to the criticism would not be profits “attributable to the infringement” (the quotation). Without a principled way to separate contributions allegedly driven by the copied portion from contributions allegedly driven by the criticism (or any other noninfringing factor), any profits calculation would necessarily overreach beyond what § 504(b) allows.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In short, § 504(b) requires proof, not inference: Global Media must demonstrate actual damages caused by the infringing quotation in the single Blog Post, or infringer profits attributable to that quotation. 17 U.S.C. § 504(b) (2018). </w:t>
      </w:r>
      <w:r>
        <w:fldChar w:fldCharType="begin"/>
      </w:r>
      <w:r>
        <w:instrText>TA \l "17 U.S.C. § 504 - Remedies for infringement: Damages and profits" \s "Remedies for infringement: Damages and profits" \c 2</w:instrText>
      </w:r>
      <w:r>
        <w:fldChar w:fldCharType="separate"/>
      </w:r>
      <w:r>
        <w:fldChar w:fldCharType="end"/>
      </w:r>
      <w:r>
        <w:t xml:space="preserve"> On this record—where the alleged harm is framed as generalized “lost business” and possible credibility harm, the Blog had no advertisers, and the only alleged benefit was increased voluntary contributions—Global Media cannot meet the statutory requirements for recoverable actual damages or profits causally attributable to the single Blog Post.</w:t>
      </w:r>
      <w:bookmarkEnd w:id="15"/>
    </w:p>
    <w:p>
      <w:pPr>
        <w:pStyle w:val="Heading2"/>
      </w:pPr>
      <w:bookmarkStart w:id="17" w:name="Xfddc9491e6579d7cc65569003e5a9b88f938827"/>
      <w:bookmarkStart w:id="18" w:name="_Toc256000009"/>
      <w:r>
        <w:t>Global Media lacks UCL standing because it shows no lost money or property.</w:t>
      </w:r>
      <w:bookmarkEnd w:id="18"/>
    </w:p>
    <w:p>
      <w:pPr>
        <w:pStyle w:val="FirstParagraph"/>
      </w:pPr>
      <w:r>
        <w:t xml:space="preserve">Standing under the UCL is not presumed. Cal. Bus. &amp; Prof. Code § 17204 authorizes a private plaintiff to sue only if it has “suffered injury in fact and has lost money or property as a result of the unfair competition.” </w:t>
      </w:r>
      <w:r>
        <w:fldChar w:fldCharType="begin"/>
      </w:r>
      <w:r>
        <w:instrText>TA \l "Cal. Bus. &amp; Prof. Code § 17204" \s "California Business and Professions Code Section 17204" \c 2</w:instrText>
      </w:r>
      <w:r>
        <w:fldChar w:fldCharType="separate"/>
      </w:r>
      <w:r>
        <w:fldChar w:fldCharType="end"/>
      </w:r>
      <w:r>
        <w:t xml:space="preserve"> That statutory limitation is mandatory and dispositive: without a concrete, economic loss caused by the challenged conduct, the court lacks a basis to allow a private UCL claim to proceed. See Cal. Bus. &amp; Prof. Code § 17204; </w:t>
      </w:r>
      <w:r>
        <w:rPr>
          <w:i/>
          <w:iCs/>
        </w:rPr>
        <w:t>Kwikset Corp.</w:t>
      </w:r>
      <w:r>
        <w:t xml:space="preserve"> v. </w:t>
      </w:r>
      <w:r>
        <w:rPr>
          <w:i/>
          <w:iCs/>
        </w:rPr>
        <w:t>Superior Court</w:t>
      </w:r>
      <w:r>
        <w:t xml:space="preserve">, 51 Cal. 4th 310 (2011) </w:t>
      </w:r>
      <w:r>
        <w:fldChar w:fldCharType="begin"/>
      </w:r>
      <w:r>
        <w:instrText>TA \l "Cal. Bus. &amp; Prof. Code § 17204" \s "California Business and Professions Code Section 17204" \c 2</w:instrText>
      </w:r>
      <w:r>
        <w:fldChar w:fldCharType="separate"/>
      </w:r>
      <w:r>
        <w:fldChar w:fldCharType="end"/>
      </w:r>
      <w:r>
        <w:t xml:space="preserve">; </w:t>
      </w:r>
      <w:r>
        <w:rPr>
          <w:i/>
          <w:iCs/>
        </w:rPr>
        <w:t>In re Tobacco II Cases</w:t>
      </w:r>
      <w:r>
        <w:t xml:space="preserve">, 46 Cal. 4th 298 (2009) </w:t>
      </w:r>
      <w:r>
        <w:fldChar w:fldCharType="begin"/>
      </w:r>
      <w:r>
        <w:instrText>TA \l "Cal. Bus. &amp; Prof. Code § 17204" \s "California Business and Professions Code Section 17204" \c 2</w:instrText>
      </w:r>
      <w:r>
        <w:fldChar w:fldCharType="separate"/>
      </w:r>
      <w:r>
        <w:fldChar w:fldCharType="end"/>
      </w:r>
    </w:p>
    <w:p>
      <w:pPr>
        <w:pStyle w:val="BodyText"/>
      </w:pPr>
      <w:r>
        <w:t xml:space="preserve">Global Media cannot satisfy the “lost money or property” prong on this record. The facts show only that Ms. Smith made a single Blog Post that “quoted the heart” of the Magazine Article, added little content beyond the quoted portion, and then criticized the article—criticism described as short relative to the quoted portion and “ruthless.” Global Media’s core asserted harm is that the criticism “may have harmed the credibility of the Magazine,” coupled with the further assertion that the Blog “has cost the Magazine business.” But alleged harm to “credibility” is reputational in nature, and a conclusory claim that something “cost . . . business,” without facts identifying actual money or property lost, does not meet § 17204’s requirement of a concrete economic loss. See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w:t>
      </w:r>
      <w:r>
        <w:rPr>
          <w:i/>
          <w:iCs/>
        </w:rPr>
        <w:t>Kwikset Corp.</w:t>
      </w:r>
      <w:r>
        <w:t xml:space="preserve"> v. </w:t>
      </w:r>
      <w:r>
        <w:rPr>
          <w:i/>
          <w:iCs/>
        </w:rPr>
        <w:t>Superior Court</w:t>
      </w:r>
      <w:r>
        <w:t xml:space="preserve">, 51 Cal. 4th 310 (2011) </w:t>
      </w:r>
      <w:r>
        <w:fldChar w:fldCharType="begin"/>
      </w:r>
      <w:r>
        <w:instrText>TA \l "Korea Supply Co. v. Lockheed Martin Corp.,     29 Cal. 4th 1134 (2003)" \s "Korea Supply Co. v. Lockheed Martin Corp., 29 Cal. 4th" \c 1</w:instrText>
      </w:r>
      <w:r>
        <w:fldChar w:fldCharType="separate"/>
      </w:r>
      <w:r>
        <w:fldChar w:fldCharType="end"/>
      </w:r>
    </w:p>
    <w:p>
      <w:pPr>
        <w:pStyle w:val="BodyText"/>
      </w:pPr>
      <w:r>
        <w:t xml:space="preserve">The “as a result of” causation requirement independently defeats standing because Global Media cannot tie any alleged economic loss to the single Blog Post rather than speculation. Section 17204 demands a causal nexus between the challenged practice and the plaintiff’s lost money or property. See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w:t>
      </w:r>
      <w:r>
        <w:rPr>
          <w:i/>
          <w:iCs/>
        </w:rPr>
        <w:t>In re Tobacco II Cases</w:t>
      </w:r>
      <w:r>
        <w:t xml:space="preserve">, 46 Cal. 4th 298 (2009) </w:t>
      </w:r>
      <w:r>
        <w:fldChar w:fldCharType="begin"/>
      </w:r>
      <w:r>
        <w:instrText>TA \l "Korea Supply Co. v. Lockheed Martin Corp.,     29 Cal. 4th 1134 (2003)" \s "Korea Supply Co. v. Lockheed Martin Corp., 29 Cal. 4th" \c 1</w:instrText>
      </w:r>
      <w:r>
        <w:fldChar w:fldCharType="separate"/>
      </w:r>
      <w:r>
        <w:fldChar w:fldCharType="end"/>
      </w:r>
      <w:r>
        <w:t xml:space="preserve"> Here, the challenged conduct is narrow: one Blog Post on a Blog that does not have any advertisers, consisting primarily of quoted material with brief criticism. From that limited conduct, Global Media asks the Court to infer (1) that readers saw the Blog Post, (2) that the ruthless criticism changed their view of the Magazine’s credibility, and (3) that this credibility change “cost the Magazine business.” That chain is conjectural, and § 17204 does not permit standing based on layered inferences untethered to facts showing an actual loss of money or property attributable to the Blog Post.</w:t>
      </w:r>
    </w:p>
    <w:p>
      <w:pPr>
        <w:pStyle w:val="BodyText"/>
      </w:pPr>
      <w:r>
        <w:t xml:space="preserve">The Blog’s lack of advertisers further underscores the absence of a concrete, post-specific economic injury. Because the Blog does not have any advertisers, there is no allegation that Global Media lost money or property through diverted advertising purchases on the Blog. The only economic facts Global Media points to are its own generalized claim of “cost . . . business” and the separate assertion that Ms. Smith benefited by increased voluntary contributions to her Blog. Neither bridges the statutory gap: the first is conclusory and non-quantified, and the second is about Ms. Smith’s gain, not Global Media’s loss. </w:t>
      </w:r>
      <w:r>
        <w:fldChar w:fldCharType="begin"/>
      </w:r>
      <w:r>
        <w:instrText>TA \l "Korea Supply Co. v. Lockheed Martin Corp.,     29 Cal. 4th 1134 (2003)" \s "Korea Supply Co. v. Lockheed Martin Corp., 29 Cal. 4th" \c 1</w:instrText>
      </w:r>
      <w:r>
        <w:fldChar w:fldCharType="separate"/>
      </w:r>
      <w:r>
        <w:fldChar w:fldCharType="end"/>
      </w:r>
    </w:p>
    <w:p>
      <w:pPr>
        <w:pStyle w:val="BodyText"/>
      </w:pPr>
      <w:r>
        <w:t xml:space="preserve">Global Media also cannot manufacture standing by focusing on Ms. Smith’s alleged increased voluntary contributions. The UCL’s private standing requirement turns on what the plaintiff lost, not what the defendant gained.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And the UCL’s remedies confirm that point: relief under Cal. Bus. &amp; Prof. Code § 17203 is equitable and restitutionary, not a vehicle to recover non-restitutionary gains untethered to money or property in which the plaintiff has a cognizable interest. See Cal. Bus. &amp; Prof. Code § 17203; </w:t>
      </w:r>
      <w:r>
        <w:rPr>
          <w:i/>
          <w:iCs/>
        </w:rPr>
        <w:t>Korea Supply Co.</w:t>
      </w:r>
      <w:r>
        <w:t xml:space="preserve"> v. </w:t>
      </w:r>
      <w:r>
        <w:rPr>
          <w:i/>
          <w:iCs/>
        </w:rPr>
        <w:t>Lockheed Martin Corp.</w:t>
      </w:r>
      <w:r>
        <w:t xml:space="preserve">, 29 Cal. 4th 1134 (2003). </w:t>
      </w:r>
      <w:r>
        <w:fldChar w:fldCharType="begin"/>
      </w:r>
      <w:r>
        <w:instrText>TA \l "Cal. Bus. &amp; Prof. Code § 17203" \s "California Business and Professions Code Section 17203" \c 2</w:instrText>
      </w:r>
      <w:r>
        <w:fldChar w:fldCharType="separate"/>
      </w:r>
      <w:r>
        <w:fldChar w:fldCharType="end"/>
      </w:r>
      <w:r>
        <w:t xml:space="preserve"> </w:t>
      </w:r>
      <w:r>
        <w:fldChar w:fldCharType="begin"/>
      </w:r>
      <w:r>
        <w:instrText>TA \l "Korea Supply Co. v. Lockheed Martin Corp.,     29 Cal. 4th 1134 (2003)" \s "Korea Supply Co. v. Lockheed Martin Corp., 29 Cal. 4th" \c 1</w:instrText>
      </w:r>
      <w:r>
        <w:fldChar w:fldCharType="separate"/>
      </w:r>
      <w:r>
        <w:fldChar w:fldCharType="end"/>
      </w:r>
      <w:r>
        <w:t xml:space="preserve"> Voluntary contributions to the Blog are, by their nature, not alleged to be Global Media’s money or property, nor alleged to be transferred from Global Media to Ms. Smith. Without facts showing that those contributions constitute money or property taken from Global Media “as a result of” the Blog Post, they cannot supply § 17204 standing.</w:t>
      </w:r>
    </w:p>
    <w:p>
      <w:pPr>
        <w:pStyle w:val="BodyText"/>
      </w:pPr>
      <w:r>
        <w:t xml:space="preserve">Anticipated counterarguments fail. Global Media will likely argue that loss of “business” necessarily entails lost money and thus satisfies § 17204. But § 17204 does not accept labels in place of facts: the statute requires a showing of lost money or property as a result of the challenged practice, and courts require an actual, non-speculative economic injury rather than a generalized assertion that criticism harmed credibility and therefore must have cost business. See Cal. Bus. &amp; Prof. Code § 17204; </w:t>
      </w:r>
      <w:r>
        <w:rPr>
          <w:i/>
          <w:iCs/>
        </w:rPr>
        <w:t>Kwikset Corp.</w:t>
      </w:r>
      <w:r>
        <w:t xml:space="preserve"> v. </w:t>
      </w:r>
      <w:r>
        <w:rPr>
          <w:i/>
          <w:iCs/>
        </w:rPr>
        <w:t>Superior Court</w:t>
      </w:r>
      <w:r>
        <w:t xml:space="preserve">, 51 Cal. 4th 310 (2011). </w:t>
      </w:r>
      <w:r>
        <w:fldChar w:fldCharType="begin"/>
      </w:r>
      <w:r>
        <w:instrText>TA \l "Cal. Bus. &amp; Prof. Code § 17204" \s "California Business and Professions Code Section 17204" \c 2</w:instrText>
      </w:r>
      <w:r>
        <w:fldChar w:fldCharType="separate"/>
      </w:r>
      <w:r>
        <w:fldChar w:fldCharType="end"/>
      </w:r>
      <w:r>
        <w:t xml:space="preserve"> Global Media may also argue that harm to “credibility” is economically meaningful. Even if that were true as a general proposition, § 17204 still requires Global Media to show that it actually “lost money or property” because of this Blog Post—not merely that credibility “may have” been harmed or that business might have been affected. </w:t>
      </w:r>
      <w:r>
        <w:fldChar w:fldCharType="begin"/>
      </w:r>
      <w:r>
        <w:instrText>TA \l "Cal. Bus. &amp; Prof. Code § 17204" \s "California Business and Professions Code Section 17204" \c 2</w:instrText>
      </w:r>
      <w:r>
        <w:fldChar w:fldCharType="separate"/>
      </w:r>
      <w:r>
        <w:fldChar w:fldCharType="end"/>
      </w:r>
    </w:p>
    <w:p>
      <w:pPr>
        <w:pStyle w:val="BodyText"/>
      </w:pPr>
      <w:r>
        <w:t xml:space="preserve">Because Global Media has not shown a concrete loss of money or property and cannot plausibly connect any such loss to the single Blog Post “as a result of” that post, it lacks standing under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The UCL claim therefore fails at the threshold and should be dismissed or judgment entered for Ms. Smith on standing grounds. See Cal. Bus. &amp; Prof. Code § 17204. </w:t>
      </w:r>
      <w:r>
        <w:fldChar w:fldCharType="begin"/>
      </w:r>
      <w:r>
        <w:instrText>TA \l "Cal. Bus. &amp; Prof. Code § 17204" \s "California Business and Professions Code Section 17204" \c 2</w:instrText>
      </w:r>
      <w:r>
        <w:fldChar w:fldCharType="separate"/>
      </w:r>
      <w:r>
        <w:fldChar w:fldCharType="end"/>
      </w:r>
      <w:bookmarkEnd w:id="17"/>
    </w:p>
    <w:p>
      <w:pPr>
        <w:pStyle w:val="Heading2"/>
      </w:pPr>
      <w:bookmarkStart w:id="19" w:name="X9f2beebeae746eb013feb2b1303326d5cfce20e"/>
      <w:bookmarkStart w:id="20" w:name="_Toc256000010"/>
      <w:r>
        <w:t>Ms. Smith’s single Blog Post is not a “business act or practice” under § 17200</w:t>
      </w:r>
      <w:bookmarkEnd w:id="20"/>
    </w:p>
    <w:p>
      <w:pPr>
        <w:pStyle w:val="FirstParagraph"/>
      </w:pPr>
      <w:r>
        <w:t xml:space="preserve">Section 17200 reaches only “unlawful, unfair, or fraudulent business act[s] or practice[s],” not every act that allegedly causes economic harm. Cal. Bus. &amp; Prof. Code § 17200. </w:t>
      </w:r>
      <w:r>
        <w:fldChar w:fldCharType="begin"/>
      </w:r>
      <w:r>
        <w:instrText>TA \l "Cal. Bus. &amp; Prof. Code § 17200" \s "California Unfair Competition Law" \c 2</w:instrText>
      </w:r>
      <w:r>
        <w:fldChar w:fldCharType="separate"/>
      </w:r>
      <w:r>
        <w:fldChar w:fldCharType="end"/>
      </w:r>
      <w:r>
        <w:t xml:space="preserve"> Where the challenged conduct is publication of expressive content rather than marketplace conduct, the “business act or practice” element functions as a gatekeeping requirement: the conduct must be undertaken in business, commerce, or trade—not merely be speech that could have downstream economic effects. Here, the conduct Global Media targets is a single Blog Post that (i) quoted the heart of the Magazine Article, (ii) “did not include much content beyond the quoted portion,” and (iii) then offered criticism that was “short” (relative to the quotation) and “ruthless.” Those are the hallmarks of commentary and criticism, not a commercial practice.</w:t>
      </w:r>
    </w:p>
    <w:p>
      <w:pPr>
        <w:pStyle w:val="BodyText"/>
      </w:pPr>
      <w:r>
        <w:t xml:space="preserve">The facts Global Media pleads do not establish that Ms. Smith acted as a commercial actor engaged in business or trade. The Blog “does not have any advertisers.” </w:t>
      </w:r>
      <w:r>
        <w:fldChar w:fldCharType="begin"/>
      </w:r>
      <w:r>
        <w:instrText>TA \l "Campbell v. Acuff-Rose Music, Inc.,     510 U.S. 569 (1994)" \s "Campbell v. Acuff-Rose Music, Inc., 510 U.S." \c 1</w:instrText>
      </w:r>
      <w:r>
        <w:fldChar w:fldCharType="separate"/>
      </w:r>
      <w:r>
        <w:fldChar w:fldCharType="end"/>
      </w:r>
      <w:r>
        <w:t xml:space="preserve"> No facts suggest the Blog sells any goods or services, offers subscriptions, runs marketing campaigns, or otherwise participates in commercial transactions. Instead, the Blog Post consists of an excerpt of the Magazine Article followed by criticism. On this record, the only described activity is publishing criticism about another publication—an expressive act—rather than engaging in any business method of operation.</w:t>
      </w:r>
    </w:p>
    <w:p>
      <w:pPr>
        <w:pStyle w:val="BodyText"/>
      </w:pPr>
      <w:r>
        <w:t xml:space="preserve">Courts assessing whether publication-based conduct qualifies as a “business act or practice” commonly use commercial-speech indicia as a proxy for the required marketplace nexus. Under the analytic lenses articulated in </w:t>
      </w:r>
      <w:r>
        <w:rPr>
          <w:i/>
          <w:iCs/>
        </w:rPr>
        <w:t>Kasky</w:t>
      </w:r>
      <w:r>
        <w:t xml:space="preserve"> v. </w:t>
      </w:r>
      <w:r>
        <w:rPr>
          <w:i/>
          <w:iCs/>
        </w:rPr>
        <w:t>Nike, Inc.</w:t>
      </w:r>
      <w:r>
        <w:t xml:space="preserve">, 27 Cal. 4th 939 (2002), the relevant considerations are the identity of the speaker, the intended audience, and the content of the message. </w:t>
      </w:r>
      <w:r>
        <w:fldChar w:fldCharType="begin"/>
      </w:r>
      <w:r>
        <w:instrText>TA \l "Kasky v. Nike, Inc.,     27 Cal. 4th 939 (2002)" \s "Kasky v. Nike, Inc., 27 Cal. 4th" \c 1</w:instrText>
      </w:r>
      <w:r>
        <w:fldChar w:fldCharType="separate"/>
      </w:r>
      <w:r>
        <w:fldChar w:fldCharType="end"/>
      </w:r>
      <w:r>
        <w:t xml:space="preserve"> Those factors point away from treating the Blog Post as commercial/entrepreneurial activity. First, the speaker: Ms. Smith is described only as someone who “runs a blog” that has no advertisers; nothing indicates she was speaking “on behalf of” a business enterprise in the way a commercial advertiser speaks for its commercial operations. Second, the intended audience: the Blog Post is directed to readers of the Blog—i.e., an audience for commentary—rather than to actual or potential customers being solicited for a transaction. Third, the content: the Blog Post criticizes the Magazine Article; it does not propose a commercial transaction, does not advertise, and does not make representations about Ms. Smith’s own products or services to induce purchases. In substance, it is critique of an article, not market-facing promotion.</w:t>
      </w:r>
    </w:p>
    <w:p>
      <w:pPr>
        <w:pStyle w:val="BodyText"/>
      </w:pPr>
      <w:r>
        <w:t xml:space="preserve">Global Media will likely argue that the Blog Post was “commercial” because (i) the criticism “may have harmed the credibility of the Magazine,” (ii) Global Media “maintains that the Blog has cost the Magazine business,” and (iii) Global Media “maintains that Jane Smith benefited by seeing increased voluntary contributions to her Blog.” Those allegations do not satisfy § 17200’s threshold requirement. </w:t>
      </w:r>
      <w:r>
        <w:fldChar w:fldCharType="begin"/>
      </w:r>
      <w:r>
        <w:instrText>TA \l "Cal. Bus. &amp; Prof. Code § 17200" \s "California Unfair Competition Law" \c 2</w:instrText>
      </w:r>
      <w:r>
        <w:fldChar w:fldCharType="separate"/>
      </w:r>
      <w:r>
        <w:fldChar w:fldCharType="end"/>
      </w:r>
      <w:r>
        <w:t xml:space="preserve"> First, alleged reputational harm and alleged lost business are effects, not proof that the challenged conduct itself was a “business act or practice.” If criticism that allegedly reduces demand for a magazine were enough, then any negative review, excerpt-and-critique post, or commentary that influences readers could be recast as “unfair competition,” collapsing the limiting term “business” out of § 17200. </w:t>
      </w:r>
      <w:r>
        <w:fldChar w:fldCharType="begin"/>
      </w:r>
      <w:r>
        <w:instrText>TA \l "Cal. Bus. &amp; Prof. Code § 17200" \s "California Unfair Competition Law" \c 2</w:instrText>
      </w:r>
      <w:r>
        <w:fldChar w:fldCharType="separate"/>
      </w:r>
      <w:r>
        <w:fldChar w:fldCharType="end"/>
      </w:r>
    </w:p>
    <w:p>
      <w:pPr>
        <w:pStyle w:val="BodyText"/>
      </w:pPr>
      <w:r>
        <w:t xml:space="preserve">Second, the allegation of “increased voluntary contributions” does not convert this single excerpt-and-critique Blog Post into an entrepreneurial or market-facing practice. The record contains no allegation that the Blog is ad-supported (it is not), that the Blog Post solicited contributions, or that Ms. Smith’s criticism functioned as part of a revenue-generating scheme akin to advertising, subscriptions, or sales. At most, the asserted increase in voluntary contributions is an incidental consequence of speech that drew readership, not a commercial practice carried out in business or trade. Treating voluntary contributions—without any alleged advertising or transactional offering—as sufficient would expand § 17200 to reach essentially any popular commentary that attracts reader support, untethering the statute from its commercial focus. </w:t>
      </w:r>
      <w:r>
        <w:fldChar w:fldCharType="begin"/>
      </w:r>
      <w:r>
        <w:instrText>TA \l "Cal. Bus. &amp; Prof. Code § 17200" \s "California Unfair Competition Law" \c 2</w:instrText>
      </w:r>
      <w:r>
        <w:fldChar w:fldCharType="separate"/>
      </w:r>
      <w:r>
        <w:fldChar w:fldCharType="end"/>
      </w:r>
    </w:p>
    <w:p>
      <w:pPr>
        <w:pStyle w:val="BodyText"/>
      </w:pPr>
      <w:r>
        <w:t xml:space="preserve">Third, the isolated nature of the alleged conduct underscores the absence of a qualifying “practice.” The administrative record identifies “a post on the Blog (the ‘Blog Post’).” It does not describe repeated posts targeting Global Media, a systematic method of content aggregation, a consistent fundraising strategy tied to such posts, or any other ongoing marketplace tactic. Section 17200 is broad, but its scope remains directed at business practices—methods of operation in commerce—not a single instance of publishing criticism that Global Media believes harmed its credibility and business. </w:t>
      </w:r>
      <w:r>
        <w:fldChar w:fldCharType="begin"/>
      </w:r>
      <w:r>
        <w:instrText>TA \l "Cal. Bus. &amp; Prof. Code § 17200" \s "California Unfair Competition Law" \c 2</w:instrText>
      </w:r>
      <w:r>
        <w:fldChar w:fldCharType="separate"/>
      </w:r>
      <w:r>
        <w:fldChar w:fldCharType="end"/>
      </w:r>
    </w:p>
    <w:p>
      <w:pPr>
        <w:pStyle w:val="BodyText"/>
      </w:pPr>
      <w:r>
        <w:t xml:space="preserve">Finally, allowing Global Media to proceed under § 17200 on these facts would improperly transform the UCL into a speech-policing mechanism for disputes about editorial criticism. </w:t>
      </w:r>
      <w:r>
        <w:fldChar w:fldCharType="begin"/>
      </w:r>
      <w:r>
        <w:instrText>TA \l "Cal. Bus. &amp; Prof. Code § 17200" \s "California Unfair Competition Law" \c 2</w:instrText>
      </w:r>
      <w:r>
        <w:fldChar w:fldCharType="separate"/>
      </w:r>
      <w:r>
        <w:fldChar w:fldCharType="end"/>
      </w:r>
      <w:r>
        <w:t xml:space="preserve"> The UCL’s remedies—especially injunctive relief under Cal. Bus. &amp; Prof. Code § 17203—are powerful and would, in this context, risk regulating expressive publication absent a concrete business or transactional nexus. </w:t>
      </w:r>
      <w:r>
        <w:fldChar w:fldCharType="begin"/>
      </w:r>
      <w:r>
        <w:instrText>TA \l "Cal. Bus. &amp; Prof. Code § 17203" \s "California Business and Professions Code Section 17203" \c 2</w:instrText>
      </w:r>
      <w:r>
        <w:fldChar w:fldCharType="separate"/>
      </w:r>
      <w:r>
        <w:fldChar w:fldCharType="end"/>
      </w:r>
      <w:r>
        <w:t xml:space="preserve"> The court should enforce the “business act or practice” limitation as written and as informed by the commercial-speech/marketplace framework in </w:t>
      </w:r>
      <w:r>
        <w:rPr>
          <w:i/>
          <w:iCs/>
        </w:rPr>
        <w:t>Kasky</w:t>
      </w:r>
      <w:r>
        <w:t xml:space="preserve"> v. </w:t>
      </w:r>
      <w:r>
        <w:rPr>
          <w:i/>
          <w:iCs/>
        </w:rPr>
        <w:t>Nike, Inc.</w:t>
      </w:r>
      <w:r>
        <w:t xml:space="preserve">, 27 Cal. 4th 939 (2002), and hold that the challenged Blog Post is predominantly noncommercial commentary rather than conduct undertaken in business, commerce, or trade. </w:t>
      </w:r>
      <w:r>
        <w:fldChar w:fldCharType="begin"/>
      </w:r>
      <w:r>
        <w:instrText>TA \l "Kasky v. Nike, Inc.,     27 Cal. 4th 939 (2002)" \s "Kasky v. Nike, Inc., 27 Cal. 4th" \c 1</w:instrText>
      </w:r>
      <w:r>
        <w:fldChar w:fldCharType="separate"/>
      </w:r>
      <w:r>
        <w:fldChar w:fldCharType="end"/>
      </w:r>
    </w:p>
    <w:p>
      <w:pPr>
        <w:pStyle w:val="BodyText"/>
      </w:pPr>
      <w:r>
        <w:t xml:space="preserve">Because Global Media’s theory depends on treating a single Blog Post on a non-advertising blog—comprised largely of a quotation and short, ruthless criticism—as commercial competition, it fails to plead the necessary commercial/entrepreneurial character. Without a “business act or practice,” Global Media’s § 17200 claim fails as a matter of law. Cal. Bus. &amp; Prof. Code § 17200. </w:t>
      </w:r>
      <w:r>
        <w:fldChar w:fldCharType="begin"/>
      </w:r>
      <w:r>
        <w:instrText>TA \l "Cal. Bus. &amp; Prof. Code § 17200" \s "California Unfair Competition Law" \c 2</w:instrText>
      </w:r>
      <w:r>
        <w:fldChar w:fldCharType="separate"/>
      </w:r>
      <w:r>
        <w:fldChar w:fldCharType="end"/>
      </w:r>
      <w:bookmarkEnd w:id="19"/>
    </w:p>
    <w:p>
      <w:pPr>
        <w:pStyle w:val="Heading2"/>
      </w:pPr>
      <w:bookmarkStart w:id="21" w:name="Xb05f5104f755e456243db06cdc4cf18472d4b93"/>
      <w:bookmarkStart w:id="22" w:name="_Toc256000011"/>
      <w:r>
        <w:t>The Blog Post is nonactionable because it lacks any false factual statement</w:t>
      </w:r>
      <w:bookmarkEnd w:id="22"/>
    </w:p>
    <w:p>
      <w:pPr>
        <w:pStyle w:val="FirstParagraph"/>
      </w:pPr>
      <w:r>
        <w:t xml:space="preserve">Libel requires a “false and unprivileged publication” that tends to expose the plaintiff to hatred, contempt, or ridicule, or “tends to injure” the plaintiff in its occupation. Cal. Civ. Code § 45 (2024); see also Cal. Civ. Code § 44 (2024). </w:t>
      </w:r>
      <w:r>
        <w:fldChar w:fldCharType="begin"/>
      </w:r>
      <w:r>
        <w:instrText>TA \l "Cal. Civ. Code § 45" \s "California Civil Code Section 45" \c 2</w:instrText>
      </w:r>
      <w:r>
        <w:fldChar w:fldCharType="separate"/>
      </w:r>
      <w:r>
        <w:fldChar w:fldCharType="end"/>
      </w:r>
      <w:r>
        <w:t xml:space="preserve"> </w:t>
      </w:r>
      <w:r>
        <w:fldChar w:fldCharType="begin"/>
      </w:r>
      <w:r>
        <w:instrText>TA \l "Cal. Civ. Code § 44" \s "California Civil Code Section 44" \c 2</w:instrText>
      </w:r>
      <w:r>
        <w:fldChar w:fldCharType="separate"/>
      </w:r>
      <w:r>
        <w:fldChar w:fldCharType="end"/>
      </w:r>
      <w:r>
        <w:t xml:space="preserve"> Thus, even if Global Media can show “publication” and that the Blog Post is “of and concerning” Global Media (because Ms. Smith identified and quoted a Magazine Article owned by Global Media and then criticized it), Global Media still must identify an actionable statement: a provably false statement of fact attributable to Ms. Smith—not merely a negative reaction to Global Media’s own writing.</w:t>
      </w:r>
    </w:p>
    <w:p>
      <w:pPr>
        <w:pStyle w:val="BodyText"/>
      </w:pPr>
      <w:r>
        <w:t xml:space="preserve">The Blog Post, as described, does not supply that essential falsity. The post’s central feature is that Ms. Smith “quoted the heart” of a magazine article owned by Global Media, and the Blog Post “did not include much content beyond the quoted portion.” The most concrete “statements” communicated to readers are therefore Global Media’s own words as they appeared in the Magazine Article. Because libel under § 45 turns on falsity, Global Media cannot convert the republication of its own published text into a “false” statement by Ms. Smith where the complained-of content is, in substance, what Global Media itself wrote. Cal. Civ. Code § 45 (2024). </w:t>
      </w:r>
      <w:r>
        <w:fldChar w:fldCharType="begin"/>
      </w:r>
      <w:r>
        <w:instrText>TA \l "Cal. Civ. Code § 45" \s "California Civil Code Section 45" \c 2</w:instrText>
      </w:r>
      <w:r>
        <w:fldChar w:fldCharType="separate"/>
      </w:r>
      <w:r>
        <w:fldChar w:fldCharType="end"/>
      </w:r>
    </w:p>
    <w:p>
      <w:pPr>
        <w:pStyle w:val="BodyText"/>
      </w:pPr>
      <w:r>
        <w:t xml:space="preserve">Global Media’s theory necessarily rises or falls on Ms. Smith’s added commentary. But the record describes that commentary only as “critici[sm]” that was “short” relative to the quoted portion and “ruthless.” Those descriptors identify tone and evaluation, not a concrete factual allegation about Global Media. On these facts, Global Media does not (and cannot, consistent with the closed record) point to any specific additional factual claim by Ms. Smith about Global Media—such as a statement describing verifiable misconduct, a fabricated event, or a particular false business practice. Without an identifiable, provably false factual assertion by Ms. Smith, the claim fails as a matter of law under the statutory definition of libel. Cal. Civ. Code § 45 (2024). </w:t>
      </w:r>
      <w:r>
        <w:fldChar w:fldCharType="begin"/>
      </w:r>
      <w:r>
        <w:instrText>TA \l "Cal. Civ. Code § 45" \s "California Civil Code Section 45" \c 2</w:instrText>
      </w:r>
      <w:r>
        <w:fldChar w:fldCharType="separate"/>
      </w:r>
      <w:r>
        <w:fldChar w:fldCharType="end"/>
      </w:r>
    </w:p>
    <w:p>
      <w:pPr>
        <w:pStyle w:val="BodyText"/>
      </w:pPr>
      <w:r>
        <w:t xml:space="preserve">Nor can Global Media supply the missing element by recasting criticism as defamation-by-implication. Where, as here, the Blog Post lays out the “heart” of the Magazine Article and then appends brief criticism, readers are presented with the very material being criticized. </w:t>
      </w:r>
      <w:r>
        <w:fldChar w:fldCharType="begin"/>
      </w:r>
      <w:r>
        <w:instrText>TA \l "Worldwide Church of God v. Philadelphia Church of God, Inc.,     227 F.3d 1110 (9th Cir. 2000)" \s "Worldwide Church of God v. Philadelphia Church of God, Inc., 227 F.3d" \c 1</w:instrText>
      </w:r>
      <w:r>
        <w:fldChar w:fldCharType="separate"/>
      </w:r>
      <w:r>
        <w:fldChar w:fldCharType="end"/>
      </w:r>
      <w:r>
        <w:t xml:space="preserve"> That structure makes the criticism transparently tethered to disclosed content, inviting readers to assess the Magazine Article for themselves rather than to accept any purported undisclosed “facts” about Global Media. On this record, the only reasonable construction is that the ruthless commentary is an opinionated appraisal of the Magazine Article’s content and credibility, not an assertion of hidden, provably false facts about Global Media.</w:t>
      </w:r>
    </w:p>
    <w:p>
      <w:pPr>
        <w:pStyle w:val="BodyText"/>
      </w:pPr>
      <w:r>
        <w:t xml:space="preserve">Global Media’s allegations of harm do not change the analysis. Global Media maintains that the Blog has cost the Magazine business, and that Ms. Smith benefited through increased voluntary contributions. But damages allegations do not substitute for the elements of libel: falsity, unprivileged publication, and defamatory meaning grounded in a statement of fact. Cal. Civ. Code § 45 (2024). </w:t>
      </w:r>
      <w:r>
        <w:fldChar w:fldCharType="begin"/>
      </w:r>
      <w:r>
        <w:instrText>TA \l "Cal. Civ. Code § 45" \s "California Civil Code Section 45" \c 2</w:instrText>
      </w:r>
      <w:r>
        <w:fldChar w:fldCharType="separate"/>
      </w:r>
      <w:r>
        <w:fldChar w:fldCharType="end"/>
      </w:r>
      <w:r>
        <w:t xml:space="preserve"> If the allegedly defamatory “sting” is not apparent from a false factual statement on the face of the Blog Post, Global Media cannot proceed by pointing only to claimed reputational or economic effects. See Cal. Civ. Code § 45a (2024). </w:t>
      </w:r>
      <w:r>
        <w:fldChar w:fldCharType="begin"/>
      </w:r>
      <w:r>
        <w:instrText>TA \l "Cal. Civ. Code § 45a" \s "California Civil Code Section 45a" \c 2</w:instrText>
      </w:r>
      <w:r>
        <w:fldChar w:fldCharType="separate"/>
      </w:r>
      <w:r>
        <w:fldChar w:fldCharType="end"/>
      </w:r>
    </w:p>
    <w:p>
      <w:pPr>
        <w:pStyle w:val="BodyText"/>
      </w:pPr>
      <w:r>
        <w:t xml:space="preserve">In short, the Blog Post is nonactionable under Cal. Civ. Code § 45 because it principally repeats Global Media’s own Magazine Article and adds only brief ruthless criticism—content that, on the administrative record, does not constitute any false and unprivileged statement of fact about Global Media with a defamatory meaning. </w:t>
      </w:r>
      <w:r>
        <w:fldChar w:fldCharType="begin"/>
      </w:r>
      <w:r>
        <w:instrText>TA \l "Cal. Civ. Code § 45" \s "California Civil Code Section 45" \c 2</w:instrText>
      </w:r>
      <w:r>
        <w:fldChar w:fldCharType="separate"/>
      </w:r>
      <w:r>
        <w:fldChar w:fldCharType="end"/>
      </w:r>
      <w:bookmarkEnd w:id="21"/>
    </w:p>
    <w:p>
      <w:pPr>
        <w:pStyle w:val="Heading2"/>
      </w:pPr>
      <w:bookmarkStart w:id="23" w:name="_Toc256000012"/>
      <w:r>
        <w:t>Section 45a requires special damages because the Blog Post is not libel on its face</w:t>
      </w:r>
      <w:bookmarkEnd w:id="23"/>
    </w:p>
    <w:p>
      <w:pPr>
        <w:pStyle w:val="FirstParagraph"/>
      </w:pPr>
      <w:r>
        <w:t xml:space="preserve">Cal. Civ. Code § 45a draws a bright line between publications that are defamatory “on [their] face” and publications whose allegedly defamatory meaning is not apparent without extrinsic facts, innuendo, or explanation. Only the former category—facially defamatory language apparent to an ordinary reader from the four corners of the publication—avoids the special-damages requirement. When the challenged publication becomes defamatory only by layering inference on top of context, § 45a classifies it as not libel on its face and requires proof of special damages. Cal. Civ. Code § 45a. </w:t>
      </w:r>
      <w:r>
        <w:fldChar w:fldCharType="begin"/>
      </w:r>
      <w:r>
        <w:instrText>TA \l "Cal. Civ. Code § 45a" \s "California Civil Code Section 45a" \c 2</w:instrText>
      </w:r>
      <w:r>
        <w:fldChar w:fldCharType="separate"/>
      </w:r>
      <w:r>
        <w:fldChar w:fldCharType="end"/>
      </w:r>
    </w:p>
    <w:p>
      <w:pPr>
        <w:pStyle w:val="BodyText"/>
      </w:pPr>
      <w:r>
        <w:t xml:space="preserve">Even accepting Global Media’s premise that the Blog Post could be “construed as libel” under Cal. Civ. Code §§ 44–45, the publication described in the record is not defamatory on its face. </w:t>
      </w:r>
      <w:r>
        <w:fldChar w:fldCharType="begin"/>
      </w:r>
      <w:r>
        <w:instrText>TA \l "Cal. Civ. Code § 44" \s "California Civil Code Section 44" \c 2</w:instrText>
      </w:r>
      <w:r>
        <w:fldChar w:fldCharType="separate"/>
      </w:r>
      <w:r>
        <w:fldChar w:fldCharType="end"/>
      </w:r>
      <w:r>
        <w:t xml:space="preserve"> </w:t>
      </w:r>
      <w:r>
        <w:fldChar w:fldCharType="begin"/>
      </w:r>
      <w:r>
        <w:instrText>TA \l "Cal. Civ. Code § 45" \s "California Civil Code Section 45" \c 2</w:instrText>
      </w:r>
      <w:r>
        <w:fldChar w:fldCharType="separate"/>
      </w:r>
      <w:r>
        <w:fldChar w:fldCharType="end"/>
      </w:r>
      <w:r>
        <w:t xml:space="preserve"> The Blog Post principally consists of Ms. Smith quoting “the heart” of the Magazine Article, followed by criticism that is “short relative” to the quoted portion and described as “ruthless.” Those facts matter under § 45a because a reasonable reader encountering a post that mostly reproduces the Magazine Article and then offers brief, harsh commentary would understand it as criticism of the article—evaluative commentary about credibility and quality—rather than as the kind of direct, factual charge that is self-evidently defamatory on its face. </w:t>
      </w:r>
      <w:r>
        <w:fldChar w:fldCharType="begin"/>
      </w:r>
      <w:r>
        <w:instrText>TA \l "Cal. Civ. Code § 45a" \s "California Civil Code Section 45a" \c 2</w:instrText>
      </w:r>
      <w:r>
        <w:fldChar w:fldCharType="separate"/>
      </w:r>
      <w:r>
        <w:fldChar w:fldCharType="end"/>
      </w:r>
      <w:r>
        <w:t xml:space="preserve"> Put differently, the allegedly defamatory meaning is not “apparent from the face of the publication itself” without the reader supplying additional assumptions about what the criticism supposedly implies beyond the text shown.</w:t>
      </w:r>
    </w:p>
    <w:p>
      <w:pPr>
        <w:pStyle w:val="BodyText"/>
      </w:pPr>
      <w:r>
        <w:t xml:space="preserve">That is particularly so because the fact pattern contains no description that the Blog Post explicitly accuses Global Media of specific, objectively verifiable misconduct. The record does not say the post directly alleges falsification, fraud, bribery, unlawful conduct, or other concrete wrongdoing by Global Media. Instead, it says Ms. Smith criticized the Magazine Article; the criticism was “ruthless”; and the criticism “may have harmed the credibility of the Magazine.” That kind of reputational impact—harm to “credibility” flowing from harsh criticism—is precisely the sort of alleged sting that typically depends on inference (what, exactly, about the criticism undermined credibility, and what factual assertion the criticism supposedly communicates). Because that sting is not facially and unequivocally apparent from the described content alone, § 45a’s special-damages requirement is triggered. Cal. Civ. Code § 45a. </w:t>
      </w:r>
      <w:r>
        <w:fldChar w:fldCharType="begin"/>
      </w:r>
      <w:r>
        <w:instrText>TA \l "Cal. Civ. Code § 45a" \s "California Civil Code Section 45a" \c 2</w:instrText>
      </w:r>
      <w:r>
        <w:fldChar w:fldCharType="separate"/>
      </w:r>
      <w:r>
        <w:fldChar w:fldCharType="end"/>
      </w:r>
    </w:p>
    <w:p>
      <w:pPr>
        <w:pStyle w:val="BodyText"/>
      </w:pPr>
      <w:r>
        <w:t xml:space="preserve">Global Media will likely argue that because the criticism “may have harmed the credibility of the Magazine,” the post necessarily “tends to injure” Global Media in its occupation and therefore should be treated as libel on its face under Cal. Civ. Code § 45. </w:t>
      </w:r>
      <w:r>
        <w:fldChar w:fldCharType="begin"/>
      </w:r>
      <w:r>
        <w:instrText>TA \l "Cal. Civ. Code § 45" \s "California Civil Code Section 45" \c 2</w:instrText>
      </w:r>
      <w:r>
        <w:fldChar w:fldCharType="separate"/>
      </w:r>
      <w:r>
        <w:fldChar w:fldCharType="end"/>
      </w:r>
      <w:r>
        <w:t xml:space="preserve"> But § 45 and § 45a perform different functions. Section 45 supplies the general definition of libel; § 45a determines whether the alleged libel is facial (permitting presumed damages) or instead requires special damages. The question here is not whether the post could be framed as injurious in some abstract sense; it is whether the defamatory import is apparent on the face of the Blog Post without extrinsic explanation. Cal. Civ. Code §§ 45, 45a. </w:t>
      </w:r>
      <w:r>
        <w:fldChar w:fldCharType="begin"/>
      </w:r>
      <w:r>
        <w:instrText>TA \l "Cal. Civ. Code § 45a" \s "California Civil Code Section 45a" \c 2</w:instrText>
      </w:r>
      <w:r>
        <w:fldChar w:fldCharType="separate"/>
      </w:r>
      <w:r>
        <w:fldChar w:fldCharType="end"/>
      </w:r>
      <w:r>
        <w:t xml:space="preserve"> Where, as here, the publication is described as mostly quotation plus brief criticism, any alleged injurious meaning necessarily arises from contextual inference—what the criticism implied, how it would be understood, and why it undermined credibility—rather than a direct, self-contained factual allegation that is defamatory per se. That places the claim on § 45a’s special-damages track. </w:t>
      </w:r>
      <w:r>
        <w:fldChar w:fldCharType="begin"/>
      </w:r>
      <w:r>
        <w:instrText>TA \l "Cal. Civ. Code § 45a" \s "California Civil Code Section 45a" \c 2</w:instrText>
      </w:r>
      <w:r>
        <w:fldChar w:fldCharType="separate"/>
      </w:r>
      <w:r>
        <w:fldChar w:fldCharType="end"/>
      </w:r>
    </w:p>
    <w:p>
      <w:pPr>
        <w:pStyle w:val="BodyText"/>
      </w:pPr>
      <w:r>
        <w:t xml:space="preserve">Once § 45a applies, Global Media cannot rely on generalized reputational harm or conclusory claims of lost business. The statute requires “special damages,” which means a specific, realized pecuniary loss proximately caused by the publication—not presumed injury, not speculation, and not an undifferentiated assertion that business declined. Cal. Civ. Code § 45a. </w:t>
      </w:r>
      <w:r>
        <w:fldChar w:fldCharType="begin"/>
      </w:r>
      <w:r>
        <w:instrText>TA \l "Cal. Civ. Code § 45a" \s "California Civil Code Section 45a" \c 2</w:instrText>
      </w:r>
      <w:r>
        <w:fldChar w:fldCharType="separate"/>
      </w:r>
      <w:r>
        <w:fldChar w:fldCharType="end"/>
      </w:r>
      <w:r>
        <w:t xml:space="preserve"> Here, Global Media’s articulated loss is only that the Blog Post “cost the Magazine business.” That assertion is precisely the type of generalized allegation § 45a is designed to screen out unless and until it is supported by particularized proof of concrete monetary loss tied to the challenged publication.</w:t>
      </w:r>
    </w:p>
    <w:p>
      <w:pPr>
        <w:pStyle w:val="BodyText"/>
      </w:pPr>
      <w:r>
        <w:t xml:space="preserve">The record underscores the absence of the kind of specific economic loss § 45a demands. </w:t>
      </w:r>
      <w:r>
        <w:fldChar w:fldCharType="begin"/>
      </w:r>
      <w:r>
        <w:instrText>TA \l "Cal. Civ. Code § 45a" \s "California Civil Code Section 45a" \c 2</w:instrText>
      </w:r>
      <w:r>
        <w:fldChar w:fldCharType="separate"/>
      </w:r>
      <w:r>
        <w:fldChar w:fldCharType="end"/>
      </w:r>
      <w:r>
        <w:t xml:space="preserve"> The Blog has no advertisers. The post at issue is largely a quotation of Global Media’s own Magazine Article, followed by a short critique. And while Global Media maintains that Ms. Smith benefited via “increased voluntary contributions to her Blog,” that alleged benefit to Ms. Smith does not establish Global Media’s special damages. Voluntary contributions to a blog do not identify any particular subscriber, customer, contract, or discrete revenue stream that Global Media lost, nor do they quantify any monetary loss suffered by Global Media.</w:t>
      </w:r>
    </w:p>
    <w:p>
      <w:pPr>
        <w:pStyle w:val="BodyText"/>
      </w:pPr>
      <w:r>
        <w:t xml:space="preserve">To satisfy § 45a, Global Media would have to do more than assert that the Blog Post “cost the Magazine business”; it would have to identify the actual pecuniary loss: what business was lost, in what amount, when the loss occurred, and how the loss was proximately caused by the Blog Post rather than other factors. </w:t>
      </w:r>
      <w:r>
        <w:fldChar w:fldCharType="begin"/>
      </w:r>
      <w:r>
        <w:instrText>TA \l "Cal. Civ. Code § 45a" \s "California Civil Code Section 45a" \c 2</w:instrText>
      </w:r>
      <w:r>
        <w:fldChar w:fldCharType="separate"/>
      </w:r>
      <w:r>
        <w:fldChar w:fldCharType="end"/>
      </w:r>
      <w:r>
        <w:t xml:space="preserve"> The current showing provides none of that. It does not identify any lost accounts, canceled subscriptions, terminated relationships, or measurable declines connected to the Blog Post. It offers no facts permitting a non-speculative causal inference that the Blog Post—largely composed of the Magazine Article itself—caused a specific and realized economic loss to Global Media.</w:t>
      </w:r>
    </w:p>
    <w:p>
      <w:pPr>
        <w:pStyle w:val="BodyText"/>
      </w:pPr>
      <w:r>
        <w:t xml:space="preserve">Global Media may attempt to recast its “cost the Magazine business” allegation as inherently economic and thus sufficient by its nature. But § 45a requires more than a label; it requires proof of special damages as a factual matter. Cal. Civ. Code § 45a. </w:t>
      </w:r>
      <w:r>
        <w:fldChar w:fldCharType="begin"/>
      </w:r>
      <w:r>
        <w:instrText>TA \l "Cal. Civ. Code § 45a" \s "California Civil Code Section 45a" \c 2</w:instrText>
      </w:r>
      <w:r>
        <w:fldChar w:fldCharType="separate"/>
      </w:r>
      <w:r>
        <w:fldChar w:fldCharType="end"/>
      </w:r>
      <w:r>
        <w:t xml:space="preserve"> A generalized assertion of “lost business,” untethered to identified pecuniary losses, is indistinguishable from presumed damages based on alleged reputational harm—precisely what § 45a disallows when the publication is not libel on its face.</w:t>
      </w:r>
    </w:p>
    <w:p>
      <w:pPr>
        <w:pStyle w:val="BodyText"/>
      </w:pPr>
      <w:r>
        <w:t xml:space="preserve">Accordingly, even if the Court assumes arguendo that the Blog Post could be construed as libel under Cal. Civ. Code §§ 44–45 </w:t>
      </w:r>
      <w:r>
        <w:fldChar w:fldCharType="begin"/>
      </w:r>
      <w:r>
        <w:instrText>TA \l "Cal. Civ. Code § 44" \s "California Civil Code Section 44" \c 2</w:instrText>
      </w:r>
      <w:r>
        <w:fldChar w:fldCharType="separate"/>
      </w:r>
      <w:r>
        <w:fldChar w:fldCharType="end"/>
      </w:r>
      <w:r>
        <w:t xml:space="preserve">, the claim still fails unless Global Media can plead and prove special damages under § 45a </w:t>
      </w:r>
      <w:r>
        <w:fldChar w:fldCharType="begin"/>
      </w:r>
      <w:r>
        <w:instrText>TA \l "Cal. Civ. Code § 45a" \s "California Civil Code Section 45a" \c 2</w:instrText>
      </w:r>
      <w:r>
        <w:fldChar w:fldCharType="separate"/>
      </w:r>
      <w:r>
        <w:fldChar w:fldCharType="end"/>
      </w:r>
      <w:r>
        <w:t xml:space="preserve"> On this record—where the Blog Post is described as mostly quotation plus short, ruthless criticism, and Global Media offers only the conclusory assertion that it “cost the Magazine business”—§ 45a bars recovery because the alleged harm is not supported by the required showing of specific, realized pecuniary loss proximately caused by the Blog Post </w:t>
      </w:r>
      <w:r>
        <w:fldChar w:fldCharType="begin"/>
      </w:r>
      <w:r>
        <w:instrText>TA \l "Cal. Civ. Code § 45a" \s "California Civil Code Section 45a" \c 2</w:instrText>
      </w:r>
      <w:r>
        <w:fldChar w:fldCharType="separate"/>
      </w:r>
      <w:r>
        <w:fldChar w:fldCharType="end"/>
      </w:r>
      <w:r>
        <w:t xml:space="preserve"> Cal. Civ. Code § 45a.</w:t>
      </w:r>
    </w:p>
    <w:p>
      <w:bookmarkStart w:id="24" w:name="argument"/>
      <w:bookmarkStart w:id="25" w:name="X6a9b2ada8af9340601f157c86f38d83d6ac9246"/>
      <w:bookmarkEnd w:id="24"/>
      <w:bookmarkEnd w:id="25"/>
      <w:r>
        <w:br w:type="page"/>
      </w:r>
    </w:p>
    <w:p>
      <w:pPr>
        <w:pStyle w:val="Heading1"/>
      </w:pPr>
      <w:bookmarkStart w:id="26" w:name="_Toc256000013"/>
      <w:r>
        <w:t>Conclusion</w:t>
      </w:r>
      <w:bookmarkEnd w:id="26"/>
    </w:p>
    <w:p>
      <w:pPr>
        <w:pStyle w:val="FirstParagraph"/>
      </w:pPr>
      <w:r>
        <w:t>For the foregoing reasons, Ms. Smith respectfully requests that the Court enter judgment in favor of Ms. Smith and against Global Media.</w:t>
      </w:r>
    </w:p>
    <w:p>
      <w:pPr>
        <w:spacing w:before="240" w:after="240"/>
      </w:pP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Pr>
          <w:p>
            <w:pPr>
              <w:widowControl w:val="0"/>
              <w:spacing w:before="240" w:after="200"/>
              <w:ind w:left="0" w:firstLine="0"/>
            </w:pPr>
            <w:r>
              <w:t>Dated: [DATE]</w:t>
            </w:r>
          </w:p>
        </w:tc>
        <w:tc>
          <w:tcPr>
            <w:tcW w:w="4679" w:type="dxa"/>
          </w:tcPr>
          <w:p>
            <w:pPr>
              <w:widowControl w:val="0"/>
              <w:spacing w:before="0" w:after="240" w:line="240" w:lineRule="auto"/>
              <w:ind w:left="0" w:firstLine="0"/>
            </w:pPr>
            <w:r>
              <w:t>Respectfully submitted,</w:t>
            </w:r>
          </w:p>
          <w:p>
            <w:pPr>
              <w:widowControl w:val="0"/>
              <w:spacing w:before="480" w:after="0" w:line="240" w:lineRule="auto"/>
              <w:ind w:left="0" w:firstLine="0"/>
            </w:pPr>
            <w:r>
              <w:t>____________________________</w:t>
            </w:r>
          </w:p>
          <w:p>
            <w:pPr>
              <w:widowControl w:val="0"/>
              <w:spacing w:before="120" w:after="0" w:line="240" w:lineRule="auto"/>
              <w:ind w:left="0" w:firstLine="0"/>
            </w:pPr>
            <w:r>
              <w:t>[ATTORNEY NAME]</w:t>
            </w:r>
          </w:p>
          <w:p>
            <w:pPr>
              <w:widowControl w:val="0"/>
              <w:spacing w:before="0" w:after="0" w:line="240" w:lineRule="auto"/>
              <w:ind w:left="0" w:firstLine="0"/>
            </w:pPr>
            <w:r>
              <w:t>Attorney for Defendant</w:t>
            </w:r>
          </w:p>
        </w:tc>
      </w:tr>
    </w:tbl>
    <w:p>
      <w:bookmarkStart w:id="27" w:name="conclusion"/>
      <w:bookmarkEnd w:id="27"/>
      <w:r>
        <w:br w:type="page"/>
      </w:r>
    </w:p>
    <w:p>
      <w:pPr>
        <w:pStyle w:val="Heading1"/>
      </w:pPr>
      <w:bookmarkStart w:id="28" w:name="_Toc256000014"/>
      <w:r>
        <w:t>Certificate of Compliance</w:t>
      </w:r>
      <w:bookmarkEnd w:id="28"/>
    </w:p>
    <w:p>
      <w:pPr>
        <w:pStyle w:val="centeredstyle"/>
      </w:pPr>
      <w:r>
        <w:t>CERTIFICATE OF COMPLIANCE WITH [COURT_RULES]</w:t>
      </w:r>
    </w:p>
    <w:p>
      <w:pPr>
        <w:pStyle w:val="BodyText"/>
      </w:pPr>
      <w:r>
        <w:t>I, [YOUR_NAME], counsel for the Defendant, hereby certify that, according to the word-count tool in Microsoft Word, the Brief of Defendant consists of 7468 words, excluding footnotes. The Brief therefore complies with [COURT_RULES] and is within the [WORD_LIMIT] word limit.</w:t>
      </w:r>
    </w:p>
    <w:p>
      <w:pPr>
        <w:pStyle w:val="BodyText"/>
      </w:pPr>
      <w:r>
        <w:t>Dated 26 of March, 2026.</w:t>
      </w:r>
    </w:p>
    <w:p>
      <w:r>
        <mc:AlternateContent>
          <mc:Choice Requires="wps">
            <w:drawing>
              <wp:inline distT="0" distB="0" distL="0" distR="0">
                <wp:extent cx="5943600" cy="19050"/>
                <wp:effectExtent l="0" t="0" r="0" b="0"/>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5" style="width:467.95pt;height:1.45pt;margin-top:0;margin-left:0;mso-position-horizontal:center;mso-position-vertical:top;mso-wrap-style:none;position:absolute;v-text-anchor:middle;z-index:251658240"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6" style="width:467.95pt;height:1.45pt;margin-top:0;margin-left:0;mso-position-horizontal:center;mso-position-vertical:top;mso-wrap-style:none;position:absolute;v-text-anchor:middle;z-index:251659264"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p>
    <w:p>
      <w:bookmarkStart w:id="29" w:name="certificate-of-compliance"/>
      <w:bookmarkEnd w:id="29"/>
      <w:r>
        <w:br w:type="page"/>
      </w:r>
    </w:p>
    <w:p>
      <w:pPr>
        <w:pStyle w:val="Heading1"/>
      </w:pPr>
      <w:bookmarkStart w:id="30" w:name="certificate-of-service"/>
      <w:bookmarkStart w:id="31" w:name="_Toc256000015"/>
      <w:r>
        <w:t>Certificate of Service</w:t>
      </w:r>
      <w:bookmarkEnd w:id="31"/>
    </w:p>
    <w:p>
      <w:pPr>
        <w:pStyle w:val="centeredstyle"/>
      </w:pPr>
      <w:r>
        <w:t>NO. [CASE_NUMBER]</w:t>
      </w:r>
    </w:p>
    <w:p>
      <w:pPr>
        <w:pStyle w:val="centeredstyle"/>
      </w:pPr>
      <w:r>
        <w:t>IN THE CALIFORNIA STATE TRIAL COURT</w:t>
      </w:r>
    </w:p>
    <w:p>
      <w:r>
        <mc:AlternateContent>
          <mc:Choice Requires="wps">
            <w:drawing>
              <wp:inline distT="0" distB="0" distL="0" distR="0">
                <wp:extent cx="5943600" cy="19050"/>
                <wp:effectExtent l="0" t="0" r="0" b="0"/>
                <wp:docPr id="3"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7" style="width:467.95pt;height:1.45pt;margin-top:0;margin-left:0;mso-position-horizontal:center;mso-position-vertical:top;mso-wrap-style:none;position:absolute;v-text-anchor:middle;z-index:251660288" o:allowincell="f" fillcolor="white" stroked="t" strokecolor="black">
                <v:fill color2="black" type="solid" o:detectmouseclick="t"/>
                <v:stroke joinstyle="round" endcap="flat"/>
                <w10:wrap type="topAndBottom"/>
              </v:rect>
            </w:pict>
          </mc:Fallback>
        </mc:AlternateContent>
      </w:r>
    </w:p>
    <w:p>
      <w:pPr>
        <w:pStyle w:val="centeredstyle"/>
      </w:pPr>
      <w:r>
        <w:t>GLOBAL MEDIA, INC.</w:t>
      </w:r>
    </w:p>
    <w:p>
      <w:pPr>
        <w:pStyle w:val="centeredstyle"/>
      </w:pPr>
      <w:r>
        <w:t>v.</w:t>
      </w:r>
    </w:p>
    <w:p>
      <w:pPr>
        <w:pStyle w:val="centeredstyle"/>
      </w:pPr>
      <w:r>
        <w:t>JANE SMITH</w:t>
      </w:r>
    </w:p>
    <w:p>
      <w:r>
        <mc:AlternateContent>
          <mc:Choice Requires="wps">
            <w:drawing>
              <wp:inline distT="0" distB="0" distL="0" distR="0">
                <wp:extent cx="5943600" cy="19050"/>
                <wp:effectExtent l="0" t="0" r="0" b="0"/>
                <wp:docPr id="4"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8" style="width:467.95pt;height:1.45pt;margin-top:0;margin-left:0;mso-position-horizontal:center;mso-position-vertical:top;mso-wrap-style:none;position:absolute;v-text-anchor:middle;z-index:251661312" o:allowincell="f" fillcolor="white" stroked="t" strokecolor="black">
                <v:fill color2="black" type="solid" o:detectmouseclick="t"/>
                <v:stroke joinstyle="round" endcap="flat"/>
                <w10:wrap type="topAndBottom"/>
              </v:rect>
            </w:pict>
          </mc:Fallback>
        </mc:AlternateContent>
      </w:r>
    </w:p>
    <w:p>
      <w:pPr>
        <w:pStyle w:val="centeredstyle"/>
      </w:pPr>
      <w:r>
        <w:t>CERTIFICATE OF SERVICE</w:t>
      </w:r>
    </w:p>
    <w:p>
      <w:pPr>
        <w:pStyle w:val="BodyText"/>
      </w:pPr>
      <w:r>
        <w:t>This is to certify that I am counsel for the Defendant in the above-captioned case. On Thursday, March 26, 2026, I served a copy of the foregoing brief: ‘Legal Brief’ by [METHOD_OF_SERVICE] on the following parties:</w:t>
      </w:r>
    </w:p>
    <w:p>
      <w:pPr>
        <w:pStyle w:val="BodyText"/>
      </w:pPr>
      <w:r>
        <w:t>Dated 26 of March, 2026.</w:t>
      </w:r>
    </w:p>
    <w:p>
      <w:r>
        <mc:AlternateContent>
          <mc:Choice Requires="wps">
            <w:drawing>
              <wp:inline distT="0" distB="0" distL="0" distR="0">
                <wp:extent cx="5943600" cy="19050"/>
                <wp:effectExtent l="0" t="0" r="0" b="0"/>
                <wp:docPr id="5"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9" style="width:467.95pt;height:1.45pt;margin-top:0;margin-left:0;mso-position-horizontal:center;mso-position-vertical:top;mso-wrap-style:none;position:absolute;v-text-anchor:middle;z-index:251662336"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6"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30" style="width:467.95pt;height:1.45pt;margin-top:0;margin-left:0;mso-position-horizontal:center;mso-position-vertical:top;mso-wrap-style:none;position:absolute;v-text-anchor:middle;z-index:251663360"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bookmarkEnd w:id="30"/>
    </w:p>
    <w:sectPr>
      <w:footerReference w:type="even" r:id="rId4"/>
      <w:footerReference w:type="default" r:id="rId5"/>
      <w:type w:val="nextPage"/>
      <w:pgSz w:w="12240" w:h="15840"/>
      <w:pgMar w:top="1440" w:right="1440" w:bottom="1440" w:left="1440" w:header="0" w:footer="720" w:gutter="0"/>
      <w:pgNumType w:fmt="decimal"/>
      <w:cols w:space="720"/>
      <w:formProt w:val="0"/>
      <w:titlePg/>
      <w:textDirection w:val="lrTb"/>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0"/>
    <w:family w:val="roman"/>
    <w:pitch w:val="variable"/>
  </w:font>
  <w:font w:name="Franklin Gothic Book">
    <w:charset w:val="00"/>
    <w:family w:val="roman"/>
    <w:pitch w:val="variable"/>
  </w:font>
  <w:font w:name="Constantia">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03355535"/>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79103640"/>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sdtContent>
  </w:sdt>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2F29FF"/>
    <w:multiLevelType w:val="hybridMultilevel"/>
    <w:tmpl w:val="0000000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1A6EB435"/>
    <w:multiLevelType w:val="hybridMultilevel"/>
    <w:tmpl w:val="0000000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nsid w:val="34218B53"/>
    <w:multiLevelType w:val="hybridMultilevel"/>
    <w:tmpl w:val="000000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3798DDD4"/>
    <w:multiLevelType w:val="hybridMultilevel"/>
    <w:tmpl w:val="00000000"/>
    <w:lvl w:ilvl="0">
      <w:start w:val="1"/>
      <w:numFmt w:val="upperRoman"/>
      <w:lvlText w:val="%1."/>
      <w:lvlJc w:val="left"/>
      <w:pPr>
        <w:tabs>
          <w:tab w:val="num" w:pos="0"/>
        </w:tabs>
        <w:ind w:left="0" w:firstLine="0"/>
      </w:pPr>
    </w:lvl>
    <w:lvl w:ilvl="1">
      <w:start w:val="1"/>
      <w:numFmt w:val="upperRoman"/>
      <w:pStyle w:val="Heading2"/>
      <w:lvlText w:val="%2."/>
      <w:lvlJc w:val="left"/>
      <w:pPr>
        <w:tabs>
          <w:tab w:val="num" w:pos="0"/>
        </w:tabs>
        <w:ind w:left="720" w:hanging="720"/>
      </w:pPr>
    </w:lvl>
    <w:lvl w:ilvl="2">
      <w:start w:val="1"/>
      <w:numFmt w:val="upperLetter"/>
      <w:pStyle w:val="Heading3"/>
      <w:suff w:val="space"/>
      <w:lvlText w:val="%3."/>
      <w:lvlJc w:val="left"/>
      <w:pPr>
        <w:tabs>
          <w:tab w:val="num" w:pos="0"/>
        </w:tabs>
        <w:ind w:left="1440" w:hanging="72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abstractNum w:abstractNumId="4">
    <w:nsid w:val="3D45C102"/>
    <w:multiLevelType w:val="hybridMultilevel"/>
    <w:tmpl w:val="0000000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41C4CF7B"/>
    <w:multiLevelType w:val="hybridMultilevel"/>
    <w:tmpl w:val="0000000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4C320A73"/>
    <w:multiLevelType w:val="hybridMultilevel"/>
    <w:tmpl w:val="00000000"/>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C9845CD"/>
    <w:multiLevelType w:val="hybridMultilevel"/>
    <w:tmpl w:val="00000000"/>
    <w:lvl w:ilvl="0">
      <w:start w:va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nsid w:val="52CAB9D4"/>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7CEAA6D"/>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4"/>
  </w:num>
  <w:num w:numId="3">
    <w:abstractNumId w:val="8"/>
  </w:num>
  <w:num w:numId="4">
    <w:abstractNumId w:val="0"/>
  </w:num>
  <w:num w:numId="5">
    <w:abstractNumId w:val="5"/>
  </w:num>
  <w:num w:numId="6">
    <w:abstractNumId w:val="6"/>
  </w:num>
  <w:num w:numId="7">
    <w:abstractNumId w:val="2"/>
  </w:num>
  <w:num w:numId="8">
    <w:abstractNumId w:val="9"/>
  </w:num>
  <w:num w:numId="9">
    <w:abstractNumId w:val="1"/>
  </w:num>
  <w:num w:numId="10">
    <w:abstractNumId w:val="7"/>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toc 1" w:uiPriority="39"/>
    <w:lsdException w:name="toc 2" w:uiPriority="39"/>
    <w:lsdException w:name="toc 3" w:uiPriority="39"/>
    <w:lsdException w:name="table of authorities" w:uiPriority="99"/>
    <w:lsdException w:name="toa heading"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9F"/>
    <w:pPr>
      <w:widowControl/>
      <w:bidi w:val="0"/>
      <w:spacing w:before="0" w:after="200"/>
      <w:jc w:val="left"/>
    </w:pPr>
    <w:rPr>
      <w:rFonts w:ascii="Constantia" w:hAnsi="Constantia" w:eastAsiaTheme="minorHAnsi" w:cstheme="minorBidi"/>
      <w:color w:val="auto"/>
      <w:kern w:val="0"/>
      <w:sz w:val="24"/>
      <w:szCs w:val="24"/>
      <w:lang w:val="en-US" w:eastAsia="en-US" w:bidi="ar-SA"/>
    </w:rPr>
  </w:style>
  <w:style w:type="paragraph" w:styleId="Heading1">
    <w:name w:val="heading 1"/>
    <w:basedOn w:val="Normal"/>
    <w:next w:val="BodyText"/>
    <w:uiPriority w:val="9"/>
    <w:qFormat/>
    <w:rsid w:val="0067625C"/>
    <w:pPr>
      <w:keepNext/>
      <w:keepLines/>
      <w:spacing w:before="480" w:after="240"/>
      <w:jc w:val="center"/>
      <w:outlineLvl w:val="0"/>
    </w:pPr>
    <w:rPr>
      <w:rFonts w:asciiTheme="majorHAnsi" w:eastAsiaTheme="majorEastAsia" w:hAnsiTheme="majorHAnsi" w:cs="Times New Roman (Headings CS)"/>
      <w:b/>
      <w:bCs/>
      <w:caps/>
      <w:sz w:val="32"/>
      <w:szCs w:val="32"/>
      <w:u w:val="single"/>
    </w:rPr>
  </w:style>
  <w:style w:type="paragraph" w:styleId="Heading2">
    <w:name w:val="heading 2"/>
    <w:basedOn w:val="Normal"/>
    <w:next w:val="BodyText"/>
    <w:uiPriority w:val="9"/>
    <w:unhideWhenUsed/>
    <w:qFormat/>
    <w:rsid w:val="00F6070A"/>
    <w:pPr>
      <w:keepNext/>
      <w:keepLines/>
      <w:numPr>
        <w:ilvl w:val="1"/>
        <w:numId w:val="1"/>
      </w:numPr>
      <w:spacing w:before="200" w:after="200"/>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D01E7"/>
    <w:pPr>
      <w:numPr>
        <w:ilvl w:val="2"/>
        <w:numId w:val="1"/>
      </w:numPr>
      <w:ind w:left="1080" w:hanging="360"/>
      <w:outlineLvl w:val="2"/>
    </w:pPr>
  </w:style>
  <w:style w:type="paragraph" w:styleId="Heading4">
    <w:name w:val="heading 4"/>
    <w:basedOn w:val="Normal"/>
    <w:next w:val="BodyText"/>
    <w:uiPriority w:val="9"/>
    <w:unhideWhenUsed/>
    <w:qFormat/>
    <w:rsid w:val="00F6070A"/>
    <w:pPr>
      <w:keepNext/>
      <w:keepLines/>
      <w:numPr>
        <w:ilvl w:val="3"/>
        <w:numId w:val="1"/>
      </w:numPr>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F6070A"/>
    <w:pPr>
      <w:keepNext/>
      <w:keepLines/>
      <w:numPr>
        <w:ilvl w:val="4"/>
        <w:numId w:val="1"/>
      </w:numPr>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F6070A"/>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F6070A"/>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F6070A"/>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F6070A"/>
    <w:pPr>
      <w:keepNext/>
      <w:keepLines/>
      <w:numPr>
        <w:ilvl w:val="8"/>
        <w:numId w:val="1"/>
      </w:numPr>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character" w:customStyle="1" w:styleId="CaptionChar">
    <w:name w:val="Caption Char"/>
    <w:basedOn w:val="DefaultParagraphFont"/>
    <w:link w:val="Caption"/>
    <w:qFormat/>
  </w:style>
  <w:style w:type="character" w:customStyle="1" w:styleId="VerbatimChar">
    <w:name w:val="Verbatim Char"/>
    <w:basedOn w:val="CaptionChar"/>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sid w:val="00C772B3"/>
    <w:rPr>
      <w:color w:val="000000" w:themeColor="text1"/>
    </w:rPr>
  </w:style>
  <w:style w:type="character" w:customStyle="1" w:styleId="FooterChar">
    <w:name w:val="Footer Char"/>
    <w:basedOn w:val="DefaultParagraphFont"/>
    <w:link w:val="Footer"/>
    <w:qFormat/>
    <w:rsid w:val="002C6476"/>
  </w:style>
  <w:style w:type="character" w:styleId="PageNumber">
    <w:name w:val="page number"/>
    <w:basedOn w:val="DefaultParagraphFont"/>
    <w:qFormat/>
    <w:rsid w:val="002C6476"/>
  </w:style>
  <w:style w:type="character" w:customStyle="1" w:styleId="TableofAuthoritiesChar">
    <w:name w:val="Table of Authorities Char"/>
    <w:basedOn w:val="DefaultParagraphFont"/>
    <w:link w:val="TableofAuthorities"/>
    <w:uiPriority w:val="99"/>
    <w:qFormat/>
    <w:rsid w:val="000F239C"/>
    <w:rPr>
      <w:rFonts w:ascii="Constantia" w:hAnsi="Constantia" w:cs="Times New Roman (Body CS)"/>
    </w:rPr>
  </w:style>
  <w:style w:type="character" w:customStyle="1" w:styleId="KeywordTok">
    <w:name w:val="KeywordTok"/>
    <w:basedOn w:val="VerbatimChar"/>
    <w:qFormat/>
    <w:rPr>
      <w:b/>
      <w:color w:val="007020"/>
    </w:rPr>
  </w:style>
  <w:style w:type="character" w:customStyle="1" w:styleId="DataTypeTok">
    <w:name w:val="DataTypeTok"/>
    <w:basedOn w:val="VerbatimChar"/>
    <w:qFormat/>
    <w:rPr>
      <w:color w:val="902000"/>
    </w:rPr>
  </w:style>
  <w:style w:type="character" w:customStyle="1" w:styleId="DecValTok">
    <w:name w:val="DecValTok"/>
    <w:basedOn w:val="VerbatimChar"/>
    <w:qFormat/>
    <w:rPr>
      <w:color w:val="40A070"/>
    </w:rPr>
  </w:style>
  <w:style w:type="character" w:customStyle="1" w:styleId="BaseNTok">
    <w:name w:val="BaseNTok"/>
    <w:basedOn w:val="VerbatimChar"/>
    <w:qFormat/>
    <w:rPr>
      <w:color w:val="40A070"/>
    </w:rPr>
  </w:style>
  <w:style w:type="character" w:customStyle="1" w:styleId="FloatTok">
    <w:name w:val="FloatTok"/>
    <w:basedOn w:val="VerbatimChar"/>
    <w:qFormat/>
    <w:rPr>
      <w:color w:val="40A070"/>
    </w:rPr>
  </w:style>
  <w:style w:type="character" w:customStyle="1" w:styleId="ConstantTok">
    <w:name w:val="ConstantTok"/>
    <w:basedOn w:val="VerbatimChar"/>
    <w:qFormat/>
    <w:rPr>
      <w:color w:val="880000"/>
    </w:rPr>
  </w:style>
  <w:style w:type="character" w:customStyle="1" w:styleId="CharTok">
    <w:name w:val="CharTok"/>
    <w:basedOn w:val="VerbatimChar"/>
    <w:qFormat/>
    <w:rPr>
      <w:color w:val="4070A0"/>
    </w:rPr>
  </w:style>
  <w:style w:type="character" w:customStyle="1" w:styleId="SpecialCharTok">
    <w:name w:val="SpecialCharTok"/>
    <w:basedOn w:val="VerbatimChar"/>
    <w:qFormat/>
    <w:rPr>
      <w:color w:val="4070A0"/>
    </w:rPr>
  </w:style>
  <w:style w:type="character" w:customStyle="1" w:styleId="StringTok">
    <w:name w:val="StringTok"/>
    <w:basedOn w:val="VerbatimChar"/>
    <w:qFormat/>
    <w:rPr>
      <w:color w:val="4070A0"/>
    </w:rPr>
  </w:style>
  <w:style w:type="character" w:customStyle="1" w:styleId="VerbatimStringTok">
    <w:name w:val="VerbatimStringTok"/>
    <w:basedOn w:val="VerbatimChar"/>
    <w:qFormat/>
    <w:rPr>
      <w:color w:val="4070A0"/>
    </w:rPr>
  </w:style>
  <w:style w:type="character" w:customStyle="1" w:styleId="SpecialStringTok">
    <w:name w:val="SpecialStringTok"/>
    <w:basedOn w:val="VerbatimChar"/>
    <w:qFormat/>
    <w:rPr>
      <w:color w:val="BB6688"/>
    </w:rPr>
  </w:style>
  <w:style w:type="character" w:customStyle="1" w:styleId="ImportTok">
    <w:name w:val="ImportTok"/>
    <w:basedOn w:val="VerbatimChar"/>
    <w:qFormat/>
    <w:rPr>
      <w:b/>
      <w:color w:val="008000"/>
    </w:rPr>
  </w:style>
  <w:style w:type="character" w:customStyle="1" w:styleId="CommentTok">
    <w:name w:val="CommentTok"/>
    <w:basedOn w:val="VerbatimChar"/>
    <w:qFormat/>
    <w:rPr>
      <w:i/>
      <w:color w:val="60A0B0"/>
    </w:rPr>
  </w:style>
  <w:style w:type="character" w:customStyle="1" w:styleId="DocumentationTok">
    <w:name w:val="DocumentationTok"/>
    <w:basedOn w:val="VerbatimChar"/>
    <w:qFormat/>
    <w:rPr>
      <w:i/>
      <w:color w:val="BA2121"/>
    </w:rPr>
  </w:style>
  <w:style w:type="character" w:customStyle="1" w:styleId="AnnotationTok">
    <w:name w:val="AnnotationTok"/>
    <w:basedOn w:val="VerbatimChar"/>
    <w:qFormat/>
    <w:rPr>
      <w:b/>
      <w:i/>
      <w:color w:val="60A0B0"/>
    </w:rPr>
  </w:style>
  <w:style w:type="character" w:customStyle="1" w:styleId="CommentVarTok">
    <w:name w:val="CommentVarTok"/>
    <w:basedOn w:val="VerbatimChar"/>
    <w:qFormat/>
    <w:rPr>
      <w:b/>
      <w:i/>
      <w:color w:val="60A0B0"/>
    </w:rPr>
  </w:style>
  <w:style w:type="character" w:customStyle="1" w:styleId="OtherTok">
    <w:name w:val="OtherTok"/>
    <w:basedOn w:val="VerbatimChar"/>
    <w:qFormat/>
    <w:rPr>
      <w:color w:val="007020"/>
    </w:rPr>
  </w:style>
  <w:style w:type="character" w:customStyle="1" w:styleId="FunctionTok">
    <w:name w:val="FunctionTok"/>
    <w:basedOn w:val="VerbatimChar"/>
    <w:qFormat/>
    <w:rPr>
      <w:color w:val="06287E"/>
    </w:rPr>
  </w:style>
  <w:style w:type="character" w:customStyle="1" w:styleId="VariableTok">
    <w:name w:val="VariableTok"/>
    <w:basedOn w:val="VerbatimChar"/>
    <w:qFormat/>
    <w:rPr>
      <w:color w:val="19177C"/>
    </w:rPr>
  </w:style>
  <w:style w:type="character" w:customStyle="1" w:styleId="ControlFlowTok">
    <w:name w:val="ControlFlowTok"/>
    <w:basedOn w:val="VerbatimChar"/>
    <w:qFormat/>
    <w:rPr>
      <w:b/>
      <w:color w:val="007020"/>
    </w:rPr>
  </w:style>
  <w:style w:type="character" w:customStyle="1" w:styleId="OperatorTok">
    <w:name w:val="OperatorTok"/>
    <w:basedOn w:val="VerbatimChar"/>
    <w:qFormat/>
    <w:rPr>
      <w:color w:val="666666"/>
    </w:rPr>
  </w:style>
  <w:style w:type="character" w:customStyle="1" w:styleId="BuiltInTok">
    <w:name w:val="BuiltInTok"/>
    <w:basedOn w:val="VerbatimChar"/>
    <w:qFormat/>
    <w:rPr>
      <w:color w:val="008000"/>
    </w:rPr>
  </w:style>
  <w:style w:type="character" w:customStyle="1" w:styleId="ExtensionTok">
    <w:name w:val="ExtensionTok"/>
    <w:basedOn w:val="VerbatimChar"/>
    <w:qFormat/>
  </w:style>
  <w:style w:type="character" w:customStyle="1" w:styleId="PreprocessorTok">
    <w:name w:val="PreprocessorTok"/>
    <w:basedOn w:val="VerbatimChar"/>
    <w:qFormat/>
    <w:rPr>
      <w:color w:val="BC7A00"/>
    </w:rPr>
  </w:style>
  <w:style w:type="character" w:customStyle="1" w:styleId="AttributeTok">
    <w:name w:val="AttributeTok"/>
    <w:basedOn w:val="VerbatimChar"/>
    <w:qFormat/>
    <w:rPr>
      <w:color w:val="7D9029"/>
    </w:rPr>
  </w:style>
  <w:style w:type="character" w:customStyle="1" w:styleId="RegionMarkerTok">
    <w:name w:val="RegionMarkerTok"/>
    <w:basedOn w:val="VerbatimChar"/>
    <w:qFormat/>
  </w:style>
  <w:style w:type="character" w:customStyle="1" w:styleId="InformationTok">
    <w:name w:val="InformationTok"/>
    <w:basedOn w:val="VerbatimChar"/>
    <w:qFormat/>
    <w:rPr>
      <w:b/>
      <w:i/>
      <w:color w:val="60A0B0"/>
    </w:rPr>
  </w:style>
  <w:style w:type="character" w:customStyle="1" w:styleId="WarningTok">
    <w:name w:val="WarningTok"/>
    <w:basedOn w:val="VerbatimChar"/>
    <w:qFormat/>
    <w:rPr>
      <w:b/>
      <w:i/>
      <w:color w:val="60A0B0"/>
    </w:rPr>
  </w:style>
  <w:style w:type="character" w:customStyle="1" w:styleId="AlertTok">
    <w:name w:val="AlertTok"/>
    <w:basedOn w:val="VerbatimChar"/>
    <w:qFormat/>
    <w:rPr>
      <w:b/>
      <w:color w:val="FF0000"/>
    </w:rPr>
  </w:style>
  <w:style w:type="character" w:customStyle="1" w:styleId="ErrorTok">
    <w:name w:val="ErrorTok"/>
    <w:basedOn w:val="VerbatimChar"/>
    <w:qFormat/>
    <w:rPr>
      <w:b/>
      <w:color w:val="FF0000"/>
    </w:rPr>
  </w:style>
  <w:style w:type="character" w:customStyle="1" w:styleId="NormalTok">
    <w:name w:val="NormalTok"/>
    <w:basedOn w:val="VerbatimChar"/>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qFormat/>
    <w:rsid w:val="009F741B"/>
    <w:pPr>
      <w:spacing w:before="0" w:after="0" w:line="480" w:lineRule="auto"/>
      <w:ind w:firstLine="720"/>
    </w:pPr>
  </w:style>
  <w:style w:type="paragraph" w:styleId="List">
    <w:name w:val="List"/>
    <w:basedOn w:val="Normal"/>
    <w:rsid w:val="001A6454"/>
    <w:pPr>
      <w:spacing w:before="0" w:after="200"/>
      <w:ind w:left="360" w:hanging="360"/>
      <w:contextualSpacing/>
    </w:p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6D7BB9"/>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styleId="Date">
    <w:name w:val="Date"/>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72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widowControl/>
      <w:bidi w:val="0"/>
      <w:spacing w:before="100" w:after="100"/>
      <w:ind w:left="480" w:right="480" w:firstLine="0"/>
      <w:jc w:val="left"/>
    </w:pPr>
    <w:rPr>
      <w:rFonts w:asciiTheme="minorHAnsi" w:eastAsiaTheme="minorHAnsi" w:hAnsiTheme="minorHAnsi" w:cstheme="minorBidi"/>
      <w:color w:val="auto"/>
      <w:kern w:val="0"/>
      <w:sz w:val="24"/>
      <w:szCs w:val="24"/>
      <w:lang w:val="en-US" w:eastAsia="en-US" w:bidi="ar-SA"/>
    </w:rPr>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styleId="Caption">
    <w:name w:val="caption"/>
    <w:basedOn w:val="Normal"/>
    <w:link w:val="CaptionChar"/>
    <w:qFormat/>
    <w:pPr>
      <w:spacing w:before="0" w:after="120"/>
    </w:pPr>
    <w:rPr>
      <w:i/>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53669C"/>
    <w:pPr>
      <w:spacing w:before="240" w:after="240" w:line="259" w:lineRule="auto"/>
      <w:outlineLvl w:val="9"/>
    </w:pPr>
    <w:rPr>
      <w:bCs w:val="0"/>
      <w:caps w:val="0"/>
      <w:smallCaps w:val="0"/>
      <w:sz w:val="28"/>
      <w:u w:val="none"/>
    </w:rPr>
  </w:style>
  <w:style w:type="paragraph" w:customStyle="1" w:styleId="HeaderandFooter">
    <w:name w:val="Header and Footer"/>
    <w:basedOn w:val="Normal"/>
    <w:qFormat/>
  </w:style>
  <w:style w:type="paragraph" w:styleId="Footer">
    <w:name w:val="footer"/>
    <w:basedOn w:val="Normal"/>
    <w:link w:val="FooterChar"/>
    <w:rsid w:val="002C6476"/>
    <w:pPr>
      <w:tabs>
        <w:tab w:val="clear" w:pos="720"/>
        <w:tab w:val="center" w:pos="4680"/>
        <w:tab w:val="right" w:pos="9360"/>
      </w:tabs>
      <w:spacing w:before="0" w:after="0"/>
    </w:pPr>
  </w:style>
  <w:style w:type="paragraph" w:styleId="TOC1">
    <w:name w:val="toc 1"/>
    <w:basedOn w:val="Normal"/>
    <w:next w:val="Normal"/>
    <w:autoRedefine/>
    <w:uiPriority w:val="39"/>
    <w:rsid w:val="00F069A8"/>
    <w:pPr>
      <w:tabs>
        <w:tab w:val="clear" w:pos="720"/>
        <w:tab w:val="right" w:leader="dot" w:pos="9350"/>
      </w:tabs>
      <w:spacing w:before="240" w:after="240"/>
      <w:ind w:right="720" w:firstLine="0"/>
    </w:pPr>
    <w:rPr>
      <w:rFonts w:cs="Times New Roman (Body CS)"/>
      <w:caps/>
    </w:rPr>
  </w:style>
  <w:style w:type="paragraph" w:styleId="TOC2">
    <w:name w:val="toc 2"/>
    <w:basedOn w:val="Normal"/>
    <w:next w:val="Normal"/>
    <w:autoRedefine/>
    <w:uiPriority w:val="39"/>
    <w:rsid w:val="00F069A8"/>
    <w:pPr>
      <w:tabs>
        <w:tab w:val="left" w:pos="360"/>
        <w:tab w:val="right" w:leader="dot" w:pos="9350"/>
      </w:tabs>
      <w:spacing w:before="240" w:after="240"/>
      <w:ind w:right="720" w:firstLine="0"/>
    </w:pPr>
    <w:rPr>
      <w:rFonts w:cs="Times New Roman (Body CS)"/>
    </w:rPr>
  </w:style>
  <w:style w:type="paragraph" w:styleId="TOC3">
    <w:name w:val="toc 3"/>
    <w:basedOn w:val="Normal"/>
    <w:next w:val="Normal"/>
    <w:autoRedefine/>
    <w:uiPriority w:val="39"/>
    <w:rsid w:val="00F069A8"/>
    <w:pPr>
      <w:tabs>
        <w:tab w:val="left" w:pos="360"/>
        <w:tab w:val="clear" w:pos="720"/>
        <w:tab w:val="right" w:leader="dot" w:pos="9350"/>
      </w:tabs>
      <w:spacing w:before="240" w:after="240"/>
      <w:ind w:left="475" w:right="720" w:firstLine="0"/>
    </w:pPr>
    <w:rPr>
      <w:rFonts w:cs="Times New Roman (Body CS)"/>
    </w:rPr>
  </w:style>
  <w:style w:type="paragraph" w:customStyle="1" w:styleId="centeredstyle">
    <w:name w:val="centered_style"/>
    <w:basedOn w:val="Normal"/>
    <w:qFormat/>
    <w:rsid w:val="007F4339"/>
    <w:pPr>
      <w:jc w:val="center"/>
    </w:pPr>
  </w:style>
  <w:style w:type="paragraph" w:styleId="TOAHeading">
    <w:name w:val="toa heading"/>
    <w:basedOn w:val="Normal"/>
    <w:next w:val="Normal"/>
    <w:uiPriority w:val="99"/>
    <w:qFormat/>
    <w:rsid w:val="007A7E0E"/>
    <w:pPr>
      <w:spacing w:before="120" w:after="200"/>
    </w:pPr>
    <w:rPr>
      <w:rFonts w:asciiTheme="majorHAnsi" w:eastAsiaTheme="majorEastAsia" w:hAnsiTheme="majorHAnsi" w:cstheme="majorBidi"/>
      <w:b/>
      <w:bCs/>
    </w:rPr>
  </w:style>
  <w:style w:type="paragraph" w:styleId="TableofAuthorities">
    <w:name w:val="table of authorities"/>
    <w:basedOn w:val="Normal"/>
    <w:next w:val="Normal"/>
    <w:link w:val="TableofAuthoritiesChar"/>
    <w:uiPriority w:val="99"/>
    <w:qFormat/>
    <w:rsid w:val="000F239C"/>
    <w:pPr>
      <w:tabs>
        <w:tab w:val="clear" w:pos="720"/>
        <w:tab w:val="right" w:leader="dot" w:pos="9360"/>
      </w:tabs>
      <w:spacing w:before="0" w:after="120" w:line="240" w:lineRule="auto"/>
      <w:ind w:left="720" w:hanging="720"/>
    </w:pPr>
    <w:rPr>
      <w:rFonts w:cs="Times New Roman (Body CS)"/>
    </w:rPr>
  </w:style>
  <w:style w:type="paragraph" w:styleId="ListBullet">
    <w:name w:val="List Bullet"/>
    <w:basedOn w:val="Normal"/>
    <w:qFormat/>
    <w:rsid w:val="00D45D12"/>
    <w:pPr>
      <w:numPr>
        <w:ilvl w:val="0"/>
        <w:numId w:val="2"/>
      </w:numPr>
      <w:spacing w:before="0" w:after="200" w:line="480" w:lineRule="auto"/>
      <w:contextualSpacing/>
    </w:pPr>
  </w:style>
  <w:style w:type="paragraph" w:styleId="ListBullet2">
    <w:name w:val="List Bullet 2"/>
    <w:basedOn w:val="Normal"/>
    <w:qFormat/>
    <w:rsid w:val="001A6454"/>
    <w:pPr>
      <w:numPr>
        <w:ilvl w:val="0"/>
        <w:numId w:val="3"/>
      </w:numPr>
      <w:spacing w:before="0" w:after="200"/>
      <w:contextualSpacing/>
    </w:pPr>
  </w:style>
  <w:style w:type="paragraph" w:styleId="ListBullet4">
    <w:name w:val="List Bullet 4"/>
    <w:basedOn w:val="Normal"/>
    <w:qFormat/>
    <w:rsid w:val="001A6454"/>
    <w:pPr>
      <w:numPr>
        <w:ilvl w:val="0"/>
        <w:numId w:val="5"/>
      </w:numPr>
      <w:spacing w:before="0" w:after="200"/>
      <w:contextualSpacing/>
    </w:pPr>
  </w:style>
  <w:style w:type="paragraph" w:styleId="ListBullet5">
    <w:name w:val="List Bullet 5"/>
    <w:basedOn w:val="Normal"/>
    <w:qFormat/>
    <w:rsid w:val="001A6454"/>
    <w:pPr>
      <w:numPr>
        <w:ilvl w:val="0"/>
        <w:numId w:val="6"/>
      </w:numPr>
      <w:spacing w:before="0" w:after="200"/>
      <w:contextualSpacing/>
    </w:pPr>
  </w:style>
  <w:style w:type="paragraph" w:styleId="ListBullet3">
    <w:name w:val="List Bullet 3"/>
    <w:basedOn w:val="Normal"/>
    <w:rsid w:val="001A6454"/>
    <w:pPr>
      <w:spacing w:before="0" w:after="200"/>
      <w:ind w:left="720" w:hanging="360"/>
      <w:contextualSpacing/>
    </w:pPr>
  </w:style>
  <w:style w:type="paragraph" w:styleId="ListNumber">
    <w:name w:val="List Number"/>
    <w:basedOn w:val="Normal"/>
    <w:qFormat/>
    <w:rsid w:val="00D45D12"/>
    <w:pPr>
      <w:numPr>
        <w:ilvl w:val="0"/>
        <w:numId w:val="7"/>
      </w:numPr>
      <w:spacing w:before="0" w:after="200" w:line="480" w:lineRule="auto"/>
      <w:contextualSpacing/>
    </w:pPr>
  </w:style>
  <w:style w:type="paragraph" w:styleId="ListNumber2">
    <w:name w:val="List Number 2"/>
    <w:basedOn w:val="Normal"/>
    <w:qFormat/>
    <w:rsid w:val="001A6454"/>
    <w:pPr>
      <w:numPr>
        <w:ilvl w:val="0"/>
        <w:numId w:val="8"/>
      </w:numPr>
      <w:spacing w:before="0" w:after="200"/>
      <w:contextualSpacing/>
    </w:pPr>
  </w:style>
  <w:style w:type="paragraph" w:customStyle="1" w:styleId="disclaimerstyle">
    <w:name w:val="disclaimer_style"/>
    <w:basedOn w:val="Normal"/>
    <w:qFormat/>
    <w:rsid w:val="004974DC"/>
    <w:rPr>
      <w:rFonts w:ascii="Times New Roman" w:hAnsi="Times New Roman"/>
    </w:rPr>
  </w:style>
  <w:style w:type="paragraph" w:customStyle="1" w:styleId="SourceCode">
    <w:name w:val="Source Code"/>
    <w:basedOn w:val="Normal"/>
    <w:link w:val="VerbatimChar"/>
    <w:qFormat/>
  </w:style>
  <w:style w:type="numbering" w:customStyle="1" w:styleId="CurrentList1">
    <w:name w:val="Current List1"/>
    <w:uiPriority w:val="99"/>
    <w:qFormat/>
    <w:rsid w:val="00674A19"/>
  </w:style>
  <w:style w:type="numbering" w:customStyle="1" w:styleId="CurrentList2">
    <w:name w:val="Current List2"/>
    <w:uiPriority w:val="99"/>
    <w:qFormat/>
    <w:rsid w:val="008B4603"/>
  </w:style>
  <w:style w:type="numbering" w:customStyle="1" w:styleId="CurrentList3">
    <w:name w:val="Current List3"/>
    <w:uiPriority w:val="99"/>
    <w:qFormat/>
    <w:rsid w:val="000F41EA"/>
  </w:style>
  <w:style w:type="numbering" w:customStyle="1" w:styleId="CurrentList4">
    <w:name w:val="Current List4"/>
    <w:uiPriority w:val="99"/>
    <w:qFormat/>
    <w:rsid w:val="00FB499D"/>
  </w:style>
  <w:style w:type="numbering" w:customStyle="1" w:styleId="CurrentList5">
    <w:name w:val="Current List5"/>
    <w:uiPriority w:val="99"/>
    <w:qFormat/>
    <w:rsid w:val="00F6070A"/>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34</Pages>
  <Words>833</Words>
  <Characters>4513</Characters>
  <Application>Microsoft Office Word</Application>
  <DocSecurity>0</DocSecurity>
  <Lines>0</Lines>
  <Paragraphs>44</Paragraphs>
  <ScaleCrop>false</ScaleCrop>
  <Company/>
  <LinksUpToDate>false</LinksUpToDate>
  <CharactersWithSpaces>5308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2026-03-26T23:41:17Z</dcterms:created>
  <dcterms:modified xsi:type="dcterms:W3CDTF">2026-03-26T23:41:19Z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/main/tmp/2c0cc751588c496594543e7e16b03ae1.json</vt:lpwstr>
  </property>
  <property fmtid="{D5CDD505-2E9C-101B-9397-08002B2CF9AE}" pid="3" name="csl">
    <vt:lpwstr>functions/legal_research/documents/brief/pandoc/bluebook-inline-toa.csl</vt:lpwstr>
  </property>
  <property fmtid="{D5CDD505-2E9C-101B-9397-08002B2CF9AE}" pid="4" name="references">
    <vt:lpwstr/>
  </property>
  <property fmtid="{D5CDD505-2E9C-101B-9397-08002B2CF9AE}" pid="5" name="used_categories">
    <vt:lpwstr>1,2</vt:lpwstr>
  </property>
</Properties>
</file>